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6B679D" w14:textId="663784BB" w:rsidR="003A6FD5" w:rsidRDefault="00053FCF">
      <w:pPr>
        <w:rPr>
          <w:rFonts w:ascii="Arial" w:eastAsia="Times New Roman" w:hAnsi="Arial" w:cs="Arial"/>
          <w:b/>
          <w:bCs/>
          <w:noProof/>
          <w:kern w:val="36"/>
          <w:sz w:val="28"/>
          <w:szCs w:val="28"/>
          <w:lang w:eastAsia="en-GB"/>
          <w14:ligatures w14:val="none"/>
        </w:rPr>
      </w:pPr>
      <w:r w:rsidRPr="004D7D4B">
        <w:rPr>
          <w:rFonts w:ascii="Arial" w:eastAsia="Times New Roman" w:hAnsi="Arial" w:cs="Arial"/>
          <w:b/>
          <w:bCs/>
          <w:noProof/>
          <w:kern w:val="36"/>
          <w:sz w:val="28"/>
          <w:szCs w:val="28"/>
          <w:lang w:eastAsia="en-GB"/>
          <w14:ligatures w14:val="none"/>
        </w:rPr>
        <w:drawing>
          <wp:inline distT="0" distB="0" distL="0" distR="0" wp14:anchorId="7AEBF87C" wp14:editId="49A8A53B">
            <wp:extent cx="5587365" cy="1421624"/>
            <wp:effectExtent l="0" t="0" r="0" b="7620"/>
            <wp:docPr id="12065977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0755" cy="14428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37E4C4" w14:textId="77777777" w:rsidR="00053FCF" w:rsidRDefault="00053FCF" w:rsidP="00053FCF">
      <w:pPr>
        <w:tabs>
          <w:tab w:val="left" w:pos="5420"/>
        </w:tabs>
        <w:spacing w:before="100" w:beforeAutospacing="1" w:after="100" w:afterAutospacing="1" w:line="36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</w:p>
    <w:p w14:paraId="67E3E0C6" w14:textId="77777777" w:rsidR="00053FCF" w:rsidRDefault="00053FCF" w:rsidP="0016765B">
      <w:pPr>
        <w:tabs>
          <w:tab w:val="left" w:pos="5420"/>
        </w:tabs>
        <w:spacing w:before="100" w:beforeAutospacing="1" w:after="100" w:afterAutospacing="1" w:line="36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</w:p>
    <w:p w14:paraId="300CAC11" w14:textId="7A4FF12A" w:rsidR="00053FCF" w:rsidRPr="004D7D4B" w:rsidRDefault="00053FCF" w:rsidP="0016765B">
      <w:pPr>
        <w:tabs>
          <w:tab w:val="left" w:pos="5420"/>
        </w:tabs>
        <w:spacing w:before="100" w:beforeAutospacing="1" w:after="100" w:afterAutospacing="1" w:line="360" w:lineRule="auto"/>
        <w:jc w:val="center"/>
        <w:outlineLvl w:val="0"/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  <w14:ligatures w14:val="none"/>
        </w:rPr>
      </w:pPr>
      <w:r w:rsidRPr="004D7D4B">
        <w:rPr>
          <w:rFonts w:ascii="Arial" w:hAnsi="Arial" w:cs="Arial"/>
          <w:b/>
          <w:bCs/>
          <w:sz w:val="28"/>
          <w:szCs w:val="28"/>
        </w:rPr>
        <w:t>BSc(Hons) Health and Social Care</w:t>
      </w:r>
    </w:p>
    <w:p w14:paraId="7131D01B" w14:textId="271855FB" w:rsidR="00053FCF" w:rsidRDefault="00053FCF" w:rsidP="0016765B">
      <w:pPr>
        <w:spacing w:after="200" w:line="360" w:lineRule="auto"/>
        <w:jc w:val="center"/>
        <w:rPr>
          <w:rFonts w:ascii="Arial" w:eastAsia="Times New Roman" w:hAnsi="Arial" w:cs="Arial"/>
          <w:b/>
          <w:bCs/>
          <w:color w:val="1D2125"/>
          <w:kern w:val="36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color w:val="1D2125"/>
          <w:kern w:val="36"/>
          <w:sz w:val="28"/>
          <w:szCs w:val="28"/>
          <w:lang w:eastAsia="en-GB"/>
        </w:rPr>
        <w:t>Empowering the Older Person</w:t>
      </w:r>
    </w:p>
    <w:p w14:paraId="3466740B" w14:textId="77777777" w:rsidR="00053FCF" w:rsidRPr="004D7D4B" w:rsidRDefault="00053FCF" w:rsidP="0016765B">
      <w:pPr>
        <w:spacing w:after="200" w:line="360" w:lineRule="auto"/>
        <w:jc w:val="center"/>
        <w:rPr>
          <w:rFonts w:ascii="Arial" w:eastAsia="Times New Roman" w:hAnsi="Arial" w:cs="Arial"/>
          <w:b/>
          <w:bCs/>
          <w:color w:val="1D2125"/>
          <w:kern w:val="36"/>
          <w:sz w:val="28"/>
          <w:szCs w:val="28"/>
          <w:lang w:eastAsia="en-GB"/>
        </w:rPr>
      </w:pPr>
    </w:p>
    <w:p w14:paraId="1F098409" w14:textId="4EECD782" w:rsidR="00053FCF" w:rsidRDefault="00053FCF" w:rsidP="0016765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4D7D4B">
        <w:rPr>
          <w:rFonts w:ascii="Arial" w:hAnsi="Arial" w:cs="Arial"/>
          <w:b/>
          <w:bCs/>
          <w:sz w:val="28"/>
          <w:szCs w:val="28"/>
        </w:rPr>
        <w:t>Module code – BMH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Pr="004D7D4B">
        <w:rPr>
          <w:rFonts w:ascii="Arial" w:eastAsia="Arial Nova" w:hAnsi="Arial" w:cs="Arial"/>
          <w:b/>
          <w:bCs/>
          <w:sz w:val="28"/>
          <w:szCs w:val="28"/>
        </w:rPr>
        <w:t>602</w:t>
      </w:r>
      <w:r>
        <w:rPr>
          <w:rFonts w:ascii="Arial" w:eastAsia="Arial Nova" w:hAnsi="Arial" w:cs="Arial"/>
          <w:b/>
          <w:bCs/>
          <w:sz w:val="28"/>
          <w:szCs w:val="28"/>
        </w:rPr>
        <w:t>7</w:t>
      </w:r>
      <w:r w:rsidRPr="004D7D4B">
        <w:rPr>
          <w:rFonts w:ascii="Arial" w:hAnsi="Arial" w:cs="Arial"/>
          <w:b/>
          <w:bCs/>
          <w:sz w:val="28"/>
          <w:szCs w:val="28"/>
        </w:rPr>
        <w:t xml:space="preserve"> – BIRM</w:t>
      </w:r>
    </w:p>
    <w:p w14:paraId="669A45DE" w14:textId="77777777" w:rsidR="00053FCF" w:rsidRPr="004D7D4B" w:rsidRDefault="00053FCF" w:rsidP="0016765B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B1B1A38" w14:textId="54763E87" w:rsidR="00053FCF" w:rsidRPr="004D7D4B" w:rsidRDefault="00053FCF" w:rsidP="0016765B">
      <w:pPr>
        <w:jc w:val="center"/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</w:pPr>
      <w:r w:rsidRPr="004D7D4B"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Lecturer –</w:t>
      </w:r>
      <w:r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 xml:space="preserve"> Fahad Khan</w:t>
      </w:r>
    </w:p>
    <w:p w14:paraId="69C9C516" w14:textId="77777777" w:rsidR="00053FCF" w:rsidRPr="004D7D4B" w:rsidRDefault="00053FCF" w:rsidP="0016765B">
      <w:pPr>
        <w:spacing w:after="200"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C9AC8A9" w14:textId="7B2571F2" w:rsidR="00053FCF" w:rsidRDefault="00053FCF" w:rsidP="0016765B">
      <w:pPr>
        <w:jc w:val="center"/>
        <w:rPr>
          <w:rFonts w:ascii="Arial" w:eastAsia="Times New Roman" w:hAnsi="Arial" w:cs="Arial"/>
          <w:b/>
          <w:bCs/>
          <w:kern w:val="0"/>
          <w:sz w:val="28"/>
          <w:szCs w:val="28"/>
          <w:u w:val="single"/>
          <w:lang w:eastAsia="en-GB"/>
          <w14:ligatures w14:val="none"/>
        </w:rPr>
      </w:pPr>
      <w:r w:rsidRPr="00552CCE">
        <w:rPr>
          <w:rFonts w:ascii="Arial" w:hAnsi="Arial" w:cs="Arial"/>
          <w:b/>
          <w:bCs/>
          <w:sz w:val="28"/>
          <w:szCs w:val="28"/>
          <w:u w:val="single"/>
        </w:rPr>
        <w:t xml:space="preserve">Component 2 – </w:t>
      </w:r>
      <w:r>
        <w:rPr>
          <w:rFonts w:ascii="Arial" w:eastAsia="Times New Roman" w:hAnsi="Arial" w:cs="Arial"/>
          <w:b/>
          <w:bCs/>
          <w:kern w:val="0"/>
          <w:sz w:val="28"/>
          <w:szCs w:val="28"/>
          <w:u w:val="single"/>
          <w:lang w:eastAsia="en-GB"/>
          <w14:ligatures w14:val="none"/>
        </w:rPr>
        <w:t>Debate</w:t>
      </w:r>
    </w:p>
    <w:p w14:paraId="4D1570ED" w14:textId="77777777" w:rsidR="0016765B" w:rsidRPr="00552CCE" w:rsidRDefault="0016765B" w:rsidP="0016765B">
      <w:pPr>
        <w:jc w:val="center"/>
        <w:rPr>
          <w:rFonts w:ascii="Arial" w:eastAsia="Times New Roman" w:hAnsi="Arial" w:cs="Arial"/>
          <w:b/>
          <w:bCs/>
          <w:kern w:val="0"/>
          <w:sz w:val="28"/>
          <w:szCs w:val="28"/>
          <w:u w:val="single"/>
          <w:lang w:eastAsia="en-GB"/>
          <w14:ligatures w14:val="none"/>
        </w:rPr>
      </w:pPr>
    </w:p>
    <w:p w14:paraId="7BAACD16" w14:textId="4E2EC43B" w:rsidR="00053FCF" w:rsidRPr="004D7D4B" w:rsidRDefault="00053FCF" w:rsidP="0016765B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D7D4B">
        <w:rPr>
          <w:rFonts w:ascii="Arial" w:hAnsi="Arial" w:cs="Arial"/>
          <w:b/>
          <w:bCs/>
          <w:sz w:val="28"/>
          <w:szCs w:val="28"/>
        </w:rPr>
        <w:t>Claudia Gomes</w:t>
      </w:r>
    </w:p>
    <w:p w14:paraId="628AC604" w14:textId="732AEABD" w:rsidR="00053FCF" w:rsidRDefault="00053FCF" w:rsidP="0016765B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D7D4B">
        <w:rPr>
          <w:rFonts w:ascii="Arial" w:hAnsi="Arial" w:cs="Arial"/>
          <w:b/>
          <w:bCs/>
          <w:sz w:val="28"/>
          <w:szCs w:val="28"/>
        </w:rPr>
        <w:t>Student No  -  2326</w:t>
      </w:r>
      <w:r>
        <w:rPr>
          <w:rFonts w:ascii="Arial" w:hAnsi="Arial" w:cs="Arial"/>
          <w:b/>
          <w:bCs/>
          <w:sz w:val="28"/>
          <w:szCs w:val="28"/>
        </w:rPr>
        <w:t>791</w:t>
      </w:r>
    </w:p>
    <w:p w14:paraId="167C7AAD" w14:textId="77777777" w:rsidR="0016765B" w:rsidRDefault="0016765B" w:rsidP="0016765B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A35EEBA" w14:textId="77777777" w:rsidR="0016765B" w:rsidRDefault="0016765B" w:rsidP="0016765B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A604CD8" w14:textId="77777777" w:rsidR="0016765B" w:rsidRDefault="0016765B" w:rsidP="0016765B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26E0DCB" w14:textId="77777777" w:rsidR="0016765B" w:rsidRDefault="0016765B" w:rsidP="0016765B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214A6EB" w14:textId="77777777" w:rsidR="0016765B" w:rsidRDefault="0016765B" w:rsidP="0016765B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EEA9B87" w14:textId="4E8894D6" w:rsidR="0049717E" w:rsidRDefault="00FB2414" w:rsidP="00FB2414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FB2414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</w:t>
      </w:r>
    </w:p>
    <w:p w14:paraId="65BD00D5" w14:textId="77777777" w:rsidR="006F2C41" w:rsidRPr="00FB2414" w:rsidRDefault="006F2C41" w:rsidP="00FB2414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389945B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Age UK (2024) The State of Health and Care of Older People 2024. Available at: </w:t>
      </w:r>
      <w:hyperlink r:id="rId6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https://www.ageuk.org.uk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200D35F6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Aryan Ayati, A. et al. (2025) ‘Ethics and healthcare in the older adult population’, Journal of Medical Ethics and History of Medicine, 17. Available at: </w:t>
      </w:r>
      <w:hyperlink r:id="rId7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https://doi.org/10.18502/jmehm.v17i12.18664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35DBDC1C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>Baars, J., Dohmen, J., Grenier, A. and Phillipson, C. (2013) Ageing, Meaning and Social Structure: Connecting Critical and Humanistic Gerontology. Bristol: Bristol University Press.</w:t>
      </w:r>
    </w:p>
    <w:p w14:paraId="4E97EB6C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Care Act 2014 (2014) Care Act 2014. Available at: </w:t>
      </w:r>
      <w:hyperlink r:id="rId8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https://www.legislation.gov.uk/ukpga/2014/23/section/1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352F727D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proofErr w:type="spellStart"/>
      <w:r w:rsidRPr="001F1F4A">
        <w:rPr>
          <w:rFonts w:ascii="Arial" w:hAnsi="Arial" w:cs="Arial"/>
          <w:lang w:eastAsia="en-GB"/>
        </w:rPr>
        <w:t>Cattagni</w:t>
      </w:r>
      <w:proofErr w:type="spellEnd"/>
      <w:r w:rsidRPr="001F1F4A">
        <w:rPr>
          <w:rFonts w:ascii="Arial" w:hAnsi="Arial" w:cs="Arial"/>
          <w:lang w:eastAsia="en-GB"/>
        </w:rPr>
        <w:t xml:space="preserve"> Kleiner, A. et al. (2022) ‘Volunteering transitions and change in quality of life among older adults: </w:t>
      </w:r>
      <w:proofErr w:type="gramStart"/>
      <w:r w:rsidRPr="001F1F4A">
        <w:rPr>
          <w:rFonts w:ascii="Arial" w:hAnsi="Arial" w:cs="Arial"/>
          <w:lang w:eastAsia="en-GB"/>
        </w:rPr>
        <w:t>A mixed methods research</w:t>
      </w:r>
      <w:proofErr w:type="gramEnd"/>
      <w:r w:rsidRPr="001F1F4A">
        <w:rPr>
          <w:rFonts w:ascii="Arial" w:hAnsi="Arial" w:cs="Arial"/>
          <w:lang w:eastAsia="en-GB"/>
        </w:rPr>
        <w:t xml:space="preserve">’, Archives of Gerontology and Geriatrics, 98, p. 104556. Available at: </w:t>
      </w:r>
      <w:hyperlink r:id="rId9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https://doi.org/10.1016/j.archger.2021.104556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53FC5178" w14:textId="1C3CC2D7" w:rsidR="004F0584" w:rsidRPr="001F1F4A" w:rsidRDefault="004F0584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>Eckford, L. and Lambert, A. (2020) Choose Your Place.</w:t>
      </w:r>
    </w:p>
    <w:p w14:paraId="78480098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Fothergill, L. et al. (2025) ‘Understanding how, for whom and under what circumstances telecare can support independence in community-dwelling older adults: A realist review’, BMC Geriatrics, 25(1). Available at: </w:t>
      </w:r>
      <w:hyperlink r:id="rId10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https://doi.org/10.1186/s12877-024-05650-6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7D4BC997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>Gilligan, C. (1982) In a Different Voice: Psychological Theory and Women's Development. Cambridge, MA: Harvard University Press.</w:t>
      </w:r>
    </w:p>
    <w:p w14:paraId="5F81A827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Gitlow, L. and </w:t>
      </w:r>
      <w:proofErr w:type="spellStart"/>
      <w:r w:rsidRPr="001F1F4A">
        <w:rPr>
          <w:rFonts w:ascii="Arial" w:hAnsi="Arial" w:cs="Arial"/>
          <w:lang w:eastAsia="en-GB"/>
        </w:rPr>
        <w:t>Flecky</w:t>
      </w:r>
      <w:proofErr w:type="spellEnd"/>
      <w:r w:rsidRPr="001F1F4A">
        <w:rPr>
          <w:rFonts w:ascii="Arial" w:hAnsi="Arial" w:cs="Arial"/>
          <w:lang w:eastAsia="en-GB"/>
        </w:rPr>
        <w:t>, K. (2019) Assistive Technologies and Environmental Interventions in Healthcare. Hoboken, NJ: John Wiley &amp; Sons.</w:t>
      </w:r>
    </w:p>
    <w:p w14:paraId="0C1CDB94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>Greenwood, N. and Smith, R. (2019) ‘Motivations for being informal carers of people living with dementia’, BMC Geriatrics, 19(1), pp. 1–10.</w:t>
      </w:r>
    </w:p>
    <w:p w14:paraId="4A207676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>Havighurst, R.J. (1961) ‘Successful aging’, The Gerontologist, 1(1), pp. 8–13.</w:t>
      </w:r>
    </w:p>
    <w:p w14:paraId="5A6D6176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Healthy Ageing in Place: Perspectives on ‘Local’ and Age-Friendliness in the Built Environment (2025) British Geriatrics Society. Available at: </w:t>
      </w:r>
      <w:hyperlink r:id="rId11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https://www.bgs.org.uk/healthy-ageing-in-place-perspectives-on-local-and-age-friendliness-in-the-built-environment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3140C87B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>Holt-</w:t>
      </w:r>
      <w:proofErr w:type="spellStart"/>
      <w:r w:rsidRPr="001F1F4A">
        <w:rPr>
          <w:rFonts w:ascii="Arial" w:hAnsi="Arial" w:cs="Arial"/>
          <w:lang w:eastAsia="en-GB"/>
        </w:rPr>
        <w:t>Lunstad</w:t>
      </w:r>
      <w:proofErr w:type="spellEnd"/>
      <w:r w:rsidRPr="001F1F4A">
        <w:rPr>
          <w:rFonts w:ascii="Arial" w:hAnsi="Arial" w:cs="Arial"/>
          <w:lang w:eastAsia="en-GB"/>
        </w:rPr>
        <w:t>, J., Smith, T.B., Baker, M., Harris, T. and Stephenson, D. (2015) ‘Loneliness and social isolation as risk factors for mortality’, Perspectives on Psychological Science, 10(2), pp. 227–237.</w:t>
      </w:r>
    </w:p>
    <w:p w14:paraId="1D57DDA5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lastRenderedPageBreak/>
        <w:t xml:space="preserve">IRT (2021) 6 Ways to Empower Older Adults. Available at: </w:t>
      </w:r>
      <w:hyperlink r:id="rId12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https://www.irt.org.au/the-good-life/ways-to-empower-older-adults/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4EDEB6F1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proofErr w:type="spellStart"/>
      <w:r w:rsidRPr="001F1F4A">
        <w:rPr>
          <w:rFonts w:ascii="Arial" w:hAnsi="Arial" w:cs="Arial"/>
          <w:lang w:eastAsia="en-GB"/>
        </w:rPr>
        <w:t>Lebrusán</w:t>
      </w:r>
      <w:proofErr w:type="spellEnd"/>
      <w:r w:rsidRPr="001F1F4A">
        <w:rPr>
          <w:rFonts w:ascii="Arial" w:hAnsi="Arial" w:cs="Arial"/>
          <w:lang w:eastAsia="en-GB"/>
        </w:rPr>
        <w:t xml:space="preserve">, I. and Gómez, M.V. (2022) ‘The importance of place attachment in the understanding of ageing in place: "The Stones Know Me"’, International Journal of Environmental Research and Public Health, 19(24), p. 17052. Available at: </w:t>
      </w:r>
      <w:hyperlink r:id="rId13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https://doi.org/10.3390/ijerph192417052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07ADE681" w14:textId="4411FC7D" w:rsidR="00D610B4" w:rsidRPr="001F1F4A" w:rsidRDefault="00D610B4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</w:rPr>
        <w:t xml:space="preserve">Lowe, T.A. and </w:t>
      </w:r>
      <w:proofErr w:type="spellStart"/>
      <w:r w:rsidRPr="001F1F4A">
        <w:rPr>
          <w:rFonts w:ascii="Arial" w:hAnsi="Arial" w:cs="Arial"/>
        </w:rPr>
        <w:t>Meijering</w:t>
      </w:r>
      <w:proofErr w:type="spellEnd"/>
      <w:r w:rsidRPr="001F1F4A">
        <w:rPr>
          <w:rFonts w:ascii="Arial" w:hAnsi="Arial" w:cs="Arial"/>
        </w:rPr>
        <w:t>, L. (2026) ‘Special Issue on Ageing in Place: Introduction’, </w:t>
      </w:r>
      <w:proofErr w:type="spellStart"/>
      <w:r w:rsidRPr="001F1F4A">
        <w:rPr>
          <w:rFonts w:ascii="Arial" w:hAnsi="Arial" w:cs="Arial"/>
        </w:rPr>
        <w:t>Tijdschrift</w:t>
      </w:r>
      <w:proofErr w:type="spellEnd"/>
      <w:r w:rsidRPr="001F1F4A">
        <w:rPr>
          <w:rFonts w:ascii="Arial" w:hAnsi="Arial" w:cs="Arial"/>
        </w:rPr>
        <w:t xml:space="preserve"> </w:t>
      </w:r>
      <w:proofErr w:type="spellStart"/>
      <w:r w:rsidRPr="001F1F4A">
        <w:rPr>
          <w:rFonts w:ascii="Arial" w:hAnsi="Arial" w:cs="Arial"/>
        </w:rPr>
        <w:t>voor</w:t>
      </w:r>
      <w:proofErr w:type="spellEnd"/>
      <w:r w:rsidRPr="001F1F4A">
        <w:rPr>
          <w:rFonts w:ascii="Arial" w:hAnsi="Arial" w:cs="Arial"/>
        </w:rPr>
        <w:t xml:space="preserve"> </w:t>
      </w:r>
      <w:proofErr w:type="spellStart"/>
      <w:r w:rsidRPr="001F1F4A">
        <w:rPr>
          <w:rFonts w:ascii="Arial" w:hAnsi="Arial" w:cs="Arial"/>
        </w:rPr>
        <w:t>Economische</w:t>
      </w:r>
      <w:proofErr w:type="spellEnd"/>
      <w:r w:rsidRPr="001F1F4A">
        <w:rPr>
          <w:rFonts w:ascii="Arial" w:hAnsi="Arial" w:cs="Arial"/>
        </w:rPr>
        <w:t xml:space="preserve"> </w:t>
      </w:r>
      <w:proofErr w:type="spellStart"/>
      <w:r w:rsidRPr="001F1F4A">
        <w:rPr>
          <w:rFonts w:ascii="Arial" w:hAnsi="Arial" w:cs="Arial"/>
        </w:rPr>
        <w:t>en</w:t>
      </w:r>
      <w:proofErr w:type="spellEnd"/>
      <w:r w:rsidRPr="001F1F4A">
        <w:rPr>
          <w:rFonts w:ascii="Arial" w:hAnsi="Arial" w:cs="Arial"/>
        </w:rPr>
        <w:t xml:space="preserve"> Sociale </w:t>
      </w:r>
      <w:proofErr w:type="spellStart"/>
      <w:r w:rsidRPr="001F1F4A">
        <w:rPr>
          <w:rFonts w:ascii="Arial" w:hAnsi="Arial" w:cs="Arial"/>
        </w:rPr>
        <w:t>Geografie</w:t>
      </w:r>
      <w:proofErr w:type="spellEnd"/>
      <w:r w:rsidRPr="001F1F4A">
        <w:rPr>
          <w:rFonts w:ascii="Arial" w:hAnsi="Arial" w:cs="Arial"/>
        </w:rPr>
        <w:t>, 117(1), pp. 4–9. Available at: https://doi.org/10.1111/tesg.70063.</w:t>
      </w:r>
    </w:p>
    <w:p w14:paraId="511D17A3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Mistry, P. and </w:t>
      </w:r>
      <w:proofErr w:type="spellStart"/>
      <w:r w:rsidRPr="001F1F4A">
        <w:rPr>
          <w:rFonts w:ascii="Arial" w:hAnsi="Arial" w:cs="Arial"/>
          <w:lang w:eastAsia="en-GB"/>
        </w:rPr>
        <w:t>Jabbal</w:t>
      </w:r>
      <w:proofErr w:type="spellEnd"/>
      <w:r w:rsidRPr="001F1F4A">
        <w:rPr>
          <w:rFonts w:ascii="Arial" w:hAnsi="Arial" w:cs="Arial"/>
          <w:lang w:eastAsia="en-GB"/>
        </w:rPr>
        <w:t xml:space="preserve">, J. (2023) Moving from Exclusion to Inclusion in Digital Health and Care. London: The King's Fund. Available at: </w:t>
      </w:r>
      <w:hyperlink r:id="rId14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https://www.kingsfund.org.uk/insight-and-analysis/long-reads/exclusion-inclusion-digital-health-care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6CBF6F5F" w14:textId="39E094FD" w:rsidR="001953D7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National Institute on Aging (2023) Aging in Place: Growing Older at Home. Available at: </w:t>
      </w:r>
      <w:hyperlink r:id="rId15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https://www.nia.nih.gov/health/aging-place/aging-place-growing-older-home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56A3042A" w14:textId="7C1792EE" w:rsidR="001953D7" w:rsidRPr="001F1F4A" w:rsidRDefault="001953D7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NT Contributor (2023) Guidance on the benefits and barriers of virtual home assessments | Nursing Times, Nursing Times. Available at: </w:t>
      </w:r>
      <w:hyperlink r:id="rId16" w:history="1">
        <w:r w:rsidR="0099548A"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https://www.nursingtimes.net/digital-and-technology/guidance-on-the-benefits-and-barriers-of-virtual-home-assessments-24-04-2023/</w:t>
        </w:r>
      </w:hyperlink>
      <w:r w:rsidRPr="001F1F4A">
        <w:rPr>
          <w:rFonts w:ascii="Arial" w:hAnsi="Arial" w:cs="Arial"/>
          <w:lang w:eastAsia="en-GB"/>
        </w:rPr>
        <w:t>.</w:t>
      </w:r>
    </w:p>
    <w:p w14:paraId="6BBA6C9D" w14:textId="5FF3E499" w:rsidR="0099548A" w:rsidRPr="001F1F4A" w:rsidRDefault="0099548A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</w:rPr>
        <w:t>Ratnayake, M. et al. (2022) ‘Aging in Place’, Delaware Journal of Public Health, 8(3), pp. 28–31. Available at: https://doi.org/10.32481/djph.2022.08.007.</w:t>
      </w:r>
    </w:p>
    <w:p w14:paraId="5451951C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Rudnicka, E. et al. (2020) ‘The World Health Organization (WHO) approach to healthy ageing’, </w:t>
      </w:r>
      <w:proofErr w:type="spellStart"/>
      <w:r w:rsidRPr="001F1F4A">
        <w:rPr>
          <w:rFonts w:ascii="Arial" w:hAnsi="Arial" w:cs="Arial"/>
          <w:lang w:eastAsia="en-GB"/>
        </w:rPr>
        <w:t>Maturitas</w:t>
      </w:r>
      <w:proofErr w:type="spellEnd"/>
      <w:r w:rsidRPr="001F1F4A">
        <w:rPr>
          <w:rFonts w:ascii="Arial" w:hAnsi="Arial" w:cs="Arial"/>
          <w:lang w:eastAsia="en-GB"/>
        </w:rPr>
        <w:t xml:space="preserve">, 139, pp. 6–11. Available at: </w:t>
      </w:r>
      <w:hyperlink r:id="rId17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https://doi.org/10.1016/j.maturitas.2020.05.018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58D22CA3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>Schroeder, K. et al. (2012) Sustainable Healthcare. Chichester: John Wiley &amp; Sons.</w:t>
      </w:r>
    </w:p>
    <w:p w14:paraId="12073E69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United Nations (2022) What is the Decade? Available at: </w:t>
      </w:r>
      <w:hyperlink r:id="rId18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https://www.decadeofhealthyageing.org/about/about-us/what-is-the-decade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3AF209C7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>Walker, A. (2018) The New Dynamics of Ageing.</w:t>
      </w:r>
    </w:p>
    <w:p w14:paraId="726DE3A4" w14:textId="77777777" w:rsidR="0049717E" w:rsidRPr="001F1F4A" w:rsidRDefault="0049717E" w:rsidP="001F1F4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1F1F4A">
        <w:rPr>
          <w:rFonts w:ascii="Arial" w:hAnsi="Arial" w:cs="Arial"/>
          <w:lang w:eastAsia="en-GB"/>
        </w:rPr>
        <w:t xml:space="preserve">World Health Organization (2021) Decade of Healthy Ageing: Baseline Report. Geneva: World Health Organization. Available at: </w:t>
      </w:r>
      <w:hyperlink r:id="rId19" w:history="1">
        <w:r w:rsidRPr="001F1F4A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https://www.who.int</w:t>
        </w:r>
      </w:hyperlink>
      <w:r w:rsidRPr="001F1F4A">
        <w:rPr>
          <w:rFonts w:ascii="Arial" w:hAnsi="Arial" w:cs="Arial"/>
          <w:lang w:eastAsia="en-GB"/>
        </w:rPr>
        <w:t xml:space="preserve"> (Accessed: 10 June 2026).</w:t>
      </w:r>
    </w:p>
    <w:p w14:paraId="30CD4FC1" w14:textId="77777777" w:rsidR="0049717E" w:rsidRPr="00452264" w:rsidRDefault="0049717E" w:rsidP="00452264"/>
    <w:sectPr w:rsidR="0049717E" w:rsidRPr="00452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DC3887"/>
    <w:multiLevelType w:val="hybridMultilevel"/>
    <w:tmpl w:val="AAE212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5F501F"/>
    <w:multiLevelType w:val="hybridMultilevel"/>
    <w:tmpl w:val="0546C8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40821902">
    <w:abstractNumId w:val="0"/>
  </w:num>
  <w:num w:numId="2" w16cid:durableId="1908481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FCF"/>
    <w:rsid w:val="00053FCF"/>
    <w:rsid w:val="00071523"/>
    <w:rsid w:val="00084F95"/>
    <w:rsid w:val="0016765B"/>
    <w:rsid w:val="001953D7"/>
    <w:rsid w:val="001D4869"/>
    <w:rsid w:val="001F1F4A"/>
    <w:rsid w:val="001F6AD1"/>
    <w:rsid w:val="002D6CBD"/>
    <w:rsid w:val="00330002"/>
    <w:rsid w:val="003A6FD5"/>
    <w:rsid w:val="003B6544"/>
    <w:rsid w:val="003F4262"/>
    <w:rsid w:val="00452264"/>
    <w:rsid w:val="00487E3E"/>
    <w:rsid w:val="0049717E"/>
    <w:rsid w:val="004B0DAA"/>
    <w:rsid w:val="004F0584"/>
    <w:rsid w:val="005022AB"/>
    <w:rsid w:val="00574424"/>
    <w:rsid w:val="005C6FA8"/>
    <w:rsid w:val="0060434D"/>
    <w:rsid w:val="00613EF2"/>
    <w:rsid w:val="006F2C41"/>
    <w:rsid w:val="00781E5E"/>
    <w:rsid w:val="009821FE"/>
    <w:rsid w:val="0099548A"/>
    <w:rsid w:val="009C76B8"/>
    <w:rsid w:val="00A33BA9"/>
    <w:rsid w:val="00A470B7"/>
    <w:rsid w:val="00A54900"/>
    <w:rsid w:val="00A94E17"/>
    <w:rsid w:val="00AA5053"/>
    <w:rsid w:val="00AE050C"/>
    <w:rsid w:val="00AE065C"/>
    <w:rsid w:val="00AF618A"/>
    <w:rsid w:val="00B10D47"/>
    <w:rsid w:val="00C144FA"/>
    <w:rsid w:val="00C42FC1"/>
    <w:rsid w:val="00CA151F"/>
    <w:rsid w:val="00D610B4"/>
    <w:rsid w:val="00EC63D8"/>
    <w:rsid w:val="00FB2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9CC7EB"/>
  <w15:chartTrackingRefBased/>
  <w15:docId w15:val="{9AECF603-27D9-4037-8129-25A4C94BF3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3F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3F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3F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3F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3F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3F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3F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3F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3F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3F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3F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3F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3F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3F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3F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3F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3F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3F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3F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3F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3F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3F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3F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3F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3F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3F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3F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3F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3FC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F426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548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F05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4/23/section/1" TargetMode="External"/><Relationship Id="rId13" Type="http://schemas.openxmlformats.org/officeDocument/2006/relationships/hyperlink" Target="https://doi.org/10.3390/ijerph192417052" TargetMode="External"/><Relationship Id="rId18" Type="http://schemas.openxmlformats.org/officeDocument/2006/relationships/hyperlink" Target="https://www.decadeofhealthyageing.org/about/about-us/what-is-the-decade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8502/jmehm.v17i12.18664" TargetMode="External"/><Relationship Id="rId12" Type="http://schemas.openxmlformats.org/officeDocument/2006/relationships/hyperlink" Target="https://www.irt.org.au/the-good-life/ways-to-empower-older-adults/" TargetMode="External"/><Relationship Id="rId17" Type="http://schemas.openxmlformats.org/officeDocument/2006/relationships/hyperlink" Target="https://doi.org/10.1016/j.maturitas.2020.05.018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ursingtimes.net/digital-and-technology/guidance-on-the-benefits-and-barriers-of-virtual-home-assessments-24-04-2023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ageuk.org.uk" TargetMode="External"/><Relationship Id="rId11" Type="http://schemas.openxmlformats.org/officeDocument/2006/relationships/hyperlink" Target="https://www.bgs.org.uk/healthy-ageing-in-place-perspectives-on-local-and-age-friendliness-in-the-built-environment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nia.nih.gov/health/aging-place/aging-place-growing-older-home" TargetMode="External"/><Relationship Id="rId10" Type="http://schemas.openxmlformats.org/officeDocument/2006/relationships/hyperlink" Target="https://doi.org/10.1186/s12877-024-05650-6" TargetMode="External"/><Relationship Id="rId19" Type="http://schemas.openxmlformats.org/officeDocument/2006/relationships/hyperlink" Target="https://www.who.i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archger.2021.104556" TargetMode="External"/><Relationship Id="rId14" Type="http://schemas.openxmlformats.org/officeDocument/2006/relationships/hyperlink" Target="https://www.kingsfund.org.uk/insight-and-analysis/long-reads/exclusion-inclusion-digital-health-ca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3</Pages>
  <Words>854</Words>
  <Characters>4871</Characters>
  <Application>Microsoft Office Word</Application>
  <DocSecurity>0</DocSecurity>
  <Lines>40</Lines>
  <Paragraphs>11</Paragraphs>
  <ScaleCrop>false</ScaleCrop>
  <Company/>
  <LinksUpToDate>false</LinksUpToDate>
  <CharactersWithSpaces>5714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 Da Costa Gomes (2326791)</dc:creator>
  <cp:keywords/>
  <dc:description/>
  <cp:lastModifiedBy>Claudia Da Costa Gomes (2326791)</cp:lastModifiedBy>
  <cp:revision>41</cp:revision>
  <dcterms:created xsi:type="dcterms:W3CDTF">2026-07-01T06:48:00Z</dcterms:created>
  <dcterms:modified xsi:type="dcterms:W3CDTF">2026-07-05T05:59:00Z</dcterms:modified>
</cp:coreProperties>
</file>