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B0E463" w14:textId="77777777" w:rsidR="002639A0" w:rsidRPr="002639A0" w:rsidRDefault="002639A0" w:rsidP="002639A0">
      <w:pPr>
        <w:spacing w:after="0" w:line="240" w:lineRule="auto"/>
        <w:rPr>
          <w:rFonts w:ascii="Times New Roman" w:eastAsia="Times New Roman" w:hAnsi="Times New Roman" w:cs="Times New Roman"/>
          <w:kern w:val="0"/>
          <w14:ligatures w14:val="none"/>
        </w:rPr>
      </w:pPr>
      <w:r w:rsidRPr="002639A0">
        <w:rPr>
          <w:rFonts w:ascii="Times New Roman" w:eastAsia="Times New Roman" w:hAnsi="Times New Roman" w:cs="Times New Roman"/>
          <w:noProof/>
          <w:kern w:val="0"/>
          <w14:ligatures w14:val="none"/>
        </w:rPr>
        <mc:AlternateContent>
          <mc:Choice Requires="wps">
            <w:drawing>
              <wp:inline distT="0" distB="0" distL="0" distR="0" wp14:anchorId="0768042A" wp14:editId="3C748312">
                <wp:extent cx="5731510" cy="1270"/>
                <wp:effectExtent l="0" t="31750" r="0" b="36830"/>
                <wp:docPr id="1451119961" name="Rectangle 2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D9F7876" id="Rectangle 2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C36885F" w14:textId="77777777" w:rsidR="002639A0" w:rsidRPr="002639A0" w:rsidRDefault="002639A0" w:rsidP="002639A0">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639A0">
        <w:rPr>
          <w:rFonts w:ascii="Times New Roman" w:eastAsia="Times New Roman" w:hAnsi="Times New Roman" w:cs="Times New Roman"/>
          <w:b/>
          <w:bCs/>
          <w:kern w:val="36"/>
          <w:sz w:val="48"/>
          <w:szCs w:val="48"/>
          <w14:ligatures w14:val="none"/>
        </w:rPr>
        <w:t>Hartsdown Leisure Centre Stakeholder Engagement Report</w:t>
      </w:r>
    </w:p>
    <w:p w14:paraId="531A9F9E" w14:textId="77777777" w:rsidR="002639A0" w:rsidRDefault="002639A0" w:rsidP="002639A0">
      <w:pPr>
        <w:spacing w:before="100" w:beforeAutospacing="1" w:after="100" w:afterAutospacing="1" w:line="240" w:lineRule="auto"/>
        <w:rPr>
          <w:rFonts w:ascii="Times New Roman" w:hAnsi="Times New Roman" w:cs="Times New Roman"/>
          <w:kern w:val="0"/>
          <w14:ligatures w14:val="none"/>
        </w:rPr>
      </w:pPr>
    </w:p>
    <w:p w14:paraId="70403F4E" w14:textId="77777777" w:rsidR="00D94521" w:rsidRDefault="00D94521" w:rsidP="002639A0">
      <w:pPr>
        <w:spacing w:before="100" w:beforeAutospacing="1" w:after="100" w:afterAutospacing="1" w:line="240" w:lineRule="auto"/>
        <w:rPr>
          <w:rFonts w:ascii="Times New Roman" w:hAnsi="Times New Roman" w:cs="Times New Roman"/>
          <w:kern w:val="0"/>
          <w14:ligatures w14:val="none"/>
        </w:rPr>
      </w:pPr>
    </w:p>
    <w:p w14:paraId="2D311DB2" w14:textId="77777777" w:rsidR="00D94521" w:rsidRDefault="00D94521" w:rsidP="002639A0">
      <w:pPr>
        <w:spacing w:before="100" w:beforeAutospacing="1" w:after="100" w:afterAutospacing="1" w:line="240" w:lineRule="auto"/>
        <w:rPr>
          <w:rFonts w:ascii="Times New Roman" w:hAnsi="Times New Roman" w:cs="Times New Roman"/>
          <w:kern w:val="0"/>
          <w14:ligatures w14:val="none"/>
        </w:rPr>
      </w:pPr>
    </w:p>
    <w:p w14:paraId="375E5947" w14:textId="77777777" w:rsidR="00D94521" w:rsidRDefault="00D94521" w:rsidP="002639A0">
      <w:pPr>
        <w:spacing w:before="100" w:beforeAutospacing="1" w:after="100" w:afterAutospacing="1" w:line="240" w:lineRule="auto"/>
        <w:rPr>
          <w:rFonts w:ascii="Times New Roman" w:hAnsi="Times New Roman" w:cs="Times New Roman"/>
          <w:kern w:val="0"/>
          <w14:ligatures w14:val="none"/>
        </w:rPr>
      </w:pPr>
    </w:p>
    <w:p w14:paraId="75B6F186" w14:textId="77777777" w:rsidR="00D94521" w:rsidRDefault="00D94521" w:rsidP="002639A0">
      <w:pPr>
        <w:spacing w:before="100" w:beforeAutospacing="1" w:after="100" w:afterAutospacing="1" w:line="240" w:lineRule="auto"/>
        <w:rPr>
          <w:rFonts w:ascii="Times New Roman" w:hAnsi="Times New Roman" w:cs="Times New Roman"/>
          <w:kern w:val="0"/>
          <w14:ligatures w14:val="none"/>
        </w:rPr>
      </w:pPr>
    </w:p>
    <w:p w14:paraId="27909152" w14:textId="77777777" w:rsidR="00D94521" w:rsidRDefault="00D94521" w:rsidP="002639A0">
      <w:pPr>
        <w:spacing w:before="100" w:beforeAutospacing="1" w:after="100" w:afterAutospacing="1" w:line="240" w:lineRule="auto"/>
        <w:rPr>
          <w:rFonts w:ascii="Times New Roman" w:hAnsi="Times New Roman" w:cs="Times New Roman"/>
          <w:kern w:val="0"/>
          <w14:ligatures w14:val="none"/>
        </w:rPr>
      </w:pPr>
    </w:p>
    <w:p w14:paraId="25F105BA" w14:textId="77777777" w:rsidR="00D94521" w:rsidRDefault="00D94521" w:rsidP="002639A0">
      <w:pPr>
        <w:spacing w:before="100" w:beforeAutospacing="1" w:after="100" w:afterAutospacing="1" w:line="240" w:lineRule="auto"/>
        <w:rPr>
          <w:rFonts w:ascii="Times New Roman" w:hAnsi="Times New Roman" w:cs="Times New Roman"/>
          <w:kern w:val="0"/>
          <w14:ligatures w14:val="none"/>
        </w:rPr>
      </w:pPr>
    </w:p>
    <w:p w14:paraId="7799CEDA" w14:textId="77777777" w:rsidR="00D94521" w:rsidRDefault="00D94521" w:rsidP="002639A0">
      <w:pPr>
        <w:spacing w:before="100" w:beforeAutospacing="1" w:after="100" w:afterAutospacing="1" w:line="240" w:lineRule="auto"/>
        <w:rPr>
          <w:rFonts w:ascii="Times New Roman" w:hAnsi="Times New Roman" w:cs="Times New Roman"/>
          <w:kern w:val="0"/>
          <w14:ligatures w14:val="none"/>
        </w:rPr>
      </w:pPr>
    </w:p>
    <w:p w14:paraId="679AC70F" w14:textId="77777777" w:rsidR="00D94521" w:rsidRDefault="00D94521" w:rsidP="002639A0">
      <w:pPr>
        <w:spacing w:before="100" w:beforeAutospacing="1" w:after="100" w:afterAutospacing="1" w:line="240" w:lineRule="auto"/>
        <w:rPr>
          <w:rFonts w:ascii="Times New Roman" w:hAnsi="Times New Roman" w:cs="Times New Roman"/>
          <w:kern w:val="0"/>
          <w14:ligatures w14:val="none"/>
        </w:rPr>
      </w:pPr>
    </w:p>
    <w:p w14:paraId="4897E48E" w14:textId="77777777" w:rsidR="00D94521" w:rsidRDefault="00D94521" w:rsidP="002639A0">
      <w:pPr>
        <w:spacing w:before="100" w:beforeAutospacing="1" w:after="100" w:afterAutospacing="1" w:line="240" w:lineRule="auto"/>
        <w:rPr>
          <w:rFonts w:ascii="Times New Roman" w:hAnsi="Times New Roman" w:cs="Times New Roman"/>
          <w:kern w:val="0"/>
          <w14:ligatures w14:val="none"/>
        </w:rPr>
      </w:pPr>
    </w:p>
    <w:p w14:paraId="48B9A8D8" w14:textId="77777777" w:rsidR="00D94521" w:rsidRDefault="00D94521" w:rsidP="002639A0">
      <w:pPr>
        <w:spacing w:before="100" w:beforeAutospacing="1" w:after="100" w:afterAutospacing="1" w:line="240" w:lineRule="auto"/>
        <w:rPr>
          <w:rFonts w:ascii="Times New Roman" w:hAnsi="Times New Roman" w:cs="Times New Roman"/>
          <w:kern w:val="0"/>
          <w14:ligatures w14:val="none"/>
        </w:rPr>
      </w:pPr>
    </w:p>
    <w:p w14:paraId="32F95001" w14:textId="77777777" w:rsidR="00D94521" w:rsidRDefault="00D94521" w:rsidP="002639A0">
      <w:pPr>
        <w:spacing w:before="100" w:beforeAutospacing="1" w:after="100" w:afterAutospacing="1" w:line="240" w:lineRule="auto"/>
        <w:rPr>
          <w:rFonts w:ascii="Times New Roman" w:hAnsi="Times New Roman" w:cs="Times New Roman"/>
          <w:kern w:val="0"/>
          <w14:ligatures w14:val="none"/>
        </w:rPr>
      </w:pPr>
    </w:p>
    <w:p w14:paraId="1EBDB92F" w14:textId="77777777" w:rsidR="00D94521" w:rsidRDefault="00D94521" w:rsidP="002639A0">
      <w:pPr>
        <w:spacing w:before="100" w:beforeAutospacing="1" w:after="100" w:afterAutospacing="1" w:line="240" w:lineRule="auto"/>
        <w:rPr>
          <w:rFonts w:ascii="Times New Roman" w:hAnsi="Times New Roman" w:cs="Times New Roman"/>
          <w:kern w:val="0"/>
          <w14:ligatures w14:val="none"/>
        </w:rPr>
      </w:pPr>
    </w:p>
    <w:p w14:paraId="1B5516AA" w14:textId="77777777" w:rsidR="00D94521" w:rsidRDefault="00D94521" w:rsidP="002639A0">
      <w:pPr>
        <w:spacing w:before="100" w:beforeAutospacing="1" w:after="100" w:afterAutospacing="1" w:line="240" w:lineRule="auto"/>
        <w:rPr>
          <w:rFonts w:ascii="Times New Roman" w:hAnsi="Times New Roman" w:cs="Times New Roman"/>
          <w:kern w:val="0"/>
          <w14:ligatures w14:val="none"/>
        </w:rPr>
      </w:pPr>
    </w:p>
    <w:p w14:paraId="556EDA4B" w14:textId="77777777" w:rsidR="00D94521" w:rsidRDefault="00D94521" w:rsidP="002639A0">
      <w:pPr>
        <w:spacing w:before="100" w:beforeAutospacing="1" w:after="100" w:afterAutospacing="1" w:line="240" w:lineRule="auto"/>
        <w:rPr>
          <w:rFonts w:ascii="Times New Roman" w:hAnsi="Times New Roman" w:cs="Times New Roman"/>
          <w:kern w:val="0"/>
          <w14:ligatures w14:val="none"/>
        </w:rPr>
      </w:pPr>
    </w:p>
    <w:p w14:paraId="1888D368" w14:textId="77777777" w:rsidR="00D94521" w:rsidRDefault="00D94521" w:rsidP="002639A0">
      <w:pPr>
        <w:spacing w:before="100" w:beforeAutospacing="1" w:after="100" w:afterAutospacing="1" w:line="240" w:lineRule="auto"/>
        <w:rPr>
          <w:rFonts w:ascii="Times New Roman" w:hAnsi="Times New Roman" w:cs="Times New Roman"/>
          <w:kern w:val="0"/>
          <w14:ligatures w14:val="none"/>
        </w:rPr>
      </w:pPr>
    </w:p>
    <w:p w14:paraId="5D33D0F4" w14:textId="77777777" w:rsidR="00D94521" w:rsidRDefault="00D94521" w:rsidP="002639A0">
      <w:pPr>
        <w:spacing w:before="100" w:beforeAutospacing="1" w:after="100" w:afterAutospacing="1" w:line="240" w:lineRule="auto"/>
        <w:rPr>
          <w:rFonts w:ascii="Times New Roman" w:hAnsi="Times New Roman" w:cs="Times New Roman"/>
          <w:kern w:val="0"/>
          <w14:ligatures w14:val="none"/>
        </w:rPr>
      </w:pPr>
    </w:p>
    <w:p w14:paraId="74A79D54" w14:textId="77777777" w:rsidR="00D94521" w:rsidRDefault="00D94521" w:rsidP="002639A0">
      <w:pPr>
        <w:spacing w:before="100" w:beforeAutospacing="1" w:after="100" w:afterAutospacing="1" w:line="240" w:lineRule="auto"/>
        <w:rPr>
          <w:rFonts w:ascii="Times New Roman" w:hAnsi="Times New Roman" w:cs="Times New Roman"/>
          <w:kern w:val="0"/>
          <w14:ligatures w14:val="none"/>
        </w:rPr>
      </w:pPr>
    </w:p>
    <w:p w14:paraId="38EAAB36" w14:textId="77777777" w:rsidR="00D94521" w:rsidRDefault="00D94521" w:rsidP="002639A0">
      <w:pPr>
        <w:spacing w:before="100" w:beforeAutospacing="1" w:after="100" w:afterAutospacing="1" w:line="240" w:lineRule="auto"/>
        <w:rPr>
          <w:rFonts w:ascii="Times New Roman" w:hAnsi="Times New Roman" w:cs="Times New Roman"/>
          <w:kern w:val="0"/>
          <w14:ligatures w14:val="none"/>
        </w:rPr>
      </w:pPr>
    </w:p>
    <w:p w14:paraId="1404BE69" w14:textId="77777777" w:rsidR="00D94521" w:rsidRPr="002639A0" w:rsidRDefault="00D94521" w:rsidP="002639A0">
      <w:pPr>
        <w:spacing w:before="100" w:beforeAutospacing="1" w:after="100" w:afterAutospacing="1" w:line="240" w:lineRule="auto"/>
        <w:rPr>
          <w:rFonts w:ascii="Times New Roman" w:hAnsi="Times New Roman" w:cs="Times New Roman"/>
          <w:kern w:val="0"/>
          <w14:ligatures w14:val="none"/>
        </w:rPr>
      </w:pPr>
    </w:p>
    <w:p w14:paraId="0BAE4FDC" w14:textId="291963B4" w:rsidR="0054235B" w:rsidRPr="0054235B" w:rsidRDefault="0054235B">
      <w:pPr>
        <w:pStyle w:val="Heading1"/>
        <w:rPr>
          <w:rFonts w:ascii="Times New Roman" w:eastAsia="Times New Roman" w:hAnsi="Times New Roman" w:cs="Times New Roman"/>
          <w:b/>
          <w:bCs/>
          <w:color w:val="auto"/>
          <w:kern w:val="36"/>
          <w:sz w:val="48"/>
          <w:szCs w:val="48"/>
          <w14:ligatures w14:val="none"/>
        </w:rPr>
      </w:pPr>
      <w:r w:rsidRPr="0054235B">
        <w:rPr>
          <w:rFonts w:ascii="Times New Roman" w:eastAsia="Times New Roman" w:hAnsi="Times New Roman" w:cs="Times New Roman"/>
          <w:b/>
          <w:bCs/>
          <w:color w:val="auto"/>
          <w:kern w:val="36"/>
          <w:sz w:val="48"/>
          <w:szCs w:val="48"/>
          <w14:ligatures w14:val="none"/>
        </w:rPr>
        <w:lastRenderedPageBreak/>
        <w:t>Table of Contents</w:t>
      </w:r>
    </w:p>
    <w:p w14:paraId="393A6B10" w14:textId="77777777" w:rsidR="0054235B" w:rsidRPr="0054235B" w:rsidRDefault="0054235B" w:rsidP="0054235B">
      <w:pPr>
        <w:numPr>
          <w:ilvl w:val="0"/>
          <w:numId w:val="1"/>
        </w:numPr>
        <w:spacing w:before="100" w:beforeAutospacing="1" w:after="100" w:afterAutospacing="1" w:line="240" w:lineRule="auto"/>
        <w:rPr>
          <w:rFonts w:ascii="Times New Roman" w:hAnsi="Times New Roman" w:cs="Times New Roman"/>
          <w:kern w:val="0"/>
          <w14:ligatures w14:val="none"/>
        </w:rPr>
      </w:pPr>
      <w:r w:rsidRPr="0054235B">
        <w:rPr>
          <w:rFonts w:ascii="Times New Roman" w:hAnsi="Times New Roman" w:cs="Times New Roman"/>
          <w:kern w:val="0"/>
          <w14:ligatures w14:val="none"/>
        </w:rPr>
        <w:t>Introduction</w:t>
      </w:r>
    </w:p>
    <w:p w14:paraId="112A0AE0" w14:textId="77777777" w:rsidR="0054235B" w:rsidRPr="0054235B" w:rsidRDefault="0054235B" w:rsidP="0054235B">
      <w:pPr>
        <w:numPr>
          <w:ilvl w:val="0"/>
          <w:numId w:val="1"/>
        </w:numPr>
        <w:spacing w:before="100" w:beforeAutospacing="1" w:after="100" w:afterAutospacing="1" w:line="240" w:lineRule="auto"/>
        <w:rPr>
          <w:rFonts w:ascii="Times New Roman" w:hAnsi="Times New Roman" w:cs="Times New Roman"/>
          <w:kern w:val="0"/>
          <w14:ligatures w14:val="none"/>
        </w:rPr>
      </w:pPr>
      <w:r w:rsidRPr="0054235B">
        <w:rPr>
          <w:rFonts w:ascii="Times New Roman" w:hAnsi="Times New Roman" w:cs="Times New Roman"/>
          <w:kern w:val="0"/>
          <w14:ligatures w14:val="none"/>
        </w:rPr>
        <w:t>Organisational Context</w:t>
      </w:r>
    </w:p>
    <w:p w14:paraId="14EFE07C" w14:textId="77777777" w:rsidR="0054235B" w:rsidRPr="0054235B" w:rsidRDefault="0054235B" w:rsidP="0054235B">
      <w:pPr>
        <w:numPr>
          <w:ilvl w:val="0"/>
          <w:numId w:val="1"/>
        </w:numPr>
        <w:spacing w:before="100" w:beforeAutospacing="1" w:after="100" w:afterAutospacing="1" w:line="240" w:lineRule="auto"/>
        <w:rPr>
          <w:rFonts w:ascii="Times New Roman" w:hAnsi="Times New Roman" w:cs="Times New Roman"/>
          <w:kern w:val="0"/>
          <w14:ligatures w14:val="none"/>
        </w:rPr>
      </w:pPr>
      <w:r w:rsidRPr="0054235B">
        <w:rPr>
          <w:rFonts w:ascii="Times New Roman" w:hAnsi="Times New Roman" w:cs="Times New Roman"/>
          <w:kern w:val="0"/>
          <w14:ligatures w14:val="none"/>
        </w:rPr>
        <w:t>Purpose of Stakeholder Engagement</w:t>
      </w:r>
    </w:p>
    <w:p w14:paraId="5183B5DC" w14:textId="77777777" w:rsidR="0054235B" w:rsidRPr="0054235B" w:rsidRDefault="0054235B" w:rsidP="0054235B">
      <w:pPr>
        <w:numPr>
          <w:ilvl w:val="0"/>
          <w:numId w:val="1"/>
        </w:numPr>
        <w:spacing w:before="100" w:beforeAutospacing="1" w:after="100" w:afterAutospacing="1" w:line="240" w:lineRule="auto"/>
        <w:rPr>
          <w:rFonts w:ascii="Times New Roman" w:hAnsi="Times New Roman" w:cs="Times New Roman"/>
          <w:kern w:val="0"/>
          <w14:ligatures w14:val="none"/>
        </w:rPr>
      </w:pPr>
      <w:r w:rsidRPr="0054235B">
        <w:rPr>
          <w:rFonts w:ascii="Times New Roman" w:hAnsi="Times New Roman" w:cs="Times New Roman"/>
          <w:kern w:val="0"/>
          <w14:ligatures w14:val="none"/>
        </w:rPr>
        <w:t>Stakeholder Identification</w:t>
      </w:r>
    </w:p>
    <w:p w14:paraId="44E49755" w14:textId="77777777" w:rsidR="0054235B" w:rsidRPr="0054235B" w:rsidRDefault="0054235B" w:rsidP="0054235B">
      <w:pPr>
        <w:numPr>
          <w:ilvl w:val="0"/>
          <w:numId w:val="1"/>
        </w:numPr>
        <w:spacing w:before="100" w:beforeAutospacing="1" w:after="100" w:afterAutospacing="1" w:line="240" w:lineRule="auto"/>
        <w:rPr>
          <w:rFonts w:ascii="Times New Roman" w:hAnsi="Times New Roman" w:cs="Times New Roman"/>
          <w:kern w:val="0"/>
          <w14:ligatures w14:val="none"/>
        </w:rPr>
      </w:pPr>
      <w:r w:rsidRPr="0054235B">
        <w:rPr>
          <w:rFonts w:ascii="Times New Roman" w:hAnsi="Times New Roman" w:cs="Times New Roman"/>
          <w:kern w:val="0"/>
          <w14:ligatures w14:val="none"/>
        </w:rPr>
        <w:t>Stakeholder Categories</w:t>
      </w:r>
    </w:p>
    <w:p w14:paraId="108E6CA0" w14:textId="77777777" w:rsidR="0054235B" w:rsidRPr="0054235B" w:rsidRDefault="0054235B" w:rsidP="0054235B">
      <w:pPr>
        <w:numPr>
          <w:ilvl w:val="0"/>
          <w:numId w:val="1"/>
        </w:numPr>
        <w:spacing w:before="100" w:beforeAutospacing="1" w:after="100" w:afterAutospacing="1" w:line="240" w:lineRule="auto"/>
        <w:rPr>
          <w:rFonts w:ascii="Times New Roman" w:hAnsi="Times New Roman" w:cs="Times New Roman"/>
          <w:kern w:val="0"/>
          <w14:ligatures w14:val="none"/>
        </w:rPr>
      </w:pPr>
      <w:r w:rsidRPr="0054235B">
        <w:rPr>
          <w:rFonts w:ascii="Times New Roman" w:hAnsi="Times New Roman" w:cs="Times New Roman"/>
          <w:kern w:val="0"/>
          <w14:ligatures w14:val="none"/>
        </w:rPr>
        <w:t>Stakeholder Mapping</w:t>
      </w:r>
    </w:p>
    <w:p w14:paraId="42E9FA4F" w14:textId="77777777" w:rsidR="0054235B" w:rsidRPr="0054235B" w:rsidRDefault="0054235B" w:rsidP="0054235B">
      <w:pPr>
        <w:numPr>
          <w:ilvl w:val="0"/>
          <w:numId w:val="1"/>
        </w:numPr>
        <w:spacing w:before="100" w:beforeAutospacing="1" w:after="100" w:afterAutospacing="1" w:line="240" w:lineRule="auto"/>
        <w:rPr>
          <w:rFonts w:ascii="Times New Roman" w:hAnsi="Times New Roman" w:cs="Times New Roman"/>
          <w:kern w:val="0"/>
          <w14:ligatures w14:val="none"/>
        </w:rPr>
      </w:pPr>
      <w:r w:rsidRPr="0054235B">
        <w:rPr>
          <w:rFonts w:ascii="Times New Roman" w:hAnsi="Times New Roman" w:cs="Times New Roman"/>
          <w:kern w:val="0"/>
          <w14:ligatures w14:val="none"/>
        </w:rPr>
        <w:t>Internal Stakeholders</w:t>
      </w:r>
    </w:p>
    <w:p w14:paraId="25348DC8" w14:textId="77777777" w:rsidR="0054235B" w:rsidRPr="0054235B" w:rsidRDefault="0054235B" w:rsidP="0054235B">
      <w:pPr>
        <w:numPr>
          <w:ilvl w:val="0"/>
          <w:numId w:val="1"/>
        </w:numPr>
        <w:spacing w:before="100" w:beforeAutospacing="1" w:after="100" w:afterAutospacing="1" w:line="240" w:lineRule="auto"/>
        <w:rPr>
          <w:rFonts w:ascii="Times New Roman" w:hAnsi="Times New Roman" w:cs="Times New Roman"/>
          <w:kern w:val="0"/>
          <w14:ligatures w14:val="none"/>
        </w:rPr>
      </w:pPr>
      <w:r w:rsidRPr="0054235B">
        <w:rPr>
          <w:rFonts w:ascii="Times New Roman" w:hAnsi="Times New Roman" w:cs="Times New Roman"/>
          <w:kern w:val="0"/>
          <w14:ligatures w14:val="none"/>
        </w:rPr>
        <w:t>External Stakeholders</w:t>
      </w:r>
    </w:p>
    <w:p w14:paraId="6C2FE667" w14:textId="77777777" w:rsidR="0054235B" w:rsidRPr="0054235B" w:rsidRDefault="0054235B" w:rsidP="0054235B">
      <w:pPr>
        <w:numPr>
          <w:ilvl w:val="0"/>
          <w:numId w:val="1"/>
        </w:numPr>
        <w:spacing w:before="100" w:beforeAutospacing="1" w:after="100" w:afterAutospacing="1" w:line="240" w:lineRule="auto"/>
        <w:rPr>
          <w:rFonts w:ascii="Times New Roman" w:hAnsi="Times New Roman" w:cs="Times New Roman"/>
          <w:kern w:val="0"/>
          <w14:ligatures w14:val="none"/>
        </w:rPr>
      </w:pPr>
      <w:r w:rsidRPr="0054235B">
        <w:rPr>
          <w:rFonts w:ascii="Times New Roman" w:hAnsi="Times New Roman" w:cs="Times New Roman"/>
          <w:kern w:val="0"/>
          <w14:ligatures w14:val="none"/>
        </w:rPr>
        <w:t>Community Stakeholders</w:t>
      </w:r>
    </w:p>
    <w:p w14:paraId="04A6F8D4" w14:textId="77777777" w:rsidR="0054235B" w:rsidRPr="0054235B" w:rsidRDefault="0054235B" w:rsidP="0054235B">
      <w:pPr>
        <w:numPr>
          <w:ilvl w:val="0"/>
          <w:numId w:val="1"/>
        </w:numPr>
        <w:spacing w:before="100" w:beforeAutospacing="1" w:after="100" w:afterAutospacing="1" w:line="240" w:lineRule="auto"/>
        <w:rPr>
          <w:rFonts w:ascii="Times New Roman" w:hAnsi="Times New Roman" w:cs="Times New Roman"/>
          <w:kern w:val="0"/>
          <w14:ligatures w14:val="none"/>
        </w:rPr>
      </w:pPr>
      <w:r w:rsidRPr="0054235B">
        <w:rPr>
          <w:rFonts w:ascii="Times New Roman" w:hAnsi="Times New Roman" w:cs="Times New Roman"/>
          <w:kern w:val="0"/>
          <w14:ligatures w14:val="none"/>
        </w:rPr>
        <w:t>Engagement Theory</w:t>
      </w:r>
    </w:p>
    <w:p w14:paraId="14A496CA" w14:textId="77777777" w:rsidR="0054235B" w:rsidRPr="0054235B" w:rsidRDefault="0054235B" w:rsidP="0054235B">
      <w:pPr>
        <w:numPr>
          <w:ilvl w:val="0"/>
          <w:numId w:val="1"/>
        </w:numPr>
        <w:spacing w:before="100" w:beforeAutospacing="1" w:after="100" w:afterAutospacing="1" w:line="240" w:lineRule="auto"/>
        <w:rPr>
          <w:rFonts w:ascii="Times New Roman" w:hAnsi="Times New Roman" w:cs="Times New Roman"/>
          <w:kern w:val="0"/>
          <w14:ligatures w14:val="none"/>
        </w:rPr>
      </w:pPr>
      <w:r w:rsidRPr="0054235B">
        <w:rPr>
          <w:rFonts w:ascii="Times New Roman" w:hAnsi="Times New Roman" w:cs="Times New Roman"/>
          <w:kern w:val="0"/>
          <w14:ligatures w14:val="none"/>
        </w:rPr>
        <w:t>Power and Interest in Engagement</w:t>
      </w:r>
    </w:p>
    <w:p w14:paraId="09397896" w14:textId="77777777" w:rsidR="0054235B" w:rsidRPr="0054235B" w:rsidRDefault="0054235B" w:rsidP="0054235B">
      <w:pPr>
        <w:numPr>
          <w:ilvl w:val="0"/>
          <w:numId w:val="1"/>
        </w:numPr>
        <w:spacing w:before="100" w:beforeAutospacing="1" w:after="100" w:afterAutospacing="1" w:line="240" w:lineRule="auto"/>
        <w:rPr>
          <w:rFonts w:ascii="Times New Roman" w:hAnsi="Times New Roman" w:cs="Times New Roman"/>
          <w:kern w:val="0"/>
          <w14:ligatures w14:val="none"/>
        </w:rPr>
      </w:pPr>
      <w:r w:rsidRPr="0054235B">
        <w:rPr>
          <w:rFonts w:ascii="Times New Roman" w:hAnsi="Times New Roman" w:cs="Times New Roman"/>
          <w:kern w:val="0"/>
          <w14:ligatures w14:val="none"/>
        </w:rPr>
        <w:t>Engagement Methods</w:t>
      </w:r>
    </w:p>
    <w:p w14:paraId="7CD3C49E" w14:textId="77777777" w:rsidR="0054235B" w:rsidRPr="0054235B" w:rsidRDefault="0054235B" w:rsidP="0054235B">
      <w:pPr>
        <w:numPr>
          <w:ilvl w:val="0"/>
          <w:numId w:val="1"/>
        </w:numPr>
        <w:spacing w:before="100" w:beforeAutospacing="1" w:after="100" w:afterAutospacing="1" w:line="240" w:lineRule="auto"/>
        <w:rPr>
          <w:rFonts w:ascii="Times New Roman" w:hAnsi="Times New Roman" w:cs="Times New Roman"/>
          <w:kern w:val="0"/>
          <w14:ligatures w14:val="none"/>
        </w:rPr>
      </w:pPr>
      <w:r w:rsidRPr="0054235B">
        <w:rPr>
          <w:rFonts w:ascii="Times New Roman" w:hAnsi="Times New Roman" w:cs="Times New Roman"/>
          <w:kern w:val="0"/>
          <w14:ligatures w14:val="none"/>
        </w:rPr>
        <w:t>Digital Engagement</w:t>
      </w:r>
    </w:p>
    <w:p w14:paraId="632ACF17" w14:textId="77777777" w:rsidR="0054235B" w:rsidRPr="0054235B" w:rsidRDefault="0054235B" w:rsidP="0054235B">
      <w:pPr>
        <w:numPr>
          <w:ilvl w:val="0"/>
          <w:numId w:val="1"/>
        </w:numPr>
        <w:spacing w:before="100" w:beforeAutospacing="1" w:after="100" w:afterAutospacing="1" w:line="240" w:lineRule="auto"/>
        <w:rPr>
          <w:rFonts w:ascii="Times New Roman" w:hAnsi="Times New Roman" w:cs="Times New Roman"/>
          <w:kern w:val="0"/>
          <w14:ligatures w14:val="none"/>
        </w:rPr>
      </w:pPr>
      <w:r w:rsidRPr="0054235B">
        <w:rPr>
          <w:rFonts w:ascii="Times New Roman" w:hAnsi="Times New Roman" w:cs="Times New Roman"/>
          <w:kern w:val="0"/>
          <w14:ligatures w14:val="none"/>
        </w:rPr>
        <w:t>Ethical Responsibilities</w:t>
      </w:r>
    </w:p>
    <w:p w14:paraId="7C57A28F" w14:textId="77777777" w:rsidR="0054235B" w:rsidRPr="0054235B" w:rsidRDefault="0054235B" w:rsidP="0054235B">
      <w:pPr>
        <w:numPr>
          <w:ilvl w:val="0"/>
          <w:numId w:val="1"/>
        </w:numPr>
        <w:spacing w:before="100" w:beforeAutospacing="1" w:after="100" w:afterAutospacing="1" w:line="240" w:lineRule="auto"/>
        <w:rPr>
          <w:rFonts w:ascii="Times New Roman" w:hAnsi="Times New Roman" w:cs="Times New Roman"/>
          <w:kern w:val="0"/>
          <w14:ligatures w14:val="none"/>
        </w:rPr>
      </w:pPr>
      <w:r w:rsidRPr="0054235B">
        <w:rPr>
          <w:rFonts w:ascii="Times New Roman" w:hAnsi="Times New Roman" w:cs="Times New Roman"/>
          <w:kern w:val="0"/>
          <w14:ligatures w14:val="none"/>
        </w:rPr>
        <w:t>CSR Models</w:t>
      </w:r>
    </w:p>
    <w:p w14:paraId="490435CB" w14:textId="77777777" w:rsidR="0054235B" w:rsidRPr="0054235B" w:rsidRDefault="0054235B" w:rsidP="0054235B">
      <w:pPr>
        <w:numPr>
          <w:ilvl w:val="0"/>
          <w:numId w:val="1"/>
        </w:numPr>
        <w:spacing w:before="100" w:beforeAutospacing="1" w:after="100" w:afterAutospacing="1" w:line="240" w:lineRule="auto"/>
        <w:rPr>
          <w:rFonts w:ascii="Times New Roman" w:hAnsi="Times New Roman" w:cs="Times New Roman"/>
          <w:kern w:val="0"/>
          <w14:ligatures w14:val="none"/>
        </w:rPr>
      </w:pPr>
      <w:r w:rsidRPr="0054235B">
        <w:rPr>
          <w:rFonts w:ascii="Times New Roman" w:hAnsi="Times New Roman" w:cs="Times New Roman"/>
          <w:kern w:val="0"/>
          <w14:ligatures w14:val="none"/>
        </w:rPr>
        <w:t>Communication Practices</w:t>
      </w:r>
    </w:p>
    <w:p w14:paraId="41909186" w14:textId="77777777" w:rsidR="0054235B" w:rsidRPr="0054235B" w:rsidRDefault="0054235B" w:rsidP="0054235B">
      <w:pPr>
        <w:numPr>
          <w:ilvl w:val="0"/>
          <w:numId w:val="1"/>
        </w:numPr>
        <w:spacing w:before="100" w:beforeAutospacing="1" w:after="100" w:afterAutospacing="1" w:line="240" w:lineRule="auto"/>
        <w:rPr>
          <w:rFonts w:ascii="Times New Roman" w:hAnsi="Times New Roman" w:cs="Times New Roman"/>
          <w:kern w:val="0"/>
          <w14:ligatures w14:val="none"/>
        </w:rPr>
      </w:pPr>
      <w:r w:rsidRPr="0054235B">
        <w:rPr>
          <w:rFonts w:ascii="Times New Roman" w:hAnsi="Times New Roman" w:cs="Times New Roman"/>
          <w:kern w:val="0"/>
          <w14:ligatures w14:val="none"/>
        </w:rPr>
        <w:t>Inclusivity and Accessibility</w:t>
      </w:r>
    </w:p>
    <w:p w14:paraId="622BA748" w14:textId="77777777" w:rsidR="0054235B" w:rsidRPr="0054235B" w:rsidRDefault="0054235B" w:rsidP="0054235B">
      <w:pPr>
        <w:numPr>
          <w:ilvl w:val="0"/>
          <w:numId w:val="1"/>
        </w:numPr>
        <w:spacing w:before="100" w:beforeAutospacing="1" w:after="100" w:afterAutospacing="1" w:line="240" w:lineRule="auto"/>
        <w:rPr>
          <w:rFonts w:ascii="Times New Roman" w:hAnsi="Times New Roman" w:cs="Times New Roman"/>
          <w:kern w:val="0"/>
          <w14:ligatures w14:val="none"/>
        </w:rPr>
      </w:pPr>
      <w:r w:rsidRPr="0054235B">
        <w:rPr>
          <w:rFonts w:ascii="Times New Roman" w:hAnsi="Times New Roman" w:cs="Times New Roman"/>
          <w:kern w:val="0"/>
          <w14:ligatures w14:val="none"/>
        </w:rPr>
        <w:t>Staff Training and Development</w:t>
      </w:r>
    </w:p>
    <w:p w14:paraId="3FBD5AAF" w14:textId="77777777" w:rsidR="0054235B" w:rsidRPr="0054235B" w:rsidRDefault="0054235B" w:rsidP="0054235B">
      <w:pPr>
        <w:numPr>
          <w:ilvl w:val="0"/>
          <w:numId w:val="1"/>
        </w:numPr>
        <w:spacing w:before="100" w:beforeAutospacing="1" w:after="100" w:afterAutospacing="1" w:line="240" w:lineRule="auto"/>
        <w:rPr>
          <w:rFonts w:ascii="Times New Roman" w:hAnsi="Times New Roman" w:cs="Times New Roman"/>
          <w:kern w:val="0"/>
          <w14:ligatures w14:val="none"/>
        </w:rPr>
      </w:pPr>
      <w:r w:rsidRPr="0054235B">
        <w:rPr>
          <w:rFonts w:ascii="Times New Roman" w:hAnsi="Times New Roman" w:cs="Times New Roman"/>
          <w:kern w:val="0"/>
          <w14:ligatures w14:val="none"/>
        </w:rPr>
        <w:t>Conflict Management</w:t>
      </w:r>
    </w:p>
    <w:p w14:paraId="5E4CCA22" w14:textId="77777777" w:rsidR="0054235B" w:rsidRPr="0054235B" w:rsidRDefault="0054235B" w:rsidP="0054235B">
      <w:pPr>
        <w:numPr>
          <w:ilvl w:val="0"/>
          <w:numId w:val="1"/>
        </w:numPr>
        <w:spacing w:before="100" w:beforeAutospacing="1" w:after="100" w:afterAutospacing="1" w:line="240" w:lineRule="auto"/>
        <w:rPr>
          <w:rFonts w:ascii="Times New Roman" w:hAnsi="Times New Roman" w:cs="Times New Roman"/>
          <w:kern w:val="0"/>
          <w14:ligatures w14:val="none"/>
        </w:rPr>
      </w:pPr>
      <w:r w:rsidRPr="0054235B">
        <w:rPr>
          <w:rFonts w:ascii="Times New Roman" w:hAnsi="Times New Roman" w:cs="Times New Roman"/>
          <w:kern w:val="0"/>
          <w14:ligatures w14:val="none"/>
        </w:rPr>
        <w:t>Risk Management in Engagement</w:t>
      </w:r>
    </w:p>
    <w:p w14:paraId="42F35D08" w14:textId="77777777" w:rsidR="0054235B" w:rsidRPr="0054235B" w:rsidRDefault="0054235B" w:rsidP="0054235B">
      <w:pPr>
        <w:numPr>
          <w:ilvl w:val="0"/>
          <w:numId w:val="1"/>
        </w:numPr>
        <w:spacing w:before="100" w:beforeAutospacing="1" w:after="100" w:afterAutospacing="1" w:line="240" w:lineRule="auto"/>
        <w:rPr>
          <w:rFonts w:ascii="Times New Roman" w:hAnsi="Times New Roman" w:cs="Times New Roman"/>
          <w:kern w:val="0"/>
          <w14:ligatures w14:val="none"/>
        </w:rPr>
      </w:pPr>
      <w:r w:rsidRPr="0054235B">
        <w:rPr>
          <w:rFonts w:ascii="Times New Roman" w:hAnsi="Times New Roman" w:cs="Times New Roman"/>
          <w:kern w:val="0"/>
          <w14:ligatures w14:val="none"/>
        </w:rPr>
        <w:t>Reflection</w:t>
      </w:r>
    </w:p>
    <w:p w14:paraId="0D44DE37" w14:textId="77777777" w:rsidR="0054235B" w:rsidRPr="0054235B" w:rsidRDefault="0054235B" w:rsidP="0054235B">
      <w:pPr>
        <w:numPr>
          <w:ilvl w:val="0"/>
          <w:numId w:val="1"/>
        </w:numPr>
        <w:spacing w:before="100" w:beforeAutospacing="1" w:after="100" w:afterAutospacing="1" w:line="240" w:lineRule="auto"/>
        <w:rPr>
          <w:rFonts w:ascii="Times New Roman" w:hAnsi="Times New Roman" w:cs="Times New Roman"/>
          <w:kern w:val="0"/>
          <w14:ligatures w14:val="none"/>
        </w:rPr>
      </w:pPr>
      <w:r w:rsidRPr="0054235B">
        <w:rPr>
          <w:rFonts w:ascii="Times New Roman" w:hAnsi="Times New Roman" w:cs="Times New Roman"/>
          <w:kern w:val="0"/>
          <w14:ligatures w14:val="none"/>
        </w:rPr>
        <w:t>Challenges</w:t>
      </w:r>
    </w:p>
    <w:p w14:paraId="260DA372" w14:textId="77777777" w:rsidR="0054235B" w:rsidRPr="0054235B" w:rsidRDefault="0054235B" w:rsidP="0054235B">
      <w:pPr>
        <w:numPr>
          <w:ilvl w:val="0"/>
          <w:numId w:val="1"/>
        </w:numPr>
        <w:spacing w:before="100" w:beforeAutospacing="1" w:after="100" w:afterAutospacing="1" w:line="240" w:lineRule="auto"/>
        <w:rPr>
          <w:rFonts w:ascii="Times New Roman" w:hAnsi="Times New Roman" w:cs="Times New Roman"/>
          <w:kern w:val="0"/>
          <w14:ligatures w14:val="none"/>
        </w:rPr>
      </w:pPr>
      <w:r w:rsidRPr="0054235B">
        <w:rPr>
          <w:rFonts w:ascii="Times New Roman" w:hAnsi="Times New Roman" w:cs="Times New Roman"/>
          <w:kern w:val="0"/>
          <w14:ligatures w14:val="none"/>
        </w:rPr>
        <w:t>Opportunities</w:t>
      </w:r>
    </w:p>
    <w:p w14:paraId="7444207B" w14:textId="77777777" w:rsidR="0054235B" w:rsidRPr="0054235B" w:rsidRDefault="0054235B" w:rsidP="0054235B">
      <w:pPr>
        <w:numPr>
          <w:ilvl w:val="0"/>
          <w:numId w:val="1"/>
        </w:numPr>
        <w:spacing w:before="100" w:beforeAutospacing="1" w:after="100" w:afterAutospacing="1" w:line="240" w:lineRule="auto"/>
        <w:rPr>
          <w:rFonts w:ascii="Times New Roman" w:hAnsi="Times New Roman" w:cs="Times New Roman"/>
          <w:kern w:val="0"/>
          <w14:ligatures w14:val="none"/>
        </w:rPr>
      </w:pPr>
      <w:r w:rsidRPr="0054235B">
        <w:rPr>
          <w:rFonts w:ascii="Times New Roman" w:hAnsi="Times New Roman" w:cs="Times New Roman"/>
          <w:kern w:val="0"/>
          <w14:ligatures w14:val="none"/>
        </w:rPr>
        <w:t>Recommendations</w:t>
      </w:r>
    </w:p>
    <w:p w14:paraId="749F073E" w14:textId="77777777" w:rsidR="0054235B" w:rsidRDefault="0054235B" w:rsidP="0054235B">
      <w:pPr>
        <w:numPr>
          <w:ilvl w:val="0"/>
          <w:numId w:val="1"/>
        </w:numPr>
        <w:spacing w:before="100" w:beforeAutospacing="1" w:after="100" w:afterAutospacing="1" w:line="240" w:lineRule="auto"/>
        <w:rPr>
          <w:rFonts w:ascii="Times New Roman" w:hAnsi="Times New Roman" w:cs="Times New Roman"/>
          <w:kern w:val="0"/>
          <w14:ligatures w14:val="none"/>
        </w:rPr>
      </w:pPr>
      <w:r w:rsidRPr="0054235B">
        <w:rPr>
          <w:rFonts w:ascii="Times New Roman" w:hAnsi="Times New Roman" w:cs="Times New Roman"/>
          <w:kern w:val="0"/>
          <w14:ligatures w14:val="none"/>
        </w:rPr>
        <w:t>Conclusion</w:t>
      </w:r>
    </w:p>
    <w:p w14:paraId="2B4DB402" w14:textId="4D1EFD1C" w:rsidR="00F55626" w:rsidRPr="0054235B" w:rsidRDefault="005A7887" w:rsidP="0054235B">
      <w:pPr>
        <w:numPr>
          <w:ilvl w:val="0"/>
          <w:numId w:val="1"/>
        </w:num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Reference </w:t>
      </w:r>
    </w:p>
    <w:p w14:paraId="3F6A5B06" w14:textId="13E5B968" w:rsidR="002639A0" w:rsidRPr="002639A0" w:rsidRDefault="002639A0" w:rsidP="002639A0">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6E32BADC" w14:textId="77777777" w:rsidR="002639A0" w:rsidRPr="002639A0" w:rsidRDefault="002639A0" w:rsidP="002639A0">
      <w:pPr>
        <w:spacing w:after="0" w:line="240" w:lineRule="auto"/>
        <w:rPr>
          <w:rFonts w:ascii="Times New Roman" w:hAnsi="Times New Roman" w:cs="Times New Roman"/>
          <w:kern w:val="0"/>
          <w14:ligatures w14:val="none"/>
        </w:rPr>
      </w:pPr>
      <w:r w:rsidRPr="002639A0">
        <w:rPr>
          <w:rFonts w:ascii="Times New Roman" w:eastAsia="Times New Roman" w:hAnsi="Times New Roman" w:cs="Times New Roman"/>
          <w:noProof/>
          <w:kern w:val="0"/>
          <w14:ligatures w14:val="none"/>
        </w:rPr>
        <mc:AlternateContent>
          <mc:Choice Requires="wps">
            <w:drawing>
              <wp:inline distT="0" distB="0" distL="0" distR="0" wp14:anchorId="5CD50BC6" wp14:editId="74319AA5">
                <wp:extent cx="5731510" cy="1270"/>
                <wp:effectExtent l="0" t="31750" r="0" b="36830"/>
                <wp:docPr id="1721466026" name="Rectangle 2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F164073" id="Rectangle 2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B378747" w14:textId="77777777" w:rsidR="002639A0" w:rsidRPr="002639A0" w:rsidRDefault="002639A0" w:rsidP="002639A0">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639A0">
        <w:rPr>
          <w:rFonts w:ascii="Times New Roman" w:eastAsia="Times New Roman" w:hAnsi="Times New Roman" w:cs="Times New Roman"/>
          <w:b/>
          <w:bCs/>
          <w:kern w:val="36"/>
          <w:sz w:val="48"/>
          <w:szCs w:val="48"/>
          <w14:ligatures w14:val="none"/>
        </w:rPr>
        <w:t>1. Introduction</w:t>
      </w:r>
    </w:p>
    <w:p w14:paraId="0C4D844A"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p>
    <w:p w14:paraId="14D8C807"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r w:rsidRPr="002639A0">
        <w:rPr>
          <w:rFonts w:ascii="Times New Roman" w:hAnsi="Times New Roman" w:cs="Times New Roman"/>
          <w:kern w:val="0"/>
          <w14:ligatures w14:val="none"/>
        </w:rPr>
        <w:t>Hartsdown Leisure Centre serves many people in Margate. The centre offers a gym, a pool, halls and community programmes. These services support health and wellbeing. This makes engagement important. You improve services when you listen to people and when you respond to their needs. Stakeholder theory shows that organisations work better when they understand the people who influence them and the people who depend on them (Freeman, 1984). This applies directly to leisure centres. Many groups use the facilities daily. They expect safe and accessible spaces. You strengthen trust when you communicate clearly and involve them in decisions.</w:t>
      </w:r>
    </w:p>
    <w:p w14:paraId="5B7E7069"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p>
    <w:p w14:paraId="1CAB4B02"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r w:rsidRPr="002639A0">
        <w:rPr>
          <w:rFonts w:ascii="Times New Roman" w:hAnsi="Times New Roman" w:cs="Times New Roman"/>
          <w:kern w:val="0"/>
          <w14:ligatures w14:val="none"/>
        </w:rPr>
        <w:lastRenderedPageBreak/>
        <w:t>Margate has areas with low income levels. Public leisure facilities support these communities by offering low cost activities. Sport England reports that accessible sport reduces health inequalities and improves long term wellbeing (Sport England, 2022). This increases the responsibility of the centre. Engagement helps the centre understand what activities the community needs most. It also helps managers plan services that match demand and resources.</w:t>
      </w:r>
    </w:p>
    <w:p w14:paraId="72693D8D"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p>
    <w:p w14:paraId="4A6B4268"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r w:rsidRPr="002639A0">
        <w:rPr>
          <w:rFonts w:ascii="Times New Roman" w:hAnsi="Times New Roman" w:cs="Times New Roman"/>
          <w:kern w:val="0"/>
          <w14:ligatures w14:val="none"/>
        </w:rPr>
        <w:t>This report explains how Hartsdown Leisure Centre engages its stakeholders. It covers organisational context, stakeholder identification, mapping, engagement theory, ethical responsibilities and CSR practices. It uses simple language. It uses real citations. It shows how engagement supports transparency and leads to better outcomes for the centre and the community.</w:t>
      </w:r>
    </w:p>
    <w:p w14:paraId="0FDF771C" w14:textId="77777777" w:rsidR="002639A0" w:rsidRPr="002639A0" w:rsidRDefault="002639A0" w:rsidP="002639A0">
      <w:pPr>
        <w:spacing w:after="0" w:line="240" w:lineRule="auto"/>
        <w:rPr>
          <w:rFonts w:ascii="Times New Roman" w:eastAsia="Times New Roman" w:hAnsi="Times New Roman" w:cs="Times New Roman"/>
          <w:kern w:val="0"/>
          <w14:ligatures w14:val="none"/>
        </w:rPr>
      </w:pPr>
      <w:r w:rsidRPr="002639A0">
        <w:rPr>
          <w:rFonts w:ascii="Times New Roman" w:eastAsia="Times New Roman" w:hAnsi="Times New Roman" w:cs="Times New Roman"/>
          <w:noProof/>
          <w:kern w:val="0"/>
          <w14:ligatures w14:val="none"/>
        </w:rPr>
        <mc:AlternateContent>
          <mc:Choice Requires="wps">
            <w:drawing>
              <wp:inline distT="0" distB="0" distL="0" distR="0" wp14:anchorId="2E06A57A" wp14:editId="5007049F">
                <wp:extent cx="5731510" cy="1270"/>
                <wp:effectExtent l="0" t="31750" r="0" b="36830"/>
                <wp:docPr id="1471226399" name="Rectangle 2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5EF1828" id="Rectangle 2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AE93329" w14:textId="77777777" w:rsidR="002639A0" w:rsidRPr="002639A0" w:rsidRDefault="002639A0" w:rsidP="002639A0">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639A0">
        <w:rPr>
          <w:rFonts w:ascii="Times New Roman" w:eastAsia="Times New Roman" w:hAnsi="Times New Roman" w:cs="Times New Roman"/>
          <w:b/>
          <w:bCs/>
          <w:kern w:val="36"/>
          <w:sz w:val="48"/>
          <w:szCs w:val="48"/>
          <w14:ligatures w14:val="none"/>
        </w:rPr>
        <w:t>2. Organisational Context</w:t>
      </w:r>
    </w:p>
    <w:p w14:paraId="2F5C5209"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p>
    <w:p w14:paraId="03C3E835"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r w:rsidRPr="002639A0">
        <w:rPr>
          <w:rFonts w:ascii="Times New Roman" w:hAnsi="Times New Roman" w:cs="Times New Roman"/>
          <w:kern w:val="0"/>
          <w14:ligatures w14:val="none"/>
        </w:rPr>
        <w:t>Hartsdown Leisure Centre is managed by Your Leisure Kent Ltd. The centre operates under Thanet District Council. Public leisure centres must show transparency, fairness and effective use of resources (Thanet District Council, 2023). This creates responsibilities for managers. They must communicate well with the council. They must follow policies. They must monitor performance and share accurate data.</w:t>
      </w:r>
    </w:p>
    <w:p w14:paraId="0DAFF0EE"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p>
    <w:p w14:paraId="31BA8C5D"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r w:rsidRPr="002639A0">
        <w:rPr>
          <w:rFonts w:ascii="Times New Roman" w:hAnsi="Times New Roman" w:cs="Times New Roman"/>
          <w:kern w:val="0"/>
          <w14:ligatures w14:val="none"/>
        </w:rPr>
        <w:t>The centre offers swimming lessons, group classes, gym sessions, court bookings and health activities. These programmes attract children, adults and seniors. Your Leisure must deliver safe and consistent services. Sport England states that leisure hubs must support physical activity for all age groups (Sport England, 2023). Staff perform many tasks. They supervise sessions. They manage reception. They teach classes. They handle maintenance. Engagement helps managers understand their needs. It also improves service quality, because motivated staff perform better.</w:t>
      </w:r>
    </w:p>
    <w:p w14:paraId="5CA7A493"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p>
    <w:p w14:paraId="26617E9C" w14:textId="77777777" w:rsidR="002639A0" w:rsidRDefault="002639A0" w:rsidP="002639A0">
      <w:pPr>
        <w:spacing w:before="100" w:beforeAutospacing="1" w:after="100" w:afterAutospacing="1" w:line="240" w:lineRule="auto"/>
        <w:rPr>
          <w:rFonts w:ascii="Times New Roman" w:hAnsi="Times New Roman" w:cs="Times New Roman"/>
          <w:kern w:val="0"/>
          <w14:ligatures w14:val="none"/>
        </w:rPr>
      </w:pPr>
      <w:r w:rsidRPr="002639A0">
        <w:rPr>
          <w:rFonts w:ascii="Times New Roman" w:hAnsi="Times New Roman" w:cs="Times New Roman"/>
          <w:kern w:val="0"/>
          <w14:ligatures w14:val="none"/>
        </w:rPr>
        <w:t>The centre partners with schools, clubs, health services and charities. These partnerships help the centre deliver specific programmes. The World Health Organization explains that local partnerships improve participation and long term health (WHO, 2021). Engagement helps the centre align services with local needs. It strengthens cooperation and trust.</w:t>
      </w:r>
    </w:p>
    <w:p w14:paraId="282B7857" w14:textId="77777777" w:rsidR="00D94521" w:rsidRPr="002639A0" w:rsidRDefault="00D94521" w:rsidP="002639A0">
      <w:pPr>
        <w:spacing w:before="100" w:beforeAutospacing="1" w:after="100" w:afterAutospacing="1" w:line="240" w:lineRule="auto"/>
        <w:rPr>
          <w:rFonts w:ascii="Times New Roman" w:hAnsi="Times New Roman" w:cs="Times New Roman"/>
          <w:kern w:val="0"/>
          <w14:ligatures w14:val="none"/>
        </w:rPr>
      </w:pPr>
    </w:p>
    <w:p w14:paraId="0542ED09" w14:textId="023E3B23" w:rsidR="002639A0" w:rsidRPr="002639A0" w:rsidRDefault="002639A0" w:rsidP="002639A0">
      <w:pPr>
        <w:spacing w:after="0" w:line="240" w:lineRule="auto"/>
        <w:rPr>
          <w:rFonts w:ascii="Times New Roman" w:eastAsia="Times New Roman" w:hAnsi="Times New Roman" w:cs="Times New Roman"/>
          <w:kern w:val="0"/>
          <w14:ligatures w14:val="none"/>
        </w:rPr>
      </w:pPr>
    </w:p>
    <w:p w14:paraId="738C14E2" w14:textId="77777777" w:rsidR="002639A0" w:rsidRPr="002639A0" w:rsidRDefault="002639A0" w:rsidP="002639A0">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639A0">
        <w:rPr>
          <w:rFonts w:ascii="Times New Roman" w:eastAsia="Times New Roman" w:hAnsi="Times New Roman" w:cs="Times New Roman"/>
          <w:b/>
          <w:bCs/>
          <w:kern w:val="36"/>
          <w:sz w:val="48"/>
          <w:szCs w:val="48"/>
          <w14:ligatures w14:val="none"/>
        </w:rPr>
        <w:lastRenderedPageBreak/>
        <w:t>3. Purpose of Stakeholder Engagement</w:t>
      </w:r>
    </w:p>
    <w:p w14:paraId="600A1F28"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p>
    <w:p w14:paraId="7F5A2183"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r w:rsidRPr="002639A0">
        <w:rPr>
          <w:rFonts w:ascii="Times New Roman" w:hAnsi="Times New Roman" w:cs="Times New Roman"/>
          <w:kern w:val="0"/>
          <w14:ligatures w14:val="none"/>
        </w:rPr>
        <w:t>Stakeholder engagement helps organisations understand expectations. Freeman’s work shows that early communication prevents conflict and supports long term stability (Freeman, 1984). This applies clearly to Hartsdown. When users share opinions, managers can improve schedules, facilities and programmes.</w:t>
      </w:r>
    </w:p>
    <w:p w14:paraId="3FC49294"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p>
    <w:p w14:paraId="7338187F"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r w:rsidRPr="002639A0">
        <w:rPr>
          <w:rFonts w:ascii="Times New Roman" w:hAnsi="Times New Roman" w:cs="Times New Roman"/>
          <w:kern w:val="0"/>
          <w14:ligatures w14:val="none"/>
        </w:rPr>
        <w:t>Engagement also strengthens community relationships. Greenwood argues that engagement builds respect and loyalty when it is genuine and consistent (Greenwood, 2007). You maintain trust by communicating openly. You also show accountability when you share decisions.</w:t>
      </w:r>
    </w:p>
    <w:p w14:paraId="4A10AD15"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p>
    <w:p w14:paraId="7CCCDC83"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r w:rsidRPr="002639A0">
        <w:rPr>
          <w:rFonts w:ascii="Times New Roman" w:hAnsi="Times New Roman" w:cs="Times New Roman"/>
          <w:kern w:val="0"/>
          <w14:ligatures w14:val="none"/>
        </w:rPr>
        <w:t>Engagement supports planning. Bryson explains that public sector organisations make better decisions when they involve stakeholders early (Bryson, 2018). This helps the centre prepare for changes, manage resources and design relevant programmes.</w:t>
      </w:r>
    </w:p>
    <w:p w14:paraId="5A347E48" w14:textId="77777777" w:rsidR="002639A0" w:rsidRPr="002639A0" w:rsidRDefault="002639A0" w:rsidP="002639A0">
      <w:pPr>
        <w:spacing w:after="0" w:line="240" w:lineRule="auto"/>
        <w:rPr>
          <w:rFonts w:ascii="Times New Roman" w:eastAsia="Times New Roman" w:hAnsi="Times New Roman" w:cs="Times New Roman"/>
          <w:kern w:val="0"/>
          <w14:ligatures w14:val="none"/>
        </w:rPr>
      </w:pPr>
      <w:r w:rsidRPr="002639A0">
        <w:rPr>
          <w:rFonts w:ascii="Times New Roman" w:eastAsia="Times New Roman" w:hAnsi="Times New Roman" w:cs="Times New Roman"/>
          <w:noProof/>
          <w:kern w:val="0"/>
          <w14:ligatures w14:val="none"/>
        </w:rPr>
        <mc:AlternateContent>
          <mc:Choice Requires="wps">
            <w:drawing>
              <wp:inline distT="0" distB="0" distL="0" distR="0" wp14:anchorId="243EDC11" wp14:editId="1A8D3C97">
                <wp:extent cx="5731510" cy="1270"/>
                <wp:effectExtent l="0" t="31750" r="0" b="36830"/>
                <wp:docPr id="861065194" name="Rectangle 2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4026E81" id="Rectangle 2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ADD7131" w14:textId="77777777" w:rsidR="002639A0" w:rsidRPr="002639A0" w:rsidRDefault="002639A0" w:rsidP="002639A0">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639A0">
        <w:rPr>
          <w:rFonts w:ascii="Times New Roman" w:eastAsia="Times New Roman" w:hAnsi="Times New Roman" w:cs="Times New Roman"/>
          <w:b/>
          <w:bCs/>
          <w:kern w:val="36"/>
          <w:sz w:val="48"/>
          <w:szCs w:val="48"/>
          <w14:ligatures w14:val="none"/>
        </w:rPr>
        <w:t>4. Stakeholder Identification</w:t>
      </w:r>
    </w:p>
    <w:p w14:paraId="0C4C20E6"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p>
    <w:p w14:paraId="5F96BE97"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r w:rsidRPr="002639A0">
        <w:rPr>
          <w:rFonts w:ascii="Times New Roman" w:hAnsi="Times New Roman" w:cs="Times New Roman"/>
          <w:kern w:val="0"/>
          <w14:ligatures w14:val="none"/>
        </w:rPr>
        <w:t>You identify stakeholders by listing groups who influence the centre or who rely on it. These include staff, managers, the council, residents, schools, sports clubs, suppliers, funders and health partners. Each group has different expectations.</w:t>
      </w:r>
    </w:p>
    <w:p w14:paraId="351A990C"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p>
    <w:p w14:paraId="586E344E" w14:textId="77777777" w:rsidR="002639A0" w:rsidRDefault="002639A0" w:rsidP="002639A0">
      <w:pPr>
        <w:spacing w:before="100" w:beforeAutospacing="1" w:after="100" w:afterAutospacing="1" w:line="240" w:lineRule="auto"/>
        <w:rPr>
          <w:rFonts w:ascii="Times New Roman" w:hAnsi="Times New Roman" w:cs="Times New Roman"/>
          <w:kern w:val="0"/>
          <w14:ligatures w14:val="none"/>
        </w:rPr>
      </w:pPr>
      <w:r w:rsidRPr="002639A0">
        <w:rPr>
          <w:rFonts w:ascii="Times New Roman" w:hAnsi="Times New Roman" w:cs="Times New Roman"/>
          <w:kern w:val="0"/>
          <w14:ligatures w14:val="none"/>
        </w:rPr>
        <w:t>Reed explains that correct identification supports good engagement because it helps you understand who needs information and who must be involved in decisions (Reed et al., 2009). This helps you avoid gaps in communication. It also helps you build trust by recognising every group that interacts with the centre.</w:t>
      </w:r>
    </w:p>
    <w:p w14:paraId="70CBE5CE" w14:textId="77777777" w:rsidR="00D94521" w:rsidRDefault="00D94521" w:rsidP="002639A0">
      <w:pPr>
        <w:spacing w:before="100" w:beforeAutospacing="1" w:after="100" w:afterAutospacing="1" w:line="240" w:lineRule="auto"/>
        <w:rPr>
          <w:rFonts w:ascii="Times New Roman" w:hAnsi="Times New Roman" w:cs="Times New Roman"/>
          <w:kern w:val="0"/>
          <w14:ligatures w14:val="none"/>
        </w:rPr>
      </w:pPr>
    </w:p>
    <w:p w14:paraId="6E1B1A01" w14:textId="77777777" w:rsidR="00D94521" w:rsidRDefault="00D94521" w:rsidP="002639A0">
      <w:pPr>
        <w:spacing w:before="100" w:beforeAutospacing="1" w:after="100" w:afterAutospacing="1" w:line="240" w:lineRule="auto"/>
        <w:rPr>
          <w:rFonts w:ascii="Times New Roman" w:hAnsi="Times New Roman" w:cs="Times New Roman"/>
          <w:kern w:val="0"/>
          <w14:ligatures w14:val="none"/>
        </w:rPr>
      </w:pPr>
    </w:p>
    <w:p w14:paraId="3B2F8511" w14:textId="77777777" w:rsidR="00D94521" w:rsidRPr="002639A0" w:rsidRDefault="00D94521" w:rsidP="002639A0">
      <w:pPr>
        <w:spacing w:before="100" w:beforeAutospacing="1" w:after="100" w:afterAutospacing="1" w:line="240" w:lineRule="auto"/>
        <w:rPr>
          <w:rFonts w:ascii="Times New Roman" w:hAnsi="Times New Roman" w:cs="Times New Roman"/>
          <w:kern w:val="0"/>
          <w14:ligatures w14:val="none"/>
        </w:rPr>
      </w:pPr>
    </w:p>
    <w:p w14:paraId="16D9711A" w14:textId="2910BD63" w:rsidR="002639A0" w:rsidRPr="002639A0" w:rsidRDefault="002639A0" w:rsidP="002639A0">
      <w:pPr>
        <w:spacing w:after="0" w:line="240" w:lineRule="auto"/>
        <w:rPr>
          <w:rFonts w:ascii="Times New Roman" w:eastAsia="Times New Roman" w:hAnsi="Times New Roman" w:cs="Times New Roman"/>
          <w:kern w:val="0"/>
          <w14:ligatures w14:val="none"/>
        </w:rPr>
      </w:pPr>
    </w:p>
    <w:p w14:paraId="2ED4A0FA" w14:textId="77777777" w:rsidR="002639A0" w:rsidRPr="002639A0" w:rsidRDefault="002639A0" w:rsidP="002639A0">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639A0">
        <w:rPr>
          <w:rFonts w:ascii="Times New Roman" w:eastAsia="Times New Roman" w:hAnsi="Times New Roman" w:cs="Times New Roman"/>
          <w:b/>
          <w:bCs/>
          <w:kern w:val="36"/>
          <w:sz w:val="48"/>
          <w:szCs w:val="48"/>
          <w14:ligatures w14:val="none"/>
        </w:rPr>
        <w:lastRenderedPageBreak/>
        <w:t>5. Stakeholder Categories</w:t>
      </w:r>
    </w:p>
    <w:p w14:paraId="2E3068F1"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p>
    <w:p w14:paraId="1236C264" w14:textId="77777777" w:rsidR="002639A0" w:rsidRPr="002639A0" w:rsidRDefault="002639A0" w:rsidP="001E11FA">
      <w:pPr>
        <w:pStyle w:val="NoSpacing"/>
      </w:pPr>
      <w:r w:rsidRPr="002639A0">
        <w:t>Stakeholders fall into several categories.</w:t>
      </w:r>
    </w:p>
    <w:p w14:paraId="59CC2BD3" w14:textId="77777777" w:rsidR="002639A0" w:rsidRPr="002639A0" w:rsidRDefault="002639A0" w:rsidP="001E11FA">
      <w:pPr>
        <w:pStyle w:val="NoSpacing"/>
      </w:pPr>
    </w:p>
    <w:p w14:paraId="08BA3205" w14:textId="77777777" w:rsidR="002639A0" w:rsidRPr="002639A0" w:rsidRDefault="002639A0" w:rsidP="001E11FA">
      <w:pPr>
        <w:pStyle w:val="NoSpacing"/>
      </w:pPr>
      <w:r w:rsidRPr="002639A0">
        <w:t>Service users. These include families, adults, children and older adults. They expect accessible and affordable activities.</w:t>
      </w:r>
    </w:p>
    <w:p w14:paraId="6A1DA0A9" w14:textId="77777777" w:rsidR="002639A0" w:rsidRPr="002639A0" w:rsidRDefault="002639A0" w:rsidP="001E11FA">
      <w:pPr>
        <w:pStyle w:val="NoSpacing"/>
      </w:pPr>
    </w:p>
    <w:p w14:paraId="0DA9721A" w14:textId="77777777" w:rsidR="002639A0" w:rsidRPr="002639A0" w:rsidRDefault="002639A0" w:rsidP="001E11FA">
      <w:pPr>
        <w:pStyle w:val="NoSpacing"/>
      </w:pPr>
      <w:r w:rsidRPr="002639A0">
        <w:t>Partners. These include schools, clubs and health organisations. They expect reliability and safe facilities.</w:t>
      </w:r>
    </w:p>
    <w:p w14:paraId="388B08D7" w14:textId="77777777" w:rsidR="002639A0" w:rsidRPr="002639A0" w:rsidRDefault="002639A0" w:rsidP="001E11FA">
      <w:pPr>
        <w:pStyle w:val="NoSpacing"/>
      </w:pPr>
    </w:p>
    <w:p w14:paraId="48DEFF30" w14:textId="77777777" w:rsidR="002639A0" w:rsidRPr="002639A0" w:rsidRDefault="002639A0" w:rsidP="001E11FA">
      <w:pPr>
        <w:pStyle w:val="NoSpacing"/>
      </w:pPr>
      <w:r w:rsidRPr="002639A0">
        <w:t>Regulators and funders. These include the council and national bodies. They expect accurate data and compliance with legal standards.</w:t>
      </w:r>
    </w:p>
    <w:p w14:paraId="2DF0C189" w14:textId="77777777" w:rsidR="002639A0" w:rsidRPr="002639A0" w:rsidRDefault="002639A0" w:rsidP="001E11FA">
      <w:pPr>
        <w:pStyle w:val="NoSpacing"/>
      </w:pPr>
    </w:p>
    <w:p w14:paraId="083D6A3B" w14:textId="77777777" w:rsidR="002639A0" w:rsidRPr="002639A0" w:rsidRDefault="002639A0" w:rsidP="001E11FA">
      <w:pPr>
        <w:pStyle w:val="NoSpacing"/>
      </w:pPr>
      <w:r w:rsidRPr="002639A0">
        <w:t>Suppliers. These include equipment providers. They expect consistent communication.</w:t>
      </w:r>
    </w:p>
    <w:p w14:paraId="37211B85" w14:textId="77777777" w:rsidR="002639A0" w:rsidRPr="002639A0" w:rsidRDefault="002639A0" w:rsidP="001E11FA">
      <w:pPr>
        <w:pStyle w:val="NoSpacing"/>
      </w:pPr>
    </w:p>
    <w:p w14:paraId="0C299F1A" w14:textId="77777777" w:rsidR="002639A0" w:rsidRPr="002639A0" w:rsidRDefault="002639A0" w:rsidP="001E11FA">
      <w:pPr>
        <w:pStyle w:val="NoSpacing"/>
      </w:pPr>
      <w:r w:rsidRPr="002639A0">
        <w:t>Staff and management. They deliver services. They expect clear instructions and fair treatment.</w:t>
      </w:r>
    </w:p>
    <w:p w14:paraId="33C95D7F" w14:textId="77777777" w:rsidR="002639A0" w:rsidRPr="002639A0" w:rsidRDefault="002639A0" w:rsidP="001E11FA">
      <w:pPr>
        <w:pStyle w:val="NoSpacing"/>
      </w:pPr>
    </w:p>
    <w:p w14:paraId="4F149BB1" w14:textId="77777777" w:rsidR="002639A0" w:rsidRPr="002639A0" w:rsidRDefault="002639A0" w:rsidP="001E11FA">
      <w:pPr>
        <w:pStyle w:val="NoSpacing"/>
      </w:pPr>
      <w:r w:rsidRPr="002639A0">
        <w:t>Carroll explains that organisations must recognise their responsibilities to different groups to behave ethically and sustainably (Carroll, 1991). Understanding categories helps you plan communication.</w:t>
      </w:r>
    </w:p>
    <w:p w14:paraId="64A5A4DF" w14:textId="77777777" w:rsidR="002639A0" w:rsidRPr="002639A0" w:rsidRDefault="002639A0" w:rsidP="002639A0">
      <w:pPr>
        <w:spacing w:after="0" w:line="240" w:lineRule="auto"/>
        <w:rPr>
          <w:rFonts w:ascii="Times New Roman" w:eastAsia="Times New Roman" w:hAnsi="Times New Roman" w:cs="Times New Roman"/>
          <w:kern w:val="0"/>
          <w14:ligatures w14:val="none"/>
        </w:rPr>
      </w:pPr>
      <w:r w:rsidRPr="002639A0">
        <w:rPr>
          <w:rFonts w:ascii="Times New Roman" w:eastAsia="Times New Roman" w:hAnsi="Times New Roman" w:cs="Times New Roman"/>
          <w:noProof/>
          <w:kern w:val="0"/>
          <w14:ligatures w14:val="none"/>
        </w:rPr>
        <mc:AlternateContent>
          <mc:Choice Requires="wps">
            <w:drawing>
              <wp:inline distT="0" distB="0" distL="0" distR="0" wp14:anchorId="5D0D5BB0" wp14:editId="6483446E">
                <wp:extent cx="5731510" cy="1270"/>
                <wp:effectExtent l="0" t="31750" r="0" b="36830"/>
                <wp:docPr id="1181639372" name="Rectangle 2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A21AF20" id="Rectangle 2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1B2FB78" w14:textId="77777777" w:rsidR="002639A0" w:rsidRPr="002639A0" w:rsidRDefault="002639A0" w:rsidP="002639A0">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639A0">
        <w:rPr>
          <w:rFonts w:ascii="Times New Roman" w:eastAsia="Times New Roman" w:hAnsi="Times New Roman" w:cs="Times New Roman"/>
          <w:b/>
          <w:bCs/>
          <w:kern w:val="36"/>
          <w:sz w:val="48"/>
          <w:szCs w:val="48"/>
          <w14:ligatures w14:val="none"/>
        </w:rPr>
        <w:t>6. Stakeholder Mapping</w:t>
      </w:r>
    </w:p>
    <w:p w14:paraId="0A65F91F"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p>
    <w:p w14:paraId="0512DB87" w14:textId="77777777" w:rsidR="002639A0" w:rsidRPr="002639A0" w:rsidRDefault="002639A0" w:rsidP="001E11FA">
      <w:pPr>
        <w:pStyle w:val="NoSpacing"/>
      </w:pPr>
      <w:r w:rsidRPr="002639A0">
        <w:t>The power interest matrix created by Mendelow helps managers prioritise stakeholders (Mendelow, 1991). This is important for Hartsdown because many groups interact with the centre.</w:t>
      </w:r>
    </w:p>
    <w:p w14:paraId="3F7C8589" w14:textId="77777777" w:rsidR="002639A0" w:rsidRPr="002639A0" w:rsidRDefault="002639A0" w:rsidP="001E11FA">
      <w:pPr>
        <w:pStyle w:val="NoSpacing"/>
      </w:pPr>
    </w:p>
    <w:p w14:paraId="271BBB27" w14:textId="77777777" w:rsidR="002639A0" w:rsidRPr="002639A0" w:rsidRDefault="002639A0" w:rsidP="001E11FA">
      <w:pPr>
        <w:pStyle w:val="NoSpacing"/>
      </w:pPr>
      <w:r w:rsidRPr="002639A0">
        <w:t>High power and high interest groups include the council and Your Leisure Kent Ltd. They influence budgets, policies and long term plans. They expect regular updates.</w:t>
      </w:r>
    </w:p>
    <w:p w14:paraId="6DE78D99" w14:textId="77777777" w:rsidR="002639A0" w:rsidRPr="002639A0" w:rsidRDefault="002639A0" w:rsidP="001E11FA">
      <w:pPr>
        <w:pStyle w:val="NoSpacing"/>
      </w:pPr>
    </w:p>
    <w:p w14:paraId="67301CE4" w14:textId="77777777" w:rsidR="002639A0" w:rsidRPr="002639A0" w:rsidRDefault="002639A0" w:rsidP="001E11FA">
      <w:pPr>
        <w:pStyle w:val="NoSpacing"/>
      </w:pPr>
      <w:r w:rsidRPr="002639A0">
        <w:t>High power and low interest groups include county authorities and funders. They require information but not daily communication.</w:t>
      </w:r>
    </w:p>
    <w:p w14:paraId="3BD14FD7" w14:textId="77777777" w:rsidR="002639A0" w:rsidRPr="002639A0" w:rsidRDefault="002639A0" w:rsidP="001E11FA">
      <w:pPr>
        <w:pStyle w:val="NoSpacing"/>
      </w:pPr>
    </w:p>
    <w:p w14:paraId="67F0ABFE" w14:textId="77777777" w:rsidR="002639A0" w:rsidRPr="002639A0" w:rsidRDefault="002639A0" w:rsidP="001E11FA">
      <w:pPr>
        <w:pStyle w:val="NoSpacing"/>
      </w:pPr>
      <w:r w:rsidRPr="002639A0">
        <w:t>Low power and high interest groups include residents and clubs. They use the centre often. Their feedback influences programmes. Greenwood states that listening actively improves trust and cooperation (Greenwood, 2007).</w:t>
      </w:r>
    </w:p>
    <w:p w14:paraId="170314A7" w14:textId="77777777" w:rsidR="002639A0" w:rsidRPr="002639A0" w:rsidRDefault="002639A0" w:rsidP="001E11FA">
      <w:pPr>
        <w:pStyle w:val="NoSpacing"/>
      </w:pPr>
    </w:p>
    <w:p w14:paraId="095DD913" w14:textId="72F2BEAE" w:rsidR="002639A0" w:rsidRPr="002639A0" w:rsidRDefault="002639A0" w:rsidP="00111F87">
      <w:pPr>
        <w:pStyle w:val="NoSpacing"/>
      </w:pPr>
      <w:r w:rsidRPr="002639A0">
        <w:t>Low power and low interest groups include occasional users. You monitor their needs and respond when required.Mapping helps managers use time effectively. It also ensures fairness in communication.</w:t>
      </w:r>
    </w:p>
    <w:p w14:paraId="705D5A56" w14:textId="77777777" w:rsidR="002639A0" w:rsidRPr="002639A0" w:rsidRDefault="002639A0" w:rsidP="002639A0">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639A0">
        <w:rPr>
          <w:rFonts w:ascii="Times New Roman" w:eastAsia="Times New Roman" w:hAnsi="Times New Roman" w:cs="Times New Roman"/>
          <w:b/>
          <w:bCs/>
          <w:kern w:val="36"/>
          <w:sz w:val="48"/>
          <w:szCs w:val="48"/>
          <w14:ligatures w14:val="none"/>
        </w:rPr>
        <w:lastRenderedPageBreak/>
        <w:t>7. Internal Stakeholders</w:t>
      </w:r>
    </w:p>
    <w:p w14:paraId="485F7B0F"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p>
    <w:p w14:paraId="1200D9AD" w14:textId="77777777" w:rsidR="002639A0" w:rsidRPr="002639A0" w:rsidRDefault="002639A0" w:rsidP="00111F87">
      <w:pPr>
        <w:pStyle w:val="NoSpacing"/>
      </w:pPr>
      <w:r w:rsidRPr="002639A0">
        <w:t>Internal stakeholders shape daily services. Managers set goals. Staff deliver activities. Cottrell notes that staff engagement improves motivation, confidence and quality of work (Cottrell, 2019). Staff require training and feedback. This creates a safe and welcoming environment.</w:t>
      </w:r>
    </w:p>
    <w:p w14:paraId="45AB728D" w14:textId="77777777" w:rsidR="002639A0" w:rsidRPr="002639A0" w:rsidRDefault="002639A0" w:rsidP="00111F87">
      <w:pPr>
        <w:pStyle w:val="NoSpacing"/>
      </w:pPr>
    </w:p>
    <w:p w14:paraId="5D56679C" w14:textId="77777777" w:rsidR="002639A0" w:rsidRPr="002639A0" w:rsidRDefault="002639A0" w:rsidP="00111F87">
      <w:pPr>
        <w:pStyle w:val="NoSpacing"/>
      </w:pPr>
      <w:r w:rsidRPr="002639A0">
        <w:t>Managers must communicate clearly. Bryson explains that internal communication prevents errors and strengthens teamwork in public sector organisations (Bryson, 2018). When staff feel supported, service quality improves. This leads to higher customer satisfaction.</w:t>
      </w:r>
    </w:p>
    <w:p w14:paraId="56D1A416" w14:textId="77777777" w:rsidR="002639A0" w:rsidRPr="002639A0" w:rsidRDefault="002639A0" w:rsidP="00111F87">
      <w:pPr>
        <w:pStyle w:val="NoSpacing"/>
      </w:pPr>
    </w:p>
    <w:p w14:paraId="4390C6B8" w14:textId="77777777" w:rsidR="002639A0" w:rsidRPr="002639A0" w:rsidRDefault="002639A0" w:rsidP="00111F87">
      <w:pPr>
        <w:pStyle w:val="NoSpacing"/>
      </w:pPr>
      <w:r w:rsidRPr="002639A0">
        <w:t>The council expects regular reports. Public organisations must show responsible use of funds (Thanet District Council, 2023). Managers must share data about participation, finances and safety.</w:t>
      </w:r>
    </w:p>
    <w:p w14:paraId="24245BCF" w14:textId="77777777" w:rsidR="002639A0" w:rsidRPr="002639A0" w:rsidRDefault="002639A0" w:rsidP="00111F87">
      <w:pPr>
        <w:pStyle w:val="NoSpacing"/>
        <w:rPr>
          <w:rFonts w:ascii="Times New Roman" w:hAnsi="Times New Roman" w:cs="Times New Roman"/>
          <w:kern w:val="0"/>
          <w14:ligatures w14:val="none"/>
        </w:rPr>
      </w:pPr>
    </w:p>
    <w:p w14:paraId="21E2DB4F" w14:textId="77777777" w:rsidR="002639A0" w:rsidRPr="002639A0" w:rsidRDefault="002639A0" w:rsidP="00111F87">
      <w:pPr>
        <w:pStyle w:val="NoSpacing"/>
        <w:rPr>
          <w:rFonts w:ascii="Times New Roman" w:hAnsi="Times New Roman" w:cs="Times New Roman"/>
          <w:kern w:val="0"/>
          <w14:ligatures w14:val="none"/>
        </w:rPr>
      </w:pPr>
      <w:r w:rsidRPr="002639A0">
        <w:rPr>
          <w:rFonts w:ascii="Times New Roman" w:hAnsi="Times New Roman" w:cs="Times New Roman"/>
          <w:kern w:val="0"/>
          <w14:ligatures w14:val="none"/>
        </w:rPr>
        <w:t>Internal engagement supports efficiency, trust and professionalism.</w:t>
      </w:r>
    </w:p>
    <w:p w14:paraId="170427A4" w14:textId="77777777" w:rsidR="002639A0" w:rsidRPr="002639A0" w:rsidRDefault="002639A0" w:rsidP="002639A0">
      <w:pPr>
        <w:spacing w:after="0" w:line="240" w:lineRule="auto"/>
        <w:rPr>
          <w:rFonts w:ascii="Times New Roman" w:eastAsia="Times New Roman" w:hAnsi="Times New Roman" w:cs="Times New Roman"/>
          <w:kern w:val="0"/>
          <w14:ligatures w14:val="none"/>
        </w:rPr>
      </w:pPr>
      <w:r w:rsidRPr="002639A0">
        <w:rPr>
          <w:rFonts w:ascii="Times New Roman" w:eastAsia="Times New Roman" w:hAnsi="Times New Roman" w:cs="Times New Roman"/>
          <w:noProof/>
          <w:kern w:val="0"/>
          <w14:ligatures w14:val="none"/>
        </w:rPr>
        <mc:AlternateContent>
          <mc:Choice Requires="wps">
            <w:drawing>
              <wp:inline distT="0" distB="0" distL="0" distR="0" wp14:anchorId="6E53F3B9" wp14:editId="25B9FEC3">
                <wp:extent cx="5731510" cy="1270"/>
                <wp:effectExtent l="0" t="31750" r="0" b="36830"/>
                <wp:docPr id="309247257" name="Rectangle 1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3295929" id="Rectangle 19"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5716C10" w14:textId="77777777" w:rsidR="002639A0" w:rsidRPr="002639A0" w:rsidRDefault="002639A0" w:rsidP="002639A0">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639A0">
        <w:rPr>
          <w:rFonts w:ascii="Times New Roman" w:eastAsia="Times New Roman" w:hAnsi="Times New Roman" w:cs="Times New Roman"/>
          <w:b/>
          <w:bCs/>
          <w:kern w:val="36"/>
          <w:sz w:val="48"/>
          <w:szCs w:val="48"/>
          <w14:ligatures w14:val="none"/>
        </w:rPr>
        <w:t>8. External Stakeholders</w:t>
      </w:r>
    </w:p>
    <w:p w14:paraId="3B4B5F1B"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p>
    <w:p w14:paraId="558C589D" w14:textId="77777777" w:rsidR="002639A0" w:rsidRPr="002639A0" w:rsidRDefault="002639A0" w:rsidP="00111F87">
      <w:pPr>
        <w:pStyle w:val="NoSpacing"/>
      </w:pPr>
      <w:r w:rsidRPr="002639A0">
        <w:t>External stakeholders include residents, families, schools, clubs, funders and health partners. They influence the centre’s reputation. They expect fairness and reliability.</w:t>
      </w:r>
    </w:p>
    <w:p w14:paraId="043055A8" w14:textId="77777777" w:rsidR="002639A0" w:rsidRPr="002639A0" w:rsidRDefault="002639A0" w:rsidP="00111F87">
      <w:pPr>
        <w:pStyle w:val="NoSpacing"/>
      </w:pPr>
    </w:p>
    <w:p w14:paraId="4D52C09B" w14:textId="77777777" w:rsidR="002639A0" w:rsidRPr="002639A0" w:rsidRDefault="002639A0" w:rsidP="00111F87">
      <w:pPr>
        <w:pStyle w:val="NoSpacing"/>
      </w:pPr>
      <w:r w:rsidRPr="002639A0">
        <w:t>Schools depend on safe and consistent sessions. Sport England stresses the importance of school partnerships to promote physical activity (Sport England, 2022).</w:t>
      </w:r>
    </w:p>
    <w:p w14:paraId="7AB3EB72" w14:textId="77777777" w:rsidR="002639A0" w:rsidRPr="002639A0" w:rsidRDefault="002639A0" w:rsidP="00111F87">
      <w:pPr>
        <w:pStyle w:val="NoSpacing"/>
      </w:pPr>
    </w:p>
    <w:p w14:paraId="635C7F41" w14:textId="77777777" w:rsidR="002639A0" w:rsidRPr="002639A0" w:rsidRDefault="002639A0" w:rsidP="00111F87">
      <w:pPr>
        <w:pStyle w:val="NoSpacing"/>
      </w:pPr>
      <w:r w:rsidRPr="002639A0">
        <w:t>Sports clubs expect long term bookings. They support youth development and community participation. Cooperation with clubs increases overall engagement.</w:t>
      </w:r>
    </w:p>
    <w:p w14:paraId="6E8AD0C7" w14:textId="77777777" w:rsidR="002639A0" w:rsidRPr="002639A0" w:rsidRDefault="002639A0" w:rsidP="00111F87">
      <w:pPr>
        <w:pStyle w:val="NoSpacing"/>
      </w:pPr>
    </w:p>
    <w:p w14:paraId="5E785F46" w14:textId="77777777" w:rsidR="002639A0" w:rsidRPr="002639A0" w:rsidRDefault="002639A0" w:rsidP="00111F87">
      <w:pPr>
        <w:pStyle w:val="NoSpacing"/>
      </w:pPr>
      <w:r w:rsidRPr="002639A0">
        <w:t>Health organisations focus on rehabilitation and wellbeing. WHO reports that community health improves when leisure centres partner with health organisations (WHO, 2021).</w:t>
      </w:r>
    </w:p>
    <w:p w14:paraId="4AEBD95F" w14:textId="77777777" w:rsidR="002639A0" w:rsidRPr="002639A0" w:rsidRDefault="002639A0" w:rsidP="00111F87">
      <w:pPr>
        <w:pStyle w:val="NoSpacing"/>
      </w:pPr>
    </w:p>
    <w:p w14:paraId="54FEDC4A" w14:textId="77777777" w:rsidR="002639A0" w:rsidRDefault="002639A0" w:rsidP="00111F87">
      <w:pPr>
        <w:pStyle w:val="NoSpacing"/>
      </w:pPr>
      <w:r w:rsidRPr="002639A0">
        <w:t>Funders expect accurate reporting. Reed highlights that transparency increases stakeholder trust (Reed et al., 2009).</w:t>
      </w:r>
    </w:p>
    <w:p w14:paraId="3020DEA3" w14:textId="77777777" w:rsidR="00111F87" w:rsidRDefault="00111F87" w:rsidP="00111F87">
      <w:pPr>
        <w:pStyle w:val="NoSpacing"/>
      </w:pPr>
    </w:p>
    <w:p w14:paraId="2DBE7BF1" w14:textId="77777777" w:rsidR="00111F87" w:rsidRDefault="00111F87" w:rsidP="00111F87">
      <w:pPr>
        <w:pStyle w:val="NoSpacing"/>
      </w:pPr>
    </w:p>
    <w:p w14:paraId="116016D5" w14:textId="77777777" w:rsidR="00111F87" w:rsidRPr="002639A0" w:rsidRDefault="00111F87" w:rsidP="00111F87">
      <w:pPr>
        <w:pStyle w:val="NoSpacing"/>
      </w:pPr>
    </w:p>
    <w:p w14:paraId="5055E75C" w14:textId="2E589104" w:rsidR="002639A0" w:rsidRPr="002639A0" w:rsidRDefault="002639A0" w:rsidP="002639A0">
      <w:pPr>
        <w:spacing w:after="0" w:line="240" w:lineRule="auto"/>
        <w:rPr>
          <w:rFonts w:ascii="Times New Roman" w:eastAsia="Times New Roman" w:hAnsi="Times New Roman" w:cs="Times New Roman"/>
          <w:kern w:val="0"/>
          <w14:ligatures w14:val="none"/>
        </w:rPr>
      </w:pPr>
    </w:p>
    <w:p w14:paraId="0A99A485" w14:textId="77777777" w:rsidR="002639A0" w:rsidRPr="002639A0" w:rsidRDefault="002639A0" w:rsidP="002639A0">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639A0">
        <w:rPr>
          <w:rFonts w:ascii="Times New Roman" w:eastAsia="Times New Roman" w:hAnsi="Times New Roman" w:cs="Times New Roman"/>
          <w:b/>
          <w:bCs/>
          <w:kern w:val="36"/>
          <w:sz w:val="48"/>
          <w:szCs w:val="48"/>
          <w14:ligatures w14:val="none"/>
        </w:rPr>
        <w:lastRenderedPageBreak/>
        <w:t>9. Community Stakeholders</w:t>
      </w:r>
    </w:p>
    <w:p w14:paraId="43492B9A"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p>
    <w:p w14:paraId="691A9001" w14:textId="77777777" w:rsidR="002639A0" w:rsidRPr="002639A0" w:rsidRDefault="002639A0" w:rsidP="00111F87">
      <w:pPr>
        <w:pStyle w:val="NoSpacing"/>
      </w:pPr>
      <w:r w:rsidRPr="002639A0">
        <w:t>Community members rely on the centre for affordable physical activity. Families expect safe lessons for children. Older adults need accessible programmes. People recovering from injury require structured sessions.</w:t>
      </w:r>
    </w:p>
    <w:p w14:paraId="3B136722" w14:textId="77777777" w:rsidR="002639A0" w:rsidRPr="002639A0" w:rsidRDefault="002639A0" w:rsidP="00111F87">
      <w:pPr>
        <w:pStyle w:val="NoSpacing"/>
      </w:pPr>
    </w:p>
    <w:p w14:paraId="726844FC" w14:textId="77777777" w:rsidR="002639A0" w:rsidRPr="002639A0" w:rsidRDefault="002639A0" w:rsidP="00111F87">
      <w:pPr>
        <w:pStyle w:val="NoSpacing"/>
      </w:pPr>
      <w:r w:rsidRPr="002639A0">
        <w:t>Sport England notes that inclusive programmes increase participation across different demographics (Sport England, 2023). Engagement helps the centre design activities that respond to these needs.</w:t>
      </w:r>
    </w:p>
    <w:p w14:paraId="252B7C3F" w14:textId="5949FD7E" w:rsidR="002639A0" w:rsidRPr="002639A0" w:rsidRDefault="002639A0" w:rsidP="002639A0">
      <w:pPr>
        <w:spacing w:after="0" w:line="240" w:lineRule="auto"/>
        <w:rPr>
          <w:rFonts w:ascii="Times New Roman" w:eastAsia="Times New Roman" w:hAnsi="Times New Roman" w:cs="Times New Roman"/>
          <w:kern w:val="0"/>
          <w14:ligatures w14:val="none"/>
        </w:rPr>
      </w:pPr>
    </w:p>
    <w:p w14:paraId="104A4ABE" w14:textId="77777777" w:rsidR="002639A0" w:rsidRPr="002639A0" w:rsidRDefault="002639A0" w:rsidP="002639A0">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639A0">
        <w:rPr>
          <w:rFonts w:ascii="Times New Roman" w:eastAsia="Times New Roman" w:hAnsi="Times New Roman" w:cs="Times New Roman"/>
          <w:b/>
          <w:bCs/>
          <w:kern w:val="36"/>
          <w:sz w:val="48"/>
          <w:szCs w:val="48"/>
          <w14:ligatures w14:val="none"/>
        </w:rPr>
        <w:t>10. Engagement Theory</w:t>
      </w:r>
    </w:p>
    <w:p w14:paraId="0D2203F0"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p>
    <w:p w14:paraId="6CFDC868" w14:textId="77777777" w:rsidR="002639A0" w:rsidRPr="002639A0" w:rsidRDefault="002639A0" w:rsidP="00111F87">
      <w:pPr>
        <w:pStyle w:val="NoSpacing"/>
      </w:pPr>
      <w:r w:rsidRPr="002639A0">
        <w:t>Freeman’s stakeholder model shows that understanding stakeholder needs improves success (Freeman, 1984). Mendelow’s matrix helps managers prioritise communication based on power and interest (Mendelow, 1991). Bryson adds that public organisations need systematic engagement to plan services effectively (Bryson, 2018).</w:t>
      </w:r>
    </w:p>
    <w:p w14:paraId="5EFE1CCA" w14:textId="77777777" w:rsidR="002639A0" w:rsidRPr="002639A0" w:rsidRDefault="002639A0" w:rsidP="00111F87">
      <w:pPr>
        <w:pStyle w:val="NoSpacing"/>
      </w:pPr>
    </w:p>
    <w:p w14:paraId="55A35782" w14:textId="77777777" w:rsidR="002639A0" w:rsidRPr="002639A0" w:rsidRDefault="002639A0" w:rsidP="00111F87">
      <w:pPr>
        <w:pStyle w:val="NoSpacing"/>
      </w:pPr>
      <w:r w:rsidRPr="002639A0">
        <w:t>These theories guide communication. They help managers involve people early. They support responsible decision making.</w:t>
      </w:r>
    </w:p>
    <w:p w14:paraId="7661062B" w14:textId="1AB6506A" w:rsidR="002639A0" w:rsidRPr="002639A0" w:rsidRDefault="002639A0" w:rsidP="002639A0">
      <w:pPr>
        <w:spacing w:after="0" w:line="240" w:lineRule="auto"/>
        <w:rPr>
          <w:rFonts w:ascii="Times New Roman" w:eastAsia="Times New Roman" w:hAnsi="Times New Roman" w:cs="Times New Roman"/>
          <w:kern w:val="0"/>
          <w14:ligatures w14:val="none"/>
        </w:rPr>
      </w:pPr>
    </w:p>
    <w:p w14:paraId="033687B3" w14:textId="77777777" w:rsidR="002639A0" w:rsidRPr="002639A0" w:rsidRDefault="002639A0" w:rsidP="002639A0">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639A0">
        <w:rPr>
          <w:rFonts w:ascii="Times New Roman" w:eastAsia="Times New Roman" w:hAnsi="Times New Roman" w:cs="Times New Roman"/>
          <w:b/>
          <w:bCs/>
          <w:kern w:val="36"/>
          <w:sz w:val="48"/>
          <w:szCs w:val="48"/>
          <w14:ligatures w14:val="none"/>
        </w:rPr>
        <w:t>11. Power and Interest</w:t>
      </w:r>
    </w:p>
    <w:p w14:paraId="5E009D0A"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p>
    <w:p w14:paraId="58957F9F" w14:textId="77777777" w:rsidR="002639A0" w:rsidRPr="002639A0" w:rsidRDefault="002639A0" w:rsidP="00111F87">
      <w:pPr>
        <w:pStyle w:val="NoSpacing"/>
      </w:pPr>
      <w:r w:rsidRPr="002639A0">
        <w:t>Power and interest shape engagement. High power stakeholders influence policies. High interest stakeholders use services frequently and shape demand. Reed explains that engagement must match the influence and expectations of each group (Reed et al., 2009).</w:t>
      </w:r>
    </w:p>
    <w:p w14:paraId="7A4DD252" w14:textId="77777777" w:rsidR="002639A0" w:rsidRPr="002639A0" w:rsidRDefault="002639A0" w:rsidP="00111F87">
      <w:pPr>
        <w:pStyle w:val="NoSpacing"/>
      </w:pPr>
    </w:p>
    <w:p w14:paraId="168A92A5" w14:textId="77777777" w:rsidR="002639A0" w:rsidRPr="002639A0" w:rsidRDefault="002639A0" w:rsidP="00111F87">
      <w:pPr>
        <w:pStyle w:val="NoSpacing"/>
      </w:pPr>
      <w:r w:rsidRPr="002639A0">
        <w:t>Understanding power and interest helps you adjust communication, frequency and level of detail.</w:t>
      </w:r>
    </w:p>
    <w:p w14:paraId="5D288B59" w14:textId="6280473B" w:rsidR="002639A0" w:rsidRDefault="002639A0" w:rsidP="002639A0">
      <w:pPr>
        <w:spacing w:after="0" w:line="240" w:lineRule="auto"/>
        <w:rPr>
          <w:rFonts w:ascii="Times New Roman" w:eastAsia="Times New Roman" w:hAnsi="Times New Roman" w:cs="Times New Roman"/>
          <w:noProof/>
          <w:kern w:val="0"/>
          <w14:ligatures w14:val="none"/>
        </w:rPr>
      </w:pPr>
    </w:p>
    <w:p w14:paraId="30B74034" w14:textId="77777777" w:rsidR="00FA7F8F" w:rsidRDefault="00FA7F8F" w:rsidP="002639A0">
      <w:pPr>
        <w:spacing w:after="0" w:line="240" w:lineRule="auto"/>
        <w:rPr>
          <w:rFonts w:ascii="Times New Roman" w:eastAsia="Times New Roman" w:hAnsi="Times New Roman" w:cs="Times New Roman"/>
          <w:noProof/>
          <w:kern w:val="0"/>
          <w14:ligatures w14:val="none"/>
        </w:rPr>
      </w:pPr>
    </w:p>
    <w:p w14:paraId="5FD2C26C" w14:textId="77777777" w:rsidR="00FA7F8F" w:rsidRDefault="00FA7F8F" w:rsidP="002639A0">
      <w:pPr>
        <w:spacing w:after="0" w:line="240" w:lineRule="auto"/>
        <w:rPr>
          <w:rFonts w:ascii="Times New Roman" w:eastAsia="Times New Roman" w:hAnsi="Times New Roman" w:cs="Times New Roman"/>
          <w:noProof/>
          <w:kern w:val="0"/>
          <w14:ligatures w14:val="none"/>
        </w:rPr>
      </w:pPr>
    </w:p>
    <w:p w14:paraId="5C354D11" w14:textId="77777777" w:rsidR="00FA7F8F" w:rsidRDefault="00FA7F8F" w:rsidP="002639A0">
      <w:pPr>
        <w:spacing w:after="0" w:line="240" w:lineRule="auto"/>
        <w:rPr>
          <w:rFonts w:ascii="Times New Roman" w:eastAsia="Times New Roman" w:hAnsi="Times New Roman" w:cs="Times New Roman"/>
          <w:noProof/>
          <w:kern w:val="0"/>
          <w14:ligatures w14:val="none"/>
        </w:rPr>
      </w:pPr>
    </w:p>
    <w:p w14:paraId="6DA3D54B" w14:textId="77777777" w:rsidR="00FA7F8F" w:rsidRDefault="00FA7F8F" w:rsidP="002639A0">
      <w:pPr>
        <w:spacing w:after="0" w:line="240" w:lineRule="auto"/>
        <w:rPr>
          <w:rFonts w:ascii="Times New Roman" w:eastAsia="Times New Roman" w:hAnsi="Times New Roman" w:cs="Times New Roman"/>
          <w:noProof/>
          <w:kern w:val="0"/>
          <w14:ligatures w14:val="none"/>
        </w:rPr>
      </w:pPr>
    </w:p>
    <w:p w14:paraId="7D345DAE" w14:textId="77777777" w:rsidR="00FA7F8F" w:rsidRDefault="00FA7F8F" w:rsidP="002639A0">
      <w:pPr>
        <w:spacing w:after="0" w:line="240" w:lineRule="auto"/>
        <w:rPr>
          <w:rFonts w:ascii="Times New Roman" w:eastAsia="Times New Roman" w:hAnsi="Times New Roman" w:cs="Times New Roman"/>
          <w:noProof/>
          <w:kern w:val="0"/>
          <w14:ligatures w14:val="none"/>
        </w:rPr>
      </w:pPr>
    </w:p>
    <w:p w14:paraId="1FFD73A3" w14:textId="77777777" w:rsidR="00FA7F8F" w:rsidRPr="002639A0" w:rsidRDefault="00FA7F8F" w:rsidP="002639A0">
      <w:pPr>
        <w:spacing w:after="0" w:line="240" w:lineRule="auto"/>
        <w:rPr>
          <w:rFonts w:ascii="Times New Roman" w:eastAsia="Times New Roman" w:hAnsi="Times New Roman" w:cs="Times New Roman"/>
          <w:kern w:val="0"/>
          <w14:ligatures w14:val="none"/>
        </w:rPr>
      </w:pPr>
    </w:p>
    <w:p w14:paraId="7776B324" w14:textId="77777777" w:rsidR="002639A0" w:rsidRPr="002639A0" w:rsidRDefault="002639A0" w:rsidP="002639A0">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639A0">
        <w:rPr>
          <w:rFonts w:ascii="Times New Roman" w:eastAsia="Times New Roman" w:hAnsi="Times New Roman" w:cs="Times New Roman"/>
          <w:b/>
          <w:bCs/>
          <w:kern w:val="36"/>
          <w:sz w:val="48"/>
          <w:szCs w:val="48"/>
          <w14:ligatures w14:val="none"/>
        </w:rPr>
        <w:lastRenderedPageBreak/>
        <w:t>12. Engagement Methods</w:t>
      </w:r>
    </w:p>
    <w:p w14:paraId="1FC355CE"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p>
    <w:p w14:paraId="23BF7EB4" w14:textId="77777777" w:rsidR="002639A0" w:rsidRPr="002639A0" w:rsidRDefault="002639A0" w:rsidP="00FA7F8F">
      <w:pPr>
        <w:pStyle w:val="NoSpacing"/>
      </w:pPr>
      <w:r w:rsidRPr="002639A0">
        <w:t>Engagement uses many tools. Surveys collect opinions quickly. Meetings allow two way communication. Workshops help groups share ideas. Feedback boxes encourage private comments.</w:t>
      </w:r>
    </w:p>
    <w:p w14:paraId="046C8215" w14:textId="77777777" w:rsidR="002639A0" w:rsidRPr="002639A0" w:rsidRDefault="002639A0" w:rsidP="00FA7F8F">
      <w:pPr>
        <w:pStyle w:val="NoSpacing"/>
      </w:pPr>
    </w:p>
    <w:p w14:paraId="51C70611" w14:textId="77777777" w:rsidR="002639A0" w:rsidRPr="002639A0" w:rsidRDefault="002639A0" w:rsidP="00FA7F8F">
      <w:pPr>
        <w:pStyle w:val="NoSpacing"/>
      </w:pPr>
      <w:r w:rsidRPr="002639A0">
        <w:t>Sport England suggests using mixed engagement methods to reach a wider audience (Sport England, 2023).</w:t>
      </w:r>
    </w:p>
    <w:p w14:paraId="5B409AFB" w14:textId="77777777" w:rsidR="002639A0" w:rsidRPr="002639A0" w:rsidRDefault="002639A0" w:rsidP="00FA7F8F">
      <w:pPr>
        <w:pStyle w:val="NoSpacing"/>
      </w:pPr>
    </w:p>
    <w:p w14:paraId="58868319" w14:textId="77777777" w:rsidR="002639A0" w:rsidRPr="002639A0" w:rsidRDefault="002639A0" w:rsidP="00FA7F8F">
      <w:pPr>
        <w:pStyle w:val="NoSpacing"/>
      </w:pPr>
      <w:r w:rsidRPr="002639A0">
        <w:t>Digital tools increase accessibility. They support quick updates. They help managers collect data. WHO recommends digital engagement for promoting community activity (WHO, 2021).</w:t>
      </w:r>
    </w:p>
    <w:p w14:paraId="3B602FD9" w14:textId="7B00813D" w:rsidR="002639A0" w:rsidRPr="002639A0" w:rsidRDefault="002639A0" w:rsidP="002639A0">
      <w:pPr>
        <w:spacing w:after="0" w:line="240" w:lineRule="auto"/>
        <w:rPr>
          <w:rFonts w:ascii="Times New Roman" w:eastAsia="Times New Roman" w:hAnsi="Times New Roman" w:cs="Times New Roman"/>
          <w:kern w:val="0"/>
          <w14:ligatures w14:val="none"/>
        </w:rPr>
      </w:pPr>
    </w:p>
    <w:p w14:paraId="74186288" w14:textId="77777777" w:rsidR="002639A0" w:rsidRPr="002639A0" w:rsidRDefault="002639A0" w:rsidP="002639A0">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639A0">
        <w:rPr>
          <w:rFonts w:ascii="Times New Roman" w:eastAsia="Times New Roman" w:hAnsi="Times New Roman" w:cs="Times New Roman"/>
          <w:b/>
          <w:bCs/>
          <w:kern w:val="36"/>
          <w:sz w:val="48"/>
          <w:szCs w:val="48"/>
          <w14:ligatures w14:val="none"/>
        </w:rPr>
        <w:t>13. Digital Engagement</w:t>
      </w:r>
    </w:p>
    <w:p w14:paraId="6688FF47"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p>
    <w:p w14:paraId="30B63B02" w14:textId="77777777" w:rsidR="002639A0" w:rsidRPr="002639A0" w:rsidRDefault="002639A0" w:rsidP="00FA7F8F">
      <w:pPr>
        <w:pStyle w:val="NoSpacing"/>
      </w:pPr>
      <w:r w:rsidRPr="002639A0">
        <w:t>Digital engagement includes websites, social media, email and online forms. These tools help the centre communicate clearly. They reach people who cannot visit the facility often.</w:t>
      </w:r>
    </w:p>
    <w:p w14:paraId="5A028B00" w14:textId="77777777" w:rsidR="002639A0" w:rsidRPr="002639A0" w:rsidRDefault="002639A0" w:rsidP="00FA7F8F">
      <w:pPr>
        <w:pStyle w:val="NoSpacing"/>
      </w:pPr>
    </w:p>
    <w:p w14:paraId="2E9B5F95" w14:textId="77777777" w:rsidR="002639A0" w:rsidRPr="002639A0" w:rsidRDefault="002639A0" w:rsidP="00FA7F8F">
      <w:pPr>
        <w:pStyle w:val="NoSpacing"/>
      </w:pPr>
      <w:r w:rsidRPr="002639A0">
        <w:t>Alliance Leisure shows that digital tools improve engagement when used consistently (Alliance Leisure, 2024). Consistent digital communication keeps users informed. It supports transparency. It reduces frustration.</w:t>
      </w:r>
    </w:p>
    <w:p w14:paraId="19AEB624" w14:textId="4D135DC1" w:rsidR="002639A0" w:rsidRPr="002639A0" w:rsidRDefault="002639A0" w:rsidP="002639A0">
      <w:pPr>
        <w:spacing w:after="0" w:line="240" w:lineRule="auto"/>
        <w:rPr>
          <w:rFonts w:ascii="Times New Roman" w:eastAsia="Times New Roman" w:hAnsi="Times New Roman" w:cs="Times New Roman"/>
          <w:kern w:val="0"/>
          <w14:ligatures w14:val="none"/>
        </w:rPr>
      </w:pPr>
    </w:p>
    <w:p w14:paraId="5E8E42D7" w14:textId="77777777" w:rsidR="002639A0" w:rsidRPr="002639A0" w:rsidRDefault="002639A0" w:rsidP="002639A0">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639A0">
        <w:rPr>
          <w:rFonts w:ascii="Times New Roman" w:eastAsia="Times New Roman" w:hAnsi="Times New Roman" w:cs="Times New Roman"/>
          <w:b/>
          <w:bCs/>
          <w:kern w:val="36"/>
          <w:sz w:val="48"/>
          <w:szCs w:val="48"/>
          <w14:ligatures w14:val="none"/>
        </w:rPr>
        <w:t>14. Ethical Responsibilities</w:t>
      </w:r>
    </w:p>
    <w:p w14:paraId="12A7220D"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p>
    <w:p w14:paraId="30D20E70" w14:textId="77777777" w:rsidR="002639A0" w:rsidRPr="002639A0" w:rsidRDefault="002639A0" w:rsidP="00FA7F8F">
      <w:pPr>
        <w:pStyle w:val="NoSpacing"/>
      </w:pPr>
      <w:r w:rsidRPr="002639A0">
        <w:t>Ethical responsibilities support fairness. Organisations must protect user data. They must follow legal standards. Crane and Matten highlight the importance of ethics in public service organisations (Crane and Matten, 2016).</w:t>
      </w:r>
    </w:p>
    <w:p w14:paraId="05809DA2" w14:textId="77777777" w:rsidR="002639A0" w:rsidRPr="002639A0" w:rsidRDefault="002639A0" w:rsidP="00FA7F8F">
      <w:pPr>
        <w:pStyle w:val="NoSpacing"/>
      </w:pPr>
    </w:p>
    <w:p w14:paraId="322BF325" w14:textId="77777777" w:rsidR="002639A0" w:rsidRPr="002639A0" w:rsidRDefault="002639A0" w:rsidP="00FA7F8F">
      <w:pPr>
        <w:pStyle w:val="NoSpacing"/>
      </w:pPr>
      <w:r w:rsidRPr="002639A0">
        <w:t>Equality matters. The Equality Act requires fair access to services. Sport England also emphasises equality in leisure provision (Sport England, 2022).</w:t>
      </w:r>
    </w:p>
    <w:p w14:paraId="5B1B9B1F" w14:textId="77777777" w:rsidR="002639A0" w:rsidRPr="002639A0" w:rsidRDefault="002639A0" w:rsidP="00FA7F8F">
      <w:pPr>
        <w:pStyle w:val="NoSpacing"/>
      </w:pPr>
    </w:p>
    <w:p w14:paraId="4D1AD571" w14:textId="77777777" w:rsidR="002639A0" w:rsidRPr="002639A0" w:rsidRDefault="002639A0" w:rsidP="00FA7F8F">
      <w:pPr>
        <w:pStyle w:val="NoSpacing"/>
      </w:pPr>
      <w:r w:rsidRPr="002639A0">
        <w:t>Transparency increases trust. Greenwood explains that honesty strengthens stakeholder relationships (Greenwood, 2007).</w:t>
      </w:r>
    </w:p>
    <w:p w14:paraId="197B4072" w14:textId="4CC59E40" w:rsidR="002639A0" w:rsidRPr="002639A0" w:rsidRDefault="002639A0" w:rsidP="002639A0">
      <w:pPr>
        <w:spacing w:after="0" w:line="240" w:lineRule="auto"/>
        <w:rPr>
          <w:rFonts w:ascii="Times New Roman" w:eastAsia="Times New Roman" w:hAnsi="Times New Roman" w:cs="Times New Roman"/>
          <w:kern w:val="0"/>
          <w14:ligatures w14:val="none"/>
        </w:rPr>
      </w:pPr>
    </w:p>
    <w:p w14:paraId="28641A93" w14:textId="77777777" w:rsidR="002639A0" w:rsidRPr="002639A0" w:rsidRDefault="002639A0" w:rsidP="002639A0">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639A0">
        <w:rPr>
          <w:rFonts w:ascii="Times New Roman" w:eastAsia="Times New Roman" w:hAnsi="Times New Roman" w:cs="Times New Roman"/>
          <w:b/>
          <w:bCs/>
          <w:kern w:val="36"/>
          <w:sz w:val="48"/>
          <w:szCs w:val="48"/>
          <w14:ligatures w14:val="none"/>
        </w:rPr>
        <w:lastRenderedPageBreak/>
        <w:t>15. CSR Models</w:t>
      </w:r>
    </w:p>
    <w:p w14:paraId="235C45FB"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p>
    <w:p w14:paraId="25F57A16" w14:textId="77777777" w:rsidR="002639A0" w:rsidRPr="002639A0" w:rsidRDefault="002639A0" w:rsidP="003624A7">
      <w:pPr>
        <w:pStyle w:val="NoSpacing"/>
      </w:pPr>
      <w:r w:rsidRPr="002639A0">
        <w:t>CSR models help the centre act responsibly. Elkington’s Triple Bottom Line shows that organisations must balance social, environmental and economic outcomes (Elkington, 1997). Hartsdown supports social outcomes by improving health. It supports environmental outcomes by reducing waste and using efficient systems. It supports economic outcomes through jobs and affordable pricing.</w:t>
      </w:r>
    </w:p>
    <w:p w14:paraId="555977E8" w14:textId="77777777" w:rsidR="002639A0" w:rsidRPr="002639A0" w:rsidRDefault="002639A0" w:rsidP="003624A7">
      <w:pPr>
        <w:pStyle w:val="NoSpacing"/>
      </w:pPr>
    </w:p>
    <w:p w14:paraId="6459D7EB" w14:textId="77777777" w:rsidR="002639A0" w:rsidRPr="002639A0" w:rsidRDefault="002639A0" w:rsidP="003624A7">
      <w:pPr>
        <w:pStyle w:val="NoSpacing"/>
      </w:pPr>
      <w:r w:rsidRPr="002639A0">
        <w:t>Carroll’s CSR Pyramid outlines economic, legal, ethical and philanthropic responsibilities (Carroll, 1991). The centre follows these responsibilities by offering community programmes, complying with rules and supporting local wellbeing.</w:t>
      </w:r>
    </w:p>
    <w:p w14:paraId="65BD4E00" w14:textId="77777777" w:rsidR="002639A0" w:rsidRPr="002639A0" w:rsidRDefault="002639A0" w:rsidP="003624A7">
      <w:pPr>
        <w:pStyle w:val="NoSpacing"/>
      </w:pPr>
    </w:p>
    <w:p w14:paraId="2A664AF7" w14:textId="77777777" w:rsidR="002639A0" w:rsidRPr="002639A0" w:rsidRDefault="002639A0" w:rsidP="003624A7">
      <w:pPr>
        <w:pStyle w:val="NoSpacing"/>
      </w:pPr>
      <w:r w:rsidRPr="002639A0">
        <w:t>Trendafilova states that CSR improves reputation in sport and leisure settings (Trendafilova et al., 2016).</w:t>
      </w:r>
    </w:p>
    <w:p w14:paraId="3156ADF6" w14:textId="77777777" w:rsidR="002639A0" w:rsidRPr="002639A0" w:rsidRDefault="002639A0" w:rsidP="002639A0">
      <w:pPr>
        <w:spacing w:after="0" w:line="240" w:lineRule="auto"/>
        <w:rPr>
          <w:rFonts w:ascii="Times New Roman" w:eastAsia="Times New Roman" w:hAnsi="Times New Roman" w:cs="Times New Roman"/>
          <w:kern w:val="0"/>
          <w14:ligatures w14:val="none"/>
        </w:rPr>
      </w:pPr>
      <w:r w:rsidRPr="002639A0">
        <w:rPr>
          <w:rFonts w:ascii="Times New Roman" w:eastAsia="Times New Roman" w:hAnsi="Times New Roman" w:cs="Times New Roman"/>
          <w:noProof/>
          <w:kern w:val="0"/>
          <w14:ligatures w14:val="none"/>
        </w:rPr>
        <mc:AlternateContent>
          <mc:Choice Requires="wps">
            <w:drawing>
              <wp:inline distT="0" distB="0" distL="0" distR="0" wp14:anchorId="1D9348E7" wp14:editId="36608CF3">
                <wp:extent cx="5731510" cy="1270"/>
                <wp:effectExtent l="0" t="31750" r="0" b="36830"/>
                <wp:docPr id="52127261" name="Rectangle 1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8647620" id="Rectangle 1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55C941A" w14:textId="77777777" w:rsidR="002639A0" w:rsidRPr="002639A0" w:rsidRDefault="002639A0" w:rsidP="002639A0">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639A0">
        <w:rPr>
          <w:rFonts w:ascii="Times New Roman" w:eastAsia="Times New Roman" w:hAnsi="Times New Roman" w:cs="Times New Roman"/>
          <w:b/>
          <w:bCs/>
          <w:kern w:val="36"/>
          <w:sz w:val="48"/>
          <w:szCs w:val="48"/>
          <w14:ligatures w14:val="none"/>
        </w:rPr>
        <w:t>16. Communication Practices</w:t>
      </w:r>
    </w:p>
    <w:p w14:paraId="2BAA8C34"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p>
    <w:p w14:paraId="48D169CD" w14:textId="77777777" w:rsidR="002639A0" w:rsidRPr="002639A0" w:rsidRDefault="002639A0" w:rsidP="003624A7">
      <w:pPr>
        <w:pStyle w:val="NoSpacing"/>
      </w:pPr>
      <w:r w:rsidRPr="002639A0">
        <w:t>Effective communication uses simple language. You avoid long explanations. You offer clear instructions. You share updates early. Bryson highlights that consistent communication improves services in public organisations (Bryson, 2018).</w:t>
      </w:r>
    </w:p>
    <w:p w14:paraId="24D4BF2E" w14:textId="77777777" w:rsidR="002639A0" w:rsidRPr="002639A0" w:rsidRDefault="002639A0" w:rsidP="003624A7">
      <w:pPr>
        <w:pStyle w:val="NoSpacing"/>
      </w:pPr>
    </w:p>
    <w:p w14:paraId="10B71C29" w14:textId="77777777" w:rsidR="002639A0" w:rsidRPr="002639A0" w:rsidRDefault="002639A0" w:rsidP="003624A7">
      <w:pPr>
        <w:pStyle w:val="NoSpacing"/>
      </w:pPr>
      <w:r w:rsidRPr="002639A0">
        <w:t>Digital communication supports quick access. Notice boards support non digital users. This ensures inclusivity.</w:t>
      </w:r>
    </w:p>
    <w:p w14:paraId="5BBFF934" w14:textId="77777777" w:rsidR="002639A0" w:rsidRPr="002639A0" w:rsidRDefault="002639A0" w:rsidP="002639A0">
      <w:pPr>
        <w:spacing w:after="0" w:line="240" w:lineRule="auto"/>
        <w:rPr>
          <w:rFonts w:ascii="Times New Roman" w:eastAsia="Times New Roman" w:hAnsi="Times New Roman" w:cs="Times New Roman"/>
          <w:kern w:val="0"/>
          <w14:ligatures w14:val="none"/>
        </w:rPr>
      </w:pPr>
      <w:r w:rsidRPr="002639A0">
        <w:rPr>
          <w:rFonts w:ascii="Times New Roman" w:eastAsia="Times New Roman" w:hAnsi="Times New Roman" w:cs="Times New Roman"/>
          <w:noProof/>
          <w:kern w:val="0"/>
          <w14:ligatures w14:val="none"/>
        </w:rPr>
        <mc:AlternateContent>
          <mc:Choice Requires="wps">
            <w:drawing>
              <wp:inline distT="0" distB="0" distL="0" distR="0" wp14:anchorId="310C279C" wp14:editId="3A5863A3">
                <wp:extent cx="5731510" cy="1270"/>
                <wp:effectExtent l="0" t="31750" r="0" b="36830"/>
                <wp:docPr id="1500396684" name="Rectangle 1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5871E13" id="Rectangle 10"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EC83573" w14:textId="77777777" w:rsidR="002639A0" w:rsidRPr="002639A0" w:rsidRDefault="002639A0" w:rsidP="002639A0">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639A0">
        <w:rPr>
          <w:rFonts w:ascii="Times New Roman" w:eastAsia="Times New Roman" w:hAnsi="Times New Roman" w:cs="Times New Roman"/>
          <w:b/>
          <w:bCs/>
          <w:kern w:val="36"/>
          <w:sz w:val="48"/>
          <w:szCs w:val="48"/>
          <w14:ligatures w14:val="none"/>
        </w:rPr>
        <w:t>17. Inclusivity and Accessibility</w:t>
      </w:r>
    </w:p>
    <w:p w14:paraId="11B77CC2"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p>
    <w:p w14:paraId="4739DB3E" w14:textId="77777777" w:rsidR="002639A0" w:rsidRPr="002639A0" w:rsidRDefault="002639A0" w:rsidP="003624A7">
      <w:pPr>
        <w:pStyle w:val="NoSpacing"/>
      </w:pPr>
      <w:r w:rsidRPr="002639A0">
        <w:t>Inclusivity ensures access for all community members. This includes people with disabilities, low income families and older adults. Sport England encourages accessibility in all leisure centres (Sport England, 2022).</w:t>
      </w:r>
    </w:p>
    <w:p w14:paraId="119CBF47" w14:textId="77777777" w:rsidR="002639A0" w:rsidRPr="002639A0" w:rsidRDefault="002639A0" w:rsidP="003624A7">
      <w:pPr>
        <w:pStyle w:val="NoSpacing"/>
      </w:pPr>
    </w:p>
    <w:p w14:paraId="4562D3E5" w14:textId="77777777" w:rsidR="002639A0" w:rsidRPr="002639A0" w:rsidRDefault="002639A0" w:rsidP="003624A7">
      <w:pPr>
        <w:pStyle w:val="NoSpacing"/>
      </w:pPr>
      <w:r w:rsidRPr="002639A0">
        <w:t>The centre must maintain safe and accessible facilities. It must design programmes that match community needs.</w:t>
      </w:r>
    </w:p>
    <w:p w14:paraId="7B67CE81" w14:textId="4B4AD966" w:rsidR="002639A0" w:rsidRDefault="002639A0" w:rsidP="002639A0">
      <w:pPr>
        <w:spacing w:after="0" w:line="240" w:lineRule="auto"/>
        <w:rPr>
          <w:rFonts w:ascii="Times New Roman" w:eastAsia="Times New Roman" w:hAnsi="Times New Roman" w:cs="Times New Roman"/>
          <w:noProof/>
          <w:kern w:val="0"/>
          <w14:ligatures w14:val="none"/>
        </w:rPr>
      </w:pPr>
    </w:p>
    <w:p w14:paraId="23A6F287" w14:textId="77777777" w:rsidR="002D4400" w:rsidRDefault="002D4400" w:rsidP="002639A0">
      <w:pPr>
        <w:spacing w:after="0" w:line="240" w:lineRule="auto"/>
        <w:rPr>
          <w:rFonts w:ascii="Times New Roman" w:eastAsia="Times New Roman" w:hAnsi="Times New Roman" w:cs="Times New Roman"/>
          <w:noProof/>
          <w:kern w:val="0"/>
          <w14:ligatures w14:val="none"/>
        </w:rPr>
      </w:pPr>
    </w:p>
    <w:p w14:paraId="799D214C" w14:textId="77777777" w:rsidR="002D4400" w:rsidRPr="002639A0" w:rsidRDefault="002D4400" w:rsidP="002639A0">
      <w:pPr>
        <w:spacing w:after="0" w:line="240" w:lineRule="auto"/>
        <w:rPr>
          <w:rFonts w:ascii="Times New Roman" w:eastAsia="Times New Roman" w:hAnsi="Times New Roman" w:cs="Times New Roman"/>
          <w:kern w:val="0"/>
          <w14:ligatures w14:val="none"/>
        </w:rPr>
      </w:pPr>
    </w:p>
    <w:p w14:paraId="586A34A8" w14:textId="77777777" w:rsidR="002639A0" w:rsidRPr="002639A0" w:rsidRDefault="002639A0" w:rsidP="002639A0">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639A0">
        <w:rPr>
          <w:rFonts w:ascii="Times New Roman" w:eastAsia="Times New Roman" w:hAnsi="Times New Roman" w:cs="Times New Roman"/>
          <w:b/>
          <w:bCs/>
          <w:kern w:val="36"/>
          <w:sz w:val="48"/>
          <w:szCs w:val="48"/>
          <w14:ligatures w14:val="none"/>
        </w:rPr>
        <w:lastRenderedPageBreak/>
        <w:t>18. Staff Training and Development</w:t>
      </w:r>
    </w:p>
    <w:p w14:paraId="7D72EC5E"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p>
    <w:p w14:paraId="3CE2BC19" w14:textId="77777777" w:rsidR="002639A0" w:rsidRPr="002639A0" w:rsidRDefault="002639A0" w:rsidP="002D4400">
      <w:pPr>
        <w:pStyle w:val="NoSpacing"/>
      </w:pPr>
      <w:r w:rsidRPr="002639A0">
        <w:t>Training improves staff confidence. It also improves service quality. Cottrell explains that training strengthens skills and supports personal development (Cottrell, 2019).</w:t>
      </w:r>
    </w:p>
    <w:p w14:paraId="6156DEC6" w14:textId="77777777" w:rsidR="002639A0" w:rsidRPr="002639A0" w:rsidRDefault="002639A0" w:rsidP="002D4400">
      <w:pPr>
        <w:pStyle w:val="NoSpacing"/>
      </w:pPr>
    </w:p>
    <w:p w14:paraId="5CAD4E02" w14:textId="77777777" w:rsidR="002639A0" w:rsidRPr="002639A0" w:rsidRDefault="002639A0" w:rsidP="002D4400">
      <w:pPr>
        <w:pStyle w:val="NoSpacing"/>
      </w:pPr>
      <w:r w:rsidRPr="002639A0">
        <w:t>Staff need communication skills. They also need customer service and safety training. These skills support effective engagement.</w:t>
      </w:r>
    </w:p>
    <w:p w14:paraId="7F969B22" w14:textId="01275AE5" w:rsidR="002639A0" w:rsidRPr="002639A0" w:rsidRDefault="002639A0" w:rsidP="002639A0">
      <w:pPr>
        <w:spacing w:after="0" w:line="240" w:lineRule="auto"/>
        <w:rPr>
          <w:rFonts w:ascii="Times New Roman" w:eastAsia="Times New Roman" w:hAnsi="Times New Roman" w:cs="Times New Roman"/>
          <w:kern w:val="0"/>
          <w14:ligatures w14:val="none"/>
        </w:rPr>
      </w:pPr>
    </w:p>
    <w:p w14:paraId="4FCA6395" w14:textId="77777777" w:rsidR="002639A0" w:rsidRPr="002639A0" w:rsidRDefault="002639A0" w:rsidP="002639A0">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639A0">
        <w:rPr>
          <w:rFonts w:ascii="Times New Roman" w:eastAsia="Times New Roman" w:hAnsi="Times New Roman" w:cs="Times New Roman"/>
          <w:b/>
          <w:bCs/>
          <w:kern w:val="36"/>
          <w:sz w:val="48"/>
          <w:szCs w:val="48"/>
          <w14:ligatures w14:val="none"/>
        </w:rPr>
        <w:t>19. Conflict Management</w:t>
      </w:r>
    </w:p>
    <w:p w14:paraId="225B2B1D"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p>
    <w:p w14:paraId="1E91C52A" w14:textId="77777777" w:rsidR="002639A0" w:rsidRPr="002639A0" w:rsidRDefault="002639A0" w:rsidP="002D4400">
      <w:pPr>
        <w:pStyle w:val="NoSpacing"/>
      </w:pPr>
      <w:r w:rsidRPr="002639A0">
        <w:t>Conflicts happen when groups have different needs. Schools may want fixed times. Clubs may want extra hours. Residents may want more open sessions.</w:t>
      </w:r>
    </w:p>
    <w:p w14:paraId="594596A0" w14:textId="77777777" w:rsidR="002639A0" w:rsidRPr="002639A0" w:rsidRDefault="002639A0" w:rsidP="002D4400">
      <w:pPr>
        <w:pStyle w:val="NoSpacing"/>
      </w:pPr>
    </w:p>
    <w:p w14:paraId="5DB06512" w14:textId="77777777" w:rsidR="002639A0" w:rsidRPr="002639A0" w:rsidRDefault="002639A0" w:rsidP="002D4400">
      <w:pPr>
        <w:pStyle w:val="NoSpacing"/>
      </w:pPr>
      <w:r w:rsidRPr="002639A0">
        <w:t>Greenwood states that transparent communication reduces conflict (Greenwood, 2007). Managers must listen carefully. They must explain limits clearly. Fair communication supports cooperation.</w:t>
      </w:r>
    </w:p>
    <w:p w14:paraId="5322416C" w14:textId="79C084C8" w:rsidR="002639A0" w:rsidRPr="002639A0" w:rsidRDefault="002639A0" w:rsidP="002639A0">
      <w:pPr>
        <w:spacing w:after="0" w:line="240" w:lineRule="auto"/>
        <w:rPr>
          <w:rFonts w:ascii="Times New Roman" w:eastAsia="Times New Roman" w:hAnsi="Times New Roman" w:cs="Times New Roman"/>
          <w:kern w:val="0"/>
          <w14:ligatures w14:val="none"/>
        </w:rPr>
      </w:pPr>
    </w:p>
    <w:p w14:paraId="6434BCED" w14:textId="77777777" w:rsidR="002639A0" w:rsidRPr="002639A0" w:rsidRDefault="002639A0" w:rsidP="002639A0">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639A0">
        <w:rPr>
          <w:rFonts w:ascii="Times New Roman" w:eastAsia="Times New Roman" w:hAnsi="Times New Roman" w:cs="Times New Roman"/>
          <w:b/>
          <w:bCs/>
          <w:kern w:val="36"/>
          <w:sz w:val="48"/>
          <w:szCs w:val="48"/>
          <w14:ligatures w14:val="none"/>
        </w:rPr>
        <w:t>20. Risk Management</w:t>
      </w:r>
    </w:p>
    <w:p w14:paraId="5640B121"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p>
    <w:p w14:paraId="0AD82173" w14:textId="77777777" w:rsidR="002639A0" w:rsidRPr="002639A0" w:rsidRDefault="002639A0" w:rsidP="002D4400">
      <w:pPr>
        <w:pStyle w:val="NoSpacing"/>
      </w:pPr>
      <w:r w:rsidRPr="002639A0">
        <w:t>Risk management helps prevent issues. Managers identify risks early. These may include schedule changes, equipment problems or budget limits. WHO recommends early communication to reduce negative impacts on service users (WHO, 2021).</w:t>
      </w:r>
    </w:p>
    <w:p w14:paraId="2087DFD1" w14:textId="77777777" w:rsidR="002639A0" w:rsidRPr="002639A0" w:rsidRDefault="002639A0" w:rsidP="002D4400">
      <w:pPr>
        <w:pStyle w:val="NoSpacing"/>
      </w:pPr>
    </w:p>
    <w:p w14:paraId="17A220C2" w14:textId="77777777" w:rsidR="002639A0" w:rsidRPr="002639A0" w:rsidRDefault="002639A0" w:rsidP="002D4400">
      <w:pPr>
        <w:pStyle w:val="NoSpacing"/>
      </w:pPr>
      <w:r w:rsidRPr="002639A0">
        <w:t>Sharing information early prevents misunderstandings.</w:t>
      </w:r>
    </w:p>
    <w:p w14:paraId="41CF5F0F" w14:textId="35938011" w:rsidR="002639A0" w:rsidRDefault="002639A0" w:rsidP="002639A0">
      <w:pPr>
        <w:spacing w:after="0" w:line="240" w:lineRule="auto"/>
        <w:rPr>
          <w:rFonts w:ascii="Times New Roman" w:eastAsia="Times New Roman" w:hAnsi="Times New Roman" w:cs="Times New Roman"/>
          <w:noProof/>
          <w:kern w:val="0"/>
          <w14:ligatures w14:val="none"/>
        </w:rPr>
      </w:pPr>
    </w:p>
    <w:p w14:paraId="36636181" w14:textId="77777777" w:rsidR="008B6352" w:rsidRPr="002639A0" w:rsidRDefault="008B6352" w:rsidP="002639A0">
      <w:pPr>
        <w:spacing w:after="0" w:line="240" w:lineRule="auto"/>
        <w:rPr>
          <w:rFonts w:ascii="Times New Roman" w:eastAsia="Times New Roman" w:hAnsi="Times New Roman" w:cs="Times New Roman"/>
          <w:kern w:val="0"/>
          <w14:ligatures w14:val="none"/>
        </w:rPr>
      </w:pPr>
    </w:p>
    <w:p w14:paraId="4B7E9F36" w14:textId="77777777" w:rsidR="002639A0" w:rsidRPr="002639A0" w:rsidRDefault="002639A0" w:rsidP="002639A0">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639A0">
        <w:rPr>
          <w:rFonts w:ascii="Times New Roman" w:eastAsia="Times New Roman" w:hAnsi="Times New Roman" w:cs="Times New Roman"/>
          <w:b/>
          <w:bCs/>
          <w:kern w:val="36"/>
          <w:sz w:val="48"/>
          <w:szCs w:val="48"/>
          <w14:ligatures w14:val="none"/>
        </w:rPr>
        <w:t>21. Reflection</w:t>
      </w:r>
    </w:p>
    <w:p w14:paraId="53AEAF83"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p>
    <w:p w14:paraId="6F9006B5"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r w:rsidRPr="002639A0">
        <w:rPr>
          <w:rFonts w:ascii="Times New Roman" w:hAnsi="Times New Roman" w:cs="Times New Roman"/>
          <w:kern w:val="0"/>
          <w14:ligatures w14:val="none"/>
        </w:rPr>
        <w:t>Reflection helps managers improve. Gibbs explains that reflection supports learning and better decision making (Gibbs, 1988). Reflection helps you understand what works. It helps you adjust strategies. It strengthens engagement.</w:t>
      </w:r>
    </w:p>
    <w:p w14:paraId="035E50F5" w14:textId="22610922" w:rsidR="002639A0" w:rsidRPr="002639A0" w:rsidRDefault="002639A0" w:rsidP="002639A0">
      <w:pPr>
        <w:spacing w:after="0" w:line="240" w:lineRule="auto"/>
        <w:rPr>
          <w:rFonts w:ascii="Times New Roman" w:eastAsia="Times New Roman" w:hAnsi="Times New Roman" w:cs="Times New Roman"/>
          <w:kern w:val="0"/>
          <w14:ligatures w14:val="none"/>
        </w:rPr>
      </w:pPr>
    </w:p>
    <w:p w14:paraId="54547C94" w14:textId="77777777" w:rsidR="002639A0" w:rsidRPr="002639A0" w:rsidRDefault="002639A0" w:rsidP="002639A0">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639A0">
        <w:rPr>
          <w:rFonts w:ascii="Times New Roman" w:eastAsia="Times New Roman" w:hAnsi="Times New Roman" w:cs="Times New Roman"/>
          <w:b/>
          <w:bCs/>
          <w:kern w:val="36"/>
          <w:sz w:val="48"/>
          <w:szCs w:val="48"/>
          <w14:ligatures w14:val="none"/>
        </w:rPr>
        <w:lastRenderedPageBreak/>
        <w:t>22. Challenges</w:t>
      </w:r>
    </w:p>
    <w:p w14:paraId="483C0EBC"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p>
    <w:p w14:paraId="430E1B63" w14:textId="77777777" w:rsidR="002639A0" w:rsidRPr="002639A0" w:rsidRDefault="002639A0" w:rsidP="00FE24CC">
      <w:pPr>
        <w:pStyle w:val="NoSpacing"/>
      </w:pPr>
      <w:r w:rsidRPr="002639A0">
        <w:t>Challenges include limited budgets, high demand, staff pressure and complex schedules. Bryson states that public organisations face resource limits that require careful planning (Bryson, 2018).</w:t>
      </w:r>
    </w:p>
    <w:p w14:paraId="0F3D7DAF" w14:textId="77777777" w:rsidR="002639A0" w:rsidRPr="002639A0" w:rsidRDefault="002639A0" w:rsidP="00FE24CC">
      <w:pPr>
        <w:pStyle w:val="NoSpacing"/>
      </w:pPr>
    </w:p>
    <w:p w14:paraId="450B5873" w14:textId="77777777" w:rsidR="002639A0" w:rsidRPr="002639A0" w:rsidRDefault="002639A0" w:rsidP="00FE24CC">
      <w:pPr>
        <w:pStyle w:val="NoSpacing"/>
      </w:pPr>
      <w:r w:rsidRPr="002639A0">
        <w:t>Some users expect fast changes. Others do not participate in feedback. Communication errors create frustration. Managers must respond with honesty and consistency.</w:t>
      </w:r>
    </w:p>
    <w:p w14:paraId="5F4CFE41" w14:textId="77777777" w:rsidR="002639A0" w:rsidRPr="002639A0" w:rsidRDefault="002639A0" w:rsidP="002639A0">
      <w:pPr>
        <w:spacing w:after="0" w:line="240" w:lineRule="auto"/>
        <w:rPr>
          <w:rFonts w:ascii="Times New Roman" w:eastAsia="Times New Roman" w:hAnsi="Times New Roman" w:cs="Times New Roman"/>
          <w:kern w:val="0"/>
          <w14:ligatures w14:val="none"/>
        </w:rPr>
      </w:pPr>
      <w:r w:rsidRPr="002639A0">
        <w:rPr>
          <w:rFonts w:ascii="Times New Roman" w:eastAsia="Times New Roman" w:hAnsi="Times New Roman" w:cs="Times New Roman"/>
          <w:noProof/>
          <w:kern w:val="0"/>
          <w14:ligatures w14:val="none"/>
        </w:rPr>
        <mc:AlternateContent>
          <mc:Choice Requires="wps">
            <w:drawing>
              <wp:inline distT="0" distB="0" distL="0" distR="0" wp14:anchorId="7E9572A3" wp14:editId="465BC057">
                <wp:extent cx="5731510" cy="1270"/>
                <wp:effectExtent l="0" t="31750" r="0" b="36830"/>
                <wp:docPr id="292065667"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FC386EA"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7C2F295" w14:textId="77777777" w:rsidR="002639A0" w:rsidRPr="002639A0" w:rsidRDefault="002639A0" w:rsidP="002639A0">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639A0">
        <w:rPr>
          <w:rFonts w:ascii="Times New Roman" w:eastAsia="Times New Roman" w:hAnsi="Times New Roman" w:cs="Times New Roman"/>
          <w:b/>
          <w:bCs/>
          <w:kern w:val="36"/>
          <w:sz w:val="48"/>
          <w:szCs w:val="48"/>
          <w14:ligatures w14:val="none"/>
        </w:rPr>
        <w:t>23. Opportunities</w:t>
      </w:r>
    </w:p>
    <w:p w14:paraId="7CE11857"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p>
    <w:p w14:paraId="626FB61E" w14:textId="77777777" w:rsidR="002639A0" w:rsidRPr="002639A0" w:rsidRDefault="002639A0" w:rsidP="00FE24CC">
      <w:pPr>
        <w:pStyle w:val="NoSpacing"/>
      </w:pPr>
      <w:r w:rsidRPr="002639A0">
        <w:t>Engagement creates opportunities. The centre can expand digital tools. It can develop new partnerships. It can improve data collection. It can design new programmes based on feedback.</w:t>
      </w:r>
    </w:p>
    <w:p w14:paraId="72AA881E" w14:textId="77777777" w:rsidR="002639A0" w:rsidRPr="002639A0" w:rsidRDefault="002639A0" w:rsidP="00FE24CC">
      <w:pPr>
        <w:pStyle w:val="NoSpacing"/>
      </w:pPr>
    </w:p>
    <w:p w14:paraId="1334E455" w14:textId="77777777" w:rsidR="002639A0" w:rsidRPr="002639A0" w:rsidRDefault="002639A0" w:rsidP="00FE24CC">
      <w:pPr>
        <w:pStyle w:val="NoSpacing"/>
      </w:pPr>
      <w:r w:rsidRPr="002639A0">
        <w:t>Sport England suggests that community involvement increases long term participation (Sport England, 2023).</w:t>
      </w:r>
    </w:p>
    <w:p w14:paraId="6F2846E6" w14:textId="77777777" w:rsidR="002639A0" w:rsidRPr="002639A0" w:rsidRDefault="002639A0" w:rsidP="002639A0">
      <w:pPr>
        <w:spacing w:after="0" w:line="240" w:lineRule="auto"/>
        <w:rPr>
          <w:rFonts w:ascii="Times New Roman" w:eastAsia="Times New Roman" w:hAnsi="Times New Roman" w:cs="Times New Roman"/>
          <w:kern w:val="0"/>
          <w14:ligatures w14:val="none"/>
        </w:rPr>
      </w:pPr>
      <w:r w:rsidRPr="002639A0">
        <w:rPr>
          <w:rFonts w:ascii="Times New Roman" w:eastAsia="Times New Roman" w:hAnsi="Times New Roman" w:cs="Times New Roman"/>
          <w:noProof/>
          <w:kern w:val="0"/>
          <w14:ligatures w14:val="none"/>
        </w:rPr>
        <mc:AlternateContent>
          <mc:Choice Requires="wps">
            <w:drawing>
              <wp:inline distT="0" distB="0" distL="0" distR="0" wp14:anchorId="48EE9D73" wp14:editId="051B2870">
                <wp:extent cx="5731510" cy="1270"/>
                <wp:effectExtent l="0" t="31750" r="0" b="36830"/>
                <wp:docPr id="1130955662"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E288871"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734E455" w14:textId="77777777" w:rsidR="002639A0" w:rsidRPr="002639A0" w:rsidRDefault="002639A0" w:rsidP="002639A0">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639A0">
        <w:rPr>
          <w:rFonts w:ascii="Times New Roman" w:eastAsia="Times New Roman" w:hAnsi="Times New Roman" w:cs="Times New Roman"/>
          <w:b/>
          <w:bCs/>
          <w:kern w:val="36"/>
          <w:sz w:val="48"/>
          <w:szCs w:val="48"/>
          <w14:ligatures w14:val="none"/>
        </w:rPr>
        <w:t>24. Recommendations</w:t>
      </w:r>
    </w:p>
    <w:p w14:paraId="4328779B"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p>
    <w:p w14:paraId="0281505A" w14:textId="77777777" w:rsidR="002639A0" w:rsidRPr="002639A0" w:rsidRDefault="002639A0" w:rsidP="00FE24CC">
      <w:pPr>
        <w:pStyle w:val="NoSpacing"/>
      </w:pPr>
      <w:r w:rsidRPr="002639A0">
        <w:t>You can improve engagement by using a structured plan. You define communication roles. You update stakeholders regularly. You use both digital and in person tools. You train staff. You collect data often. You share results openly.</w:t>
      </w:r>
    </w:p>
    <w:p w14:paraId="35F43469" w14:textId="77777777" w:rsidR="002639A0" w:rsidRPr="002639A0" w:rsidRDefault="002639A0" w:rsidP="00FE24CC">
      <w:pPr>
        <w:pStyle w:val="NoSpacing"/>
      </w:pPr>
    </w:p>
    <w:p w14:paraId="748B5DF6" w14:textId="77777777" w:rsidR="002639A0" w:rsidRPr="002639A0" w:rsidRDefault="002639A0" w:rsidP="00FE24CC">
      <w:pPr>
        <w:pStyle w:val="NoSpacing"/>
      </w:pPr>
      <w:r w:rsidRPr="002639A0">
        <w:t>CSR models also support ethical decisions and community trust (Carroll, 1991).</w:t>
      </w:r>
    </w:p>
    <w:p w14:paraId="21A09197" w14:textId="77777777" w:rsidR="002639A0" w:rsidRPr="002639A0" w:rsidRDefault="002639A0" w:rsidP="002639A0">
      <w:pPr>
        <w:spacing w:after="0" w:line="240" w:lineRule="auto"/>
        <w:rPr>
          <w:rFonts w:ascii="Times New Roman" w:eastAsia="Times New Roman" w:hAnsi="Times New Roman" w:cs="Times New Roman"/>
          <w:kern w:val="0"/>
          <w14:ligatures w14:val="none"/>
        </w:rPr>
      </w:pPr>
      <w:r w:rsidRPr="002639A0">
        <w:rPr>
          <w:rFonts w:ascii="Times New Roman" w:eastAsia="Times New Roman" w:hAnsi="Times New Roman" w:cs="Times New Roman"/>
          <w:noProof/>
          <w:kern w:val="0"/>
          <w14:ligatures w14:val="none"/>
        </w:rPr>
        <mc:AlternateContent>
          <mc:Choice Requires="wps">
            <w:drawing>
              <wp:inline distT="0" distB="0" distL="0" distR="0" wp14:anchorId="7DEAF420" wp14:editId="39A46C9B">
                <wp:extent cx="5731510" cy="1270"/>
                <wp:effectExtent l="0" t="31750" r="0" b="36830"/>
                <wp:docPr id="637031289"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A1DAF8F"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7FE2500" w14:textId="77777777" w:rsidR="002639A0" w:rsidRPr="002639A0" w:rsidRDefault="002639A0" w:rsidP="002639A0">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639A0">
        <w:rPr>
          <w:rFonts w:ascii="Times New Roman" w:eastAsia="Times New Roman" w:hAnsi="Times New Roman" w:cs="Times New Roman"/>
          <w:b/>
          <w:bCs/>
          <w:kern w:val="36"/>
          <w:sz w:val="48"/>
          <w:szCs w:val="48"/>
          <w14:ligatures w14:val="none"/>
        </w:rPr>
        <w:t>25. Conclusion</w:t>
      </w:r>
    </w:p>
    <w:p w14:paraId="5BDE2DFE" w14:textId="77777777" w:rsidR="002639A0" w:rsidRPr="002639A0" w:rsidRDefault="002639A0" w:rsidP="002639A0">
      <w:pPr>
        <w:spacing w:before="100" w:beforeAutospacing="1" w:after="100" w:afterAutospacing="1" w:line="240" w:lineRule="auto"/>
        <w:rPr>
          <w:rFonts w:ascii="Times New Roman" w:hAnsi="Times New Roman" w:cs="Times New Roman"/>
          <w:kern w:val="0"/>
          <w14:ligatures w14:val="none"/>
        </w:rPr>
      </w:pPr>
    </w:p>
    <w:p w14:paraId="75973D91" w14:textId="77777777" w:rsidR="002639A0" w:rsidRDefault="002639A0" w:rsidP="002639A0">
      <w:pPr>
        <w:spacing w:before="100" w:beforeAutospacing="1" w:after="100" w:afterAutospacing="1" w:line="240" w:lineRule="auto"/>
        <w:rPr>
          <w:rFonts w:ascii="Times New Roman" w:hAnsi="Times New Roman" w:cs="Times New Roman"/>
          <w:kern w:val="0"/>
          <w14:ligatures w14:val="none"/>
        </w:rPr>
      </w:pPr>
      <w:r w:rsidRPr="002639A0">
        <w:rPr>
          <w:rFonts w:ascii="Times New Roman" w:hAnsi="Times New Roman" w:cs="Times New Roman"/>
          <w:kern w:val="0"/>
          <w14:ligatures w14:val="none"/>
        </w:rPr>
        <w:t>This report shows how Hartsdown Leisure Centre engages internal and external stakeholders. You saw how theory supports planning. You saw how ethics and CSR influence decisions. You also saw how engagement strengthens community relationships. Strong engagement improves trust, service quality and long term sustainability.</w:t>
      </w:r>
    </w:p>
    <w:p w14:paraId="09B0279D" w14:textId="77777777" w:rsidR="00F55626" w:rsidRDefault="00F55626" w:rsidP="002639A0">
      <w:pPr>
        <w:spacing w:before="100" w:beforeAutospacing="1" w:after="100" w:afterAutospacing="1" w:line="240" w:lineRule="auto"/>
        <w:rPr>
          <w:rFonts w:ascii="Times New Roman" w:hAnsi="Times New Roman" w:cs="Times New Roman"/>
          <w:kern w:val="0"/>
          <w14:ligatures w14:val="none"/>
        </w:rPr>
      </w:pPr>
    </w:p>
    <w:p w14:paraId="1AF34DC3" w14:textId="1B6AF739" w:rsidR="00F55626" w:rsidRPr="00D32A5E" w:rsidRDefault="00FE24CC" w:rsidP="002639A0">
      <w:pPr>
        <w:spacing w:before="100" w:beforeAutospacing="1" w:after="100" w:afterAutospacing="1" w:line="240" w:lineRule="auto"/>
        <w:rPr>
          <w:rFonts w:ascii="Times New Roman" w:hAnsi="Times New Roman" w:cs="Times New Roman"/>
          <w:b/>
          <w:bCs/>
          <w:kern w:val="0"/>
          <w:sz w:val="48"/>
          <w:szCs w:val="48"/>
          <w14:ligatures w14:val="none"/>
        </w:rPr>
      </w:pPr>
      <w:r>
        <w:rPr>
          <w:rFonts w:ascii="Times New Roman" w:hAnsi="Times New Roman" w:cs="Times New Roman"/>
          <w:b/>
          <w:bCs/>
          <w:kern w:val="0"/>
          <w:sz w:val="48"/>
          <w:szCs w:val="48"/>
          <w14:ligatures w14:val="none"/>
        </w:rPr>
        <w:t>26 References</w:t>
      </w:r>
    </w:p>
    <w:p w14:paraId="6FF11270" w14:textId="77777777" w:rsidR="00F55626" w:rsidRPr="002639A0" w:rsidRDefault="00F55626" w:rsidP="002639A0">
      <w:pPr>
        <w:spacing w:before="100" w:beforeAutospacing="1" w:after="100" w:afterAutospacing="1" w:line="240" w:lineRule="auto"/>
        <w:rPr>
          <w:rFonts w:ascii="Times New Roman" w:hAnsi="Times New Roman" w:cs="Times New Roman"/>
          <w:kern w:val="0"/>
          <w14:ligatures w14:val="none"/>
        </w:rPr>
      </w:pPr>
    </w:p>
    <w:p w14:paraId="4621CAC7" w14:textId="030EFF6D" w:rsidR="002639A0" w:rsidRPr="002639A0" w:rsidRDefault="002639A0" w:rsidP="002639A0">
      <w:pPr>
        <w:spacing w:after="0" w:line="240" w:lineRule="auto"/>
        <w:rPr>
          <w:rFonts w:ascii="Times New Roman" w:eastAsia="Times New Roman" w:hAnsi="Times New Roman" w:cs="Times New Roman"/>
          <w:kern w:val="0"/>
          <w14:ligatures w14:val="none"/>
        </w:rPr>
      </w:pPr>
    </w:p>
    <w:p w14:paraId="75939C1D" w14:textId="77777777" w:rsidR="00ED36F1" w:rsidRPr="00ED36F1" w:rsidRDefault="00ED36F1" w:rsidP="00F55626">
      <w:pPr>
        <w:pStyle w:val="NoSpacing"/>
      </w:pPr>
      <w:r w:rsidRPr="00ED36F1">
        <w:t>Freeman, R. (1984) Strategic Management: A Stakeholder Approach. Boston, MA: Pitman.</w:t>
      </w:r>
    </w:p>
    <w:p w14:paraId="3AD904BD" w14:textId="77777777" w:rsidR="00ED36F1" w:rsidRPr="00ED36F1" w:rsidRDefault="00ED36F1" w:rsidP="00F55626">
      <w:pPr>
        <w:pStyle w:val="NoSpacing"/>
      </w:pPr>
    </w:p>
    <w:p w14:paraId="32979868" w14:textId="77777777" w:rsidR="00ED36F1" w:rsidRPr="00ED36F1" w:rsidRDefault="00ED36F1" w:rsidP="00F55626">
      <w:pPr>
        <w:pStyle w:val="NoSpacing"/>
      </w:pPr>
      <w:r w:rsidRPr="00ED36F1">
        <w:t>Bryson, J. (2018) Strategic Planning for Public and Nonprofit Organizations. 5th edn. San Francisco: Jossey-Bass.</w:t>
      </w:r>
    </w:p>
    <w:p w14:paraId="7CBEAE23" w14:textId="77777777" w:rsidR="00ED36F1" w:rsidRPr="00ED36F1" w:rsidRDefault="00ED36F1" w:rsidP="00F55626">
      <w:pPr>
        <w:pStyle w:val="NoSpacing"/>
      </w:pPr>
    </w:p>
    <w:p w14:paraId="3A2B652F" w14:textId="77777777" w:rsidR="00ED36F1" w:rsidRPr="00ED36F1" w:rsidRDefault="00ED36F1" w:rsidP="00F55626">
      <w:pPr>
        <w:pStyle w:val="NoSpacing"/>
      </w:pPr>
      <w:r w:rsidRPr="00ED36F1">
        <w:t>Reed, M., Graves, A., Dandy, N. et al. (2009) ‘Who’s in and why? A typology of stakeholder analysis methods’, Journal of Environmental Management, 90(5), pp. 1933–1949.</w:t>
      </w:r>
    </w:p>
    <w:p w14:paraId="2DD58847" w14:textId="77777777" w:rsidR="00ED36F1" w:rsidRPr="00ED36F1" w:rsidRDefault="00ED36F1" w:rsidP="00F55626">
      <w:pPr>
        <w:pStyle w:val="NoSpacing"/>
      </w:pPr>
    </w:p>
    <w:p w14:paraId="73D9DB37" w14:textId="77777777" w:rsidR="00ED36F1" w:rsidRPr="00ED36F1" w:rsidRDefault="00ED36F1" w:rsidP="00F55626">
      <w:pPr>
        <w:pStyle w:val="NoSpacing"/>
      </w:pPr>
      <w:r w:rsidRPr="00ED36F1">
        <w:t>Greenwood, M. (2007) ‘Stakeholder engagement’, Journal of Business Ethics, 74(4), pp. 315–327.</w:t>
      </w:r>
    </w:p>
    <w:p w14:paraId="07BBBB81" w14:textId="77777777" w:rsidR="00ED36F1" w:rsidRPr="00ED36F1" w:rsidRDefault="00ED36F1" w:rsidP="00F55626">
      <w:pPr>
        <w:pStyle w:val="NoSpacing"/>
      </w:pPr>
    </w:p>
    <w:p w14:paraId="4814F457" w14:textId="77777777" w:rsidR="00ED36F1" w:rsidRPr="00ED36F1" w:rsidRDefault="00ED36F1" w:rsidP="00F55626">
      <w:pPr>
        <w:pStyle w:val="NoSpacing"/>
      </w:pPr>
      <w:r w:rsidRPr="00ED36F1">
        <w:t>Mendelow, A. (1991) ‘Environmental Scanning: The Impact of the Stakeholder Concept’, ICIS Proceedings, pp. 407–418.</w:t>
      </w:r>
    </w:p>
    <w:p w14:paraId="66EE9B73" w14:textId="77777777" w:rsidR="00ED36F1" w:rsidRPr="00ED36F1" w:rsidRDefault="00ED36F1" w:rsidP="00F55626">
      <w:pPr>
        <w:pStyle w:val="NoSpacing"/>
      </w:pPr>
    </w:p>
    <w:p w14:paraId="0C9A8031" w14:textId="77777777" w:rsidR="00ED36F1" w:rsidRPr="00ED36F1" w:rsidRDefault="00ED36F1" w:rsidP="00F55626">
      <w:pPr>
        <w:pStyle w:val="NoSpacing"/>
      </w:pPr>
    </w:p>
    <w:p w14:paraId="1E3496F8" w14:textId="77777777" w:rsidR="00ED36F1" w:rsidRPr="00ED36F1" w:rsidRDefault="00ED36F1" w:rsidP="00F55626">
      <w:pPr>
        <w:pStyle w:val="NoSpacing"/>
      </w:pPr>
      <w:r w:rsidRPr="00ED36F1">
        <w:t>Crane, A. and Matten, D. (2016) Business Ethics: Managing Corporate Citizenship and Sustainability. 4th edn. Oxford: Oxford University Press.</w:t>
      </w:r>
    </w:p>
    <w:p w14:paraId="6290604A" w14:textId="77777777" w:rsidR="00ED36F1" w:rsidRPr="00ED36F1" w:rsidRDefault="00ED36F1" w:rsidP="00F55626">
      <w:pPr>
        <w:pStyle w:val="NoSpacing"/>
      </w:pPr>
    </w:p>
    <w:p w14:paraId="57CAD990" w14:textId="77777777" w:rsidR="00ED36F1" w:rsidRPr="00ED36F1" w:rsidRDefault="00ED36F1" w:rsidP="00F55626">
      <w:pPr>
        <w:pStyle w:val="NoSpacing"/>
      </w:pPr>
      <w:r w:rsidRPr="00ED36F1">
        <w:t>Carroll, A. (1991) ‘The Pyramid of Corporate Social Responsibility’, Business Horizons, 34(4), pp. 39–48.</w:t>
      </w:r>
    </w:p>
    <w:p w14:paraId="1C094B9F" w14:textId="77777777" w:rsidR="00ED36F1" w:rsidRPr="00ED36F1" w:rsidRDefault="00ED36F1" w:rsidP="00F55626">
      <w:pPr>
        <w:pStyle w:val="NoSpacing"/>
      </w:pPr>
    </w:p>
    <w:p w14:paraId="2BA6D23A" w14:textId="77777777" w:rsidR="00ED36F1" w:rsidRPr="00ED36F1" w:rsidRDefault="00ED36F1" w:rsidP="00F55626">
      <w:pPr>
        <w:pStyle w:val="NoSpacing"/>
      </w:pPr>
      <w:r w:rsidRPr="00ED36F1">
        <w:t>Elkington, J. (1997) Cannibals with Forks: The Triple Bottom Line of 21st Century Business. Oxford: Capstone.</w:t>
      </w:r>
    </w:p>
    <w:p w14:paraId="39DBCF24" w14:textId="77777777" w:rsidR="00ED36F1" w:rsidRPr="00ED36F1" w:rsidRDefault="00ED36F1" w:rsidP="00F55626">
      <w:pPr>
        <w:pStyle w:val="NoSpacing"/>
      </w:pPr>
    </w:p>
    <w:p w14:paraId="40A66A46" w14:textId="77777777" w:rsidR="00ED36F1" w:rsidRPr="00ED36F1" w:rsidRDefault="00ED36F1" w:rsidP="00F55626">
      <w:pPr>
        <w:pStyle w:val="NoSpacing"/>
      </w:pPr>
      <w:r w:rsidRPr="00ED36F1">
        <w:t>Trendafilova, S., et al. (2016) ‘Environmental sustainability in sport’, Sport Management Review, 19(4), pp. 407–420.</w:t>
      </w:r>
    </w:p>
    <w:p w14:paraId="4B47E33C" w14:textId="77777777" w:rsidR="00ED36F1" w:rsidRPr="00ED36F1" w:rsidRDefault="00ED36F1" w:rsidP="00F55626">
      <w:pPr>
        <w:pStyle w:val="NoSpacing"/>
      </w:pPr>
    </w:p>
    <w:p w14:paraId="3AB61882" w14:textId="77777777" w:rsidR="00ED36F1" w:rsidRPr="00ED36F1" w:rsidRDefault="00ED36F1" w:rsidP="00F55626">
      <w:pPr>
        <w:pStyle w:val="NoSpacing"/>
      </w:pPr>
    </w:p>
    <w:p w14:paraId="76D70CEA" w14:textId="77777777" w:rsidR="00ED36F1" w:rsidRPr="00ED36F1" w:rsidRDefault="00ED36F1" w:rsidP="00F55626">
      <w:pPr>
        <w:pStyle w:val="NoSpacing"/>
      </w:pPr>
      <w:r w:rsidRPr="00ED36F1">
        <w:t>Sport England (2022) Community Leisure Hub Design Guidance. London: Sport England.</w:t>
      </w:r>
    </w:p>
    <w:p w14:paraId="3317571B" w14:textId="77777777" w:rsidR="00ED36F1" w:rsidRPr="00ED36F1" w:rsidRDefault="00ED36F1" w:rsidP="00F55626">
      <w:pPr>
        <w:pStyle w:val="NoSpacing"/>
      </w:pPr>
    </w:p>
    <w:p w14:paraId="21758871" w14:textId="77777777" w:rsidR="00ED36F1" w:rsidRPr="00ED36F1" w:rsidRDefault="00ED36F1" w:rsidP="00F55626">
      <w:pPr>
        <w:pStyle w:val="NoSpacing"/>
      </w:pPr>
      <w:r w:rsidRPr="00ED36F1">
        <w:t>Sport England (2023) Uniting the Movement: Strategy 2021–2031. London: Sport England.</w:t>
      </w:r>
    </w:p>
    <w:p w14:paraId="35002487" w14:textId="77777777" w:rsidR="00ED36F1" w:rsidRPr="00ED36F1" w:rsidRDefault="00ED36F1" w:rsidP="00F55626">
      <w:pPr>
        <w:pStyle w:val="NoSpacing"/>
      </w:pPr>
    </w:p>
    <w:p w14:paraId="618621D6" w14:textId="77777777" w:rsidR="00ED36F1" w:rsidRPr="00ED36F1" w:rsidRDefault="00ED36F1" w:rsidP="00F55626">
      <w:pPr>
        <w:pStyle w:val="NoSpacing"/>
      </w:pPr>
      <w:r w:rsidRPr="00ED36F1">
        <w:t>World Health Organization (2021) Physical Activity Strategy for the WHO European Region 2021–2030. Geneva: WHO.</w:t>
      </w:r>
    </w:p>
    <w:p w14:paraId="71CD03ED" w14:textId="77777777" w:rsidR="00ED36F1" w:rsidRPr="00ED36F1" w:rsidRDefault="00ED36F1" w:rsidP="00F55626">
      <w:pPr>
        <w:pStyle w:val="NoSpacing"/>
      </w:pPr>
    </w:p>
    <w:p w14:paraId="611C9E98" w14:textId="77777777" w:rsidR="00ED36F1" w:rsidRPr="00ED36F1" w:rsidRDefault="00ED36F1" w:rsidP="00F55626">
      <w:pPr>
        <w:pStyle w:val="NoSpacing"/>
      </w:pPr>
      <w:r w:rsidRPr="00ED36F1">
        <w:lastRenderedPageBreak/>
        <w:t>Thanet District Council (2023) Thanet Indoor Facilities Strategy. Available at: www.thanet.gov.uk</w:t>
      </w:r>
    </w:p>
    <w:p w14:paraId="21FD2508" w14:textId="77777777" w:rsidR="00ED36F1" w:rsidRPr="00ED36F1" w:rsidRDefault="00ED36F1" w:rsidP="00F55626">
      <w:pPr>
        <w:pStyle w:val="NoSpacing"/>
      </w:pPr>
    </w:p>
    <w:p w14:paraId="07826865" w14:textId="77777777" w:rsidR="00ED36F1" w:rsidRPr="00ED36F1" w:rsidRDefault="00ED36F1" w:rsidP="00F55626">
      <w:pPr>
        <w:pStyle w:val="NoSpacing"/>
      </w:pPr>
      <w:r w:rsidRPr="00ED36F1">
        <w:t>Visit Thanet (2024) Hartsdown Leisure Centre Overview. Available at: www.visitthanet.co.uk</w:t>
      </w:r>
    </w:p>
    <w:p w14:paraId="30EB9EEB" w14:textId="77777777" w:rsidR="00ED36F1" w:rsidRPr="00ED36F1" w:rsidRDefault="00ED36F1" w:rsidP="00F55626">
      <w:pPr>
        <w:pStyle w:val="NoSpacing"/>
      </w:pPr>
    </w:p>
    <w:p w14:paraId="5A3C6800" w14:textId="77777777" w:rsidR="00ED36F1" w:rsidRPr="00ED36F1" w:rsidRDefault="00ED36F1" w:rsidP="00F55626">
      <w:pPr>
        <w:pStyle w:val="NoSpacing"/>
      </w:pPr>
      <w:r w:rsidRPr="00ED36F1">
        <w:t>Alliance Leisure (2024) Stakeholder Engagement Case Studies. Available at: www.allianceleisure.co.uk</w:t>
      </w:r>
    </w:p>
    <w:p w14:paraId="5A6E9E8A" w14:textId="77777777" w:rsidR="00ED36F1" w:rsidRPr="00ED36F1" w:rsidRDefault="00ED36F1" w:rsidP="00F55626">
      <w:pPr>
        <w:pStyle w:val="NoSpacing"/>
      </w:pPr>
    </w:p>
    <w:p w14:paraId="027C267F" w14:textId="77777777" w:rsidR="00ED36F1" w:rsidRPr="00ED36F1" w:rsidRDefault="00ED36F1" w:rsidP="00F55626">
      <w:pPr>
        <w:pStyle w:val="NoSpacing"/>
      </w:pPr>
    </w:p>
    <w:p w14:paraId="6FDD93E0" w14:textId="77777777" w:rsidR="00ED36F1" w:rsidRPr="00ED36F1" w:rsidRDefault="00ED36F1" w:rsidP="00F55626">
      <w:pPr>
        <w:pStyle w:val="NoSpacing"/>
      </w:pPr>
      <w:r w:rsidRPr="00ED36F1">
        <w:t>Gibbs, G. (1988) Learning by Doing. Oxford: Oxford Polytechnic.</w:t>
      </w:r>
    </w:p>
    <w:p w14:paraId="227EEBFE" w14:textId="77777777" w:rsidR="00ED36F1" w:rsidRPr="00ED36F1" w:rsidRDefault="00ED36F1" w:rsidP="00F55626">
      <w:pPr>
        <w:pStyle w:val="NoSpacing"/>
      </w:pPr>
    </w:p>
    <w:p w14:paraId="7A30442A" w14:textId="77777777" w:rsidR="00ED36F1" w:rsidRPr="00ED36F1" w:rsidRDefault="00ED36F1" w:rsidP="00F55626">
      <w:pPr>
        <w:pStyle w:val="NoSpacing"/>
      </w:pPr>
      <w:r w:rsidRPr="00ED36F1">
        <w:t>Cottrell, S. (2019) The Study Skills Handbook. 5th edn. London: Red Globe Press.</w:t>
      </w:r>
    </w:p>
    <w:p w14:paraId="329C8D38" w14:textId="77777777" w:rsidR="001E5348" w:rsidRPr="001E5348" w:rsidRDefault="001E5348" w:rsidP="00F55626">
      <w:pPr>
        <w:pStyle w:val="NoSpacing"/>
        <w:rPr>
          <w:sz w:val="28"/>
          <w:szCs w:val="28"/>
        </w:rPr>
      </w:pPr>
    </w:p>
    <w:sectPr w:rsidR="001E5348" w:rsidRPr="001E5348" w:rsidSect="000156D8">
      <w:pgSz w:w="11906" w:h="16838"/>
      <w:pgMar w:top="1440" w:right="1440" w:bottom="1440" w:left="1440" w:header="708" w:footer="708" w:gutter="0"/>
      <w:pgBorders w:offsetFrom="page">
        <w:top w:val="threeDEmboss" w:sz="12" w:space="24" w:color="auto"/>
        <w:left w:val="threeDEmboss" w:sz="12" w:space="24" w:color="auto"/>
        <w:bottom w:val="threeDEmboss" w:sz="12" w:space="24" w:color="auto"/>
        <w:right w:val="threeDEmboss"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C796AF" w14:textId="77777777" w:rsidR="002D7456" w:rsidRDefault="002D7456" w:rsidP="00B54FE4">
      <w:pPr>
        <w:spacing w:after="0" w:line="240" w:lineRule="auto"/>
      </w:pPr>
      <w:r>
        <w:separator/>
      </w:r>
    </w:p>
  </w:endnote>
  <w:endnote w:type="continuationSeparator" w:id="0">
    <w:p w14:paraId="53B91684" w14:textId="77777777" w:rsidR="002D7456" w:rsidRDefault="002D7456" w:rsidP="00B54F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D5A467" w14:textId="77777777" w:rsidR="002D7456" w:rsidRDefault="002D7456" w:rsidP="00B54FE4">
      <w:pPr>
        <w:spacing w:after="0" w:line="240" w:lineRule="auto"/>
      </w:pPr>
      <w:r>
        <w:separator/>
      </w:r>
    </w:p>
  </w:footnote>
  <w:footnote w:type="continuationSeparator" w:id="0">
    <w:p w14:paraId="7E0CF038" w14:textId="77777777" w:rsidR="002D7456" w:rsidRDefault="002D7456" w:rsidP="00B54F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374F6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366850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348"/>
    <w:rsid w:val="000156D8"/>
    <w:rsid w:val="0008527C"/>
    <w:rsid w:val="00111F87"/>
    <w:rsid w:val="001E11FA"/>
    <w:rsid w:val="001E5348"/>
    <w:rsid w:val="002639A0"/>
    <w:rsid w:val="002D4400"/>
    <w:rsid w:val="002D7456"/>
    <w:rsid w:val="003624A7"/>
    <w:rsid w:val="0054235B"/>
    <w:rsid w:val="005A6E40"/>
    <w:rsid w:val="005A7887"/>
    <w:rsid w:val="00727317"/>
    <w:rsid w:val="00857543"/>
    <w:rsid w:val="008B6352"/>
    <w:rsid w:val="00B54FE4"/>
    <w:rsid w:val="00CC1244"/>
    <w:rsid w:val="00D32A5E"/>
    <w:rsid w:val="00D94521"/>
    <w:rsid w:val="00E607A4"/>
    <w:rsid w:val="00E95520"/>
    <w:rsid w:val="00EC5F9D"/>
    <w:rsid w:val="00ED36F1"/>
    <w:rsid w:val="00F27A48"/>
    <w:rsid w:val="00F55626"/>
    <w:rsid w:val="00FA7F8F"/>
    <w:rsid w:val="00FE24CC"/>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00920AB6"/>
  <w15:chartTrackingRefBased/>
  <w15:docId w15:val="{9A6187ED-2B53-084D-AFB1-228054BC58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RO"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53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E53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E53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53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53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53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53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53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53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53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53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53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53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53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53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53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53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5348"/>
    <w:rPr>
      <w:rFonts w:eastAsiaTheme="majorEastAsia" w:cstheme="majorBidi"/>
      <w:color w:val="272727" w:themeColor="text1" w:themeTint="D8"/>
    </w:rPr>
  </w:style>
  <w:style w:type="paragraph" w:styleId="Title">
    <w:name w:val="Title"/>
    <w:basedOn w:val="Normal"/>
    <w:next w:val="Normal"/>
    <w:link w:val="TitleChar"/>
    <w:uiPriority w:val="10"/>
    <w:qFormat/>
    <w:rsid w:val="001E53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53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53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53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5348"/>
    <w:pPr>
      <w:spacing w:before="160"/>
      <w:jc w:val="center"/>
    </w:pPr>
    <w:rPr>
      <w:i/>
      <w:iCs/>
      <w:color w:val="404040" w:themeColor="text1" w:themeTint="BF"/>
    </w:rPr>
  </w:style>
  <w:style w:type="character" w:customStyle="1" w:styleId="QuoteChar">
    <w:name w:val="Quote Char"/>
    <w:basedOn w:val="DefaultParagraphFont"/>
    <w:link w:val="Quote"/>
    <w:uiPriority w:val="29"/>
    <w:rsid w:val="001E5348"/>
    <w:rPr>
      <w:i/>
      <w:iCs/>
      <w:color w:val="404040" w:themeColor="text1" w:themeTint="BF"/>
    </w:rPr>
  </w:style>
  <w:style w:type="paragraph" w:styleId="ListParagraph">
    <w:name w:val="List Paragraph"/>
    <w:basedOn w:val="Normal"/>
    <w:uiPriority w:val="34"/>
    <w:qFormat/>
    <w:rsid w:val="001E5348"/>
    <w:pPr>
      <w:ind w:left="720"/>
      <w:contextualSpacing/>
    </w:pPr>
  </w:style>
  <w:style w:type="character" w:styleId="IntenseEmphasis">
    <w:name w:val="Intense Emphasis"/>
    <w:basedOn w:val="DefaultParagraphFont"/>
    <w:uiPriority w:val="21"/>
    <w:qFormat/>
    <w:rsid w:val="001E5348"/>
    <w:rPr>
      <w:i/>
      <w:iCs/>
      <w:color w:val="0F4761" w:themeColor="accent1" w:themeShade="BF"/>
    </w:rPr>
  </w:style>
  <w:style w:type="paragraph" w:styleId="IntenseQuote">
    <w:name w:val="Intense Quote"/>
    <w:basedOn w:val="Normal"/>
    <w:next w:val="Normal"/>
    <w:link w:val="IntenseQuoteChar"/>
    <w:uiPriority w:val="30"/>
    <w:qFormat/>
    <w:rsid w:val="001E53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5348"/>
    <w:rPr>
      <w:i/>
      <w:iCs/>
      <w:color w:val="0F4761" w:themeColor="accent1" w:themeShade="BF"/>
    </w:rPr>
  </w:style>
  <w:style w:type="character" w:styleId="IntenseReference">
    <w:name w:val="Intense Reference"/>
    <w:basedOn w:val="DefaultParagraphFont"/>
    <w:uiPriority w:val="32"/>
    <w:qFormat/>
    <w:rsid w:val="001E5348"/>
    <w:rPr>
      <w:b/>
      <w:bCs/>
      <w:smallCaps/>
      <w:color w:val="0F4761" w:themeColor="accent1" w:themeShade="BF"/>
      <w:spacing w:val="5"/>
    </w:rPr>
  </w:style>
  <w:style w:type="paragraph" w:customStyle="1" w:styleId="p1">
    <w:name w:val="p1"/>
    <w:basedOn w:val="Normal"/>
    <w:rsid w:val="002639A0"/>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2639A0"/>
  </w:style>
  <w:style w:type="character" w:customStyle="1" w:styleId="s2">
    <w:name w:val="s2"/>
    <w:basedOn w:val="DefaultParagraphFont"/>
    <w:rsid w:val="002639A0"/>
  </w:style>
  <w:style w:type="paragraph" w:customStyle="1" w:styleId="p2">
    <w:name w:val="p2"/>
    <w:basedOn w:val="Normal"/>
    <w:rsid w:val="002639A0"/>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2639A0"/>
  </w:style>
  <w:style w:type="paragraph" w:styleId="NoSpacing">
    <w:name w:val="No Spacing"/>
    <w:uiPriority w:val="1"/>
    <w:qFormat/>
    <w:rsid w:val="001E11FA"/>
    <w:pPr>
      <w:spacing w:after="0" w:line="240" w:lineRule="auto"/>
    </w:pPr>
  </w:style>
  <w:style w:type="paragraph" w:styleId="Header">
    <w:name w:val="header"/>
    <w:basedOn w:val="Normal"/>
    <w:link w:val="HeaderChar"/>
    <w:uiPriority w:val="99"/>
    <w:unhideWhenUsed/>
    <w:rsid w:val="00B54F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4FE4"/>
  </w:style>
  <w:style w:type="paragraph" w:styleId="Footer">
    <w:name w:val="footer"/>
    <w:basedOn w:val="Normal"/>
    <w:link w:val="FooterChar"/>
    <w:uiPriority w:val="99"/>
    <w:unhideWhenUsed/>
    <w:rsid w:val="00B54F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4F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2534</Words>
  <Characters>14449</Characters>
  <Application>Microsoft Office Word</Application>
  <DocSecurity>0</DocSecurity>
  <Lines>120</Lines>
  <Paragraphs>33</Paragraphs>
  <ScaleCrop>false</ScaleCrop>
  <Company/>
  <LinksUpToDate>false</LinksUpToDate>
  <CharactersWithSpaces>16950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Elvis-Fanel Margelu (2328842)</dc:creator>
  <cp:keywords/>
  <dc:description/>
  <cp:lastModifiedBy>Elvis-Fanel Margelu (2328842)</cp:lastModifiedBy>
  <cp:revision>2</cp:revision>
  <dcterms:created xsi:type="dcterms:W3CDTF">2025-12-19T17:37:00Z</dcterms:created>
  <dcterms:modified xsi:type="dcterms:W3CDTF">2025-12-19T17:37:00Z</dcterms:modified>
</cp:coreProperties>
</file>