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A1606" w14:textId="74F15C0B" w:rsidR="006040FB" w:rsidRDefault="000A1586" w:rsidP="000A1586">
      <w:pPr>
        <w:jc w:val="center"/>
        <w:rPr>
          <w:rFonts w:cs="Arial"/>
          <w:b/>
          <w:bCs/>
          <w:sz w:val="22"/>
          <w:szCs w:val="22"/>
          <w:u w:val="single"/>
        </w:rPr>
      </w:pPr>
      <w:r>
        <w:rPr>
          <w:rFonts w:cs="Arial"/>
          <w:b/>
          <w:bCs/>
          <w:sz w:val="22"/>
          <w:szCs w:val="22"/>
          <w:u w:val="single"/>
        </w:rPr>
        <w:t>ECAD7004-</w:t>
      </w:r>
      <w:r w:rsidRPr="000A1586">
        <w:rPr>
          <w:rFonts w:cs="Arial"/>
          <w:b/>
          <w:bCs/>
          <w:sz w:val="22"/>
          <w:szCs w:val="22"/>
          <w:u w:val="single"/>
        </w:rPr>
        <w:t>How can we improve pupil’s understanding of a topic through the use of analogies?</w:t>
      </w:r>
    </w:p>
    <w:p w14:paraId="6A64F9EB" w14:textId="2A8688AB" w:rsidR="000A1586" w:rsidRPr="0005636F" w:rsidRDefault="004D2FF6" w:rsidP="004D2FF6">
      <w:pPr>
        <w:spacing w:line="360" w:lineRule="auto"/>
        <w:rPr>
          <w:b/>
          <w:bCs/>
          <w:u w:val="single"/>
        </w:rPr>
      </w:pPr>
      <w:r>
        <w:rPr>
          <w:b/>
          <w:bCs/>
          <w:u w:val="single"/>
        </w:rPr>
        <w:t>1.0-</w:t>
      </w:r>
      <w:r w:rsidR="0005636F">
        <w:rPr>
          <w:b/>
          <w:bCs/>
          <w:u w:val="single"/>
        </w:rPr>
        <w:t>Introduction</w:t>
      </w:r>
    </w:p>
    <w:p w14:paraId="7F915936" w14:textId="08CB5186" w:rsidR="000A1586" w:rsidRDefault="0005636F" w:rsidP="004D2FF6">
      <w:pPr>
        <w:spacing w:line="360" w:lineRule="auto"/>
      </w:pPr>
      <w:r>
        <w:t xml:space="preserve">This research will focus on the issue of </w:t>
      </w:r>
      <w:r w:rsidR="000A1586">
        <w:t xml:space="preserve">whether a pupil’s understanding of a topic can be improved </w:t>
      </w:r>
      <w:r w:rsidR="00D77AA5">
        <w:t>through the use of analogies</w:t>
      </w:r>
      <w:r w:rsidR="000A1586">
        <w:t>. Analogies can be defined as</w:t>
      </w:r>
      <w:r w:rsidR="00D77AA5">
        <w:t xml:space="preserve"> the</w:t>
      </w:r>
      <w:r w:rsidR="000A1586">
        <w:t xml:space="preserve"> teaching</w:t>
      </w:r>
      <w:r w:rsidR="00D77AA5">
        <w:t xml:space="preserve"> of</w:t>
      </w:r>
      <w:r w:rsidR="000A1586">
        <w:t xml:space="preserve"> an unknown to pupils by using a known example to pupils</w:t>
      </w:r>
      <w:sdt>
        <w:sdtPr>
          <w:id w:val="1018809911"/>
          <w:citation/>
        </w:sdtPr>
        <w:sdtContent>
          <w:r w:rsidR="000A1586">
            <w:fldChar w:fldCharType="begin"/>
          </w:r>
          <w:r w:rsidR="000A1586">
            <w:instrText xml:space="preserve"> CITATION Kor19 \l 2057 </w:instrText>
          </w:r>
          <w:r w:rsidR="000A1586">
            <w:fldChar w:fldCharType="separate"/>
          </w:r>
          <w:r w:rsidR="000A1586">
            <w:rPr>
              <w:noProof/>
            </w:rPr>
            <w:t xml:space="preserve"> </w:t>
          </w:r>
          <w:r w:rsidR="000A1586" w:rsidRPr="000A1586">
            <w:rPr>
              <w:noProof/>
            </w:rPr>
            <w:t>(Korhasan &amp; Hidir, 2019)</w:t>
          </w:r>
          <w:r w:rsidR="000A1586">
            <w:fldChar w:fldCharType="end"/>
          </w:r>
        </w:sdtContent>
      </w:sdt>
      <w:r w:rsidR="000A1586">
        <w:t xml:space="preserve">. This issue interested us as researchers as we are both PGCE Geography student teachers and the use of analogies in Geography teaching has been encouraged previously up to at least </w:t>
      </w:r>
      <w:r w:rsidR="00D77AA5">
        <w:t>Geography at</w:t>
      </w:r>
      <w:r w:rsidR="000A1586">
        <w:t xml:space="preserve"> undergraduate level</w:t>
      </w:r>
      <w:sdt>
        <w:sdtPr>
          <w:id w:val="450743128"/>
          <w:citation/>
        </w:sdtPr>
        <w:sdtContent>
          <w:r w:rsidR="000A1586">
            <w:fldChar w:fldCharType="begin"/>
          </w:r>
          <w:r w:rsidR="000A1586">
            <w:instrText xml:space="preserve"> CITATION Dum16 \l 2057 </w:instrText>
          </w:r>
          <w:r w:rsidR="000A1586">
            <w:fldChar w:fldCharType="separate"/>
          </w:r>
          <w:r w:rsidR="000A1586">
            <w:rPr>
              <w:noProof/>
            </w:rPr>
            <w:t xml:space="preserve"> </w:t>
          </w:r>
          <w:r w:rsidR="000A1586" w:rsidRPr="000A1586">
            <w:rPr>
              <w:noProof/>
            </w:rPr>
            <w:t>(Duman, 2016)</w:t>
          </w:r>
          <w:r w:rsidR="000A1586">
            <w:fldChar w:fldCharType="end"/>
          </w:r>
        </w:sdtContent>
      </w:sdt>
      <w:r w:rsidR="000A1586">
        <w:t>. Whilst conducting the research we believed that pupil’s understanding of the lesson would be improved by the use of analogies and local case studies. We believed that the studied pupils in our placement schools would achieve at least the ‘Apply’ section of Bloom’s Taxonomy and hoped that some pupils could reach the ‘Create’ stage of the taxonomy</w:t>
      </w:r>
      <w:sdt>
        <w:sdtPr>
          <w:id w:val="335269382"/>
          <w:citation/>
        </w:sdtPr>
        <w:sdtContent>
          <w:r w:rsidR="000A1586">
            <w:fldChar w:fldCharType="begin"/>
          </w:r>
          <w:r w:rsidR="000A1586">
            <w:instrText xml:space="preserve"> CITATION Arm16 \l 2057 </w:instrText>
          </w:r>
          <w:r w:rsidR="000A1586">
            <w:fldChar w:fldCharType="separate"/>
          </w:r>
          <w:r w:rsidR="000A1586">
            <w:rPr>
              <w:noProof/>
            </w:rPr>
            <w:t xml:space="preserve"> </w:t>
          </w:r>
          <w:r w:rsidR="000A1586" w:rsidRPr="000A1586">
            <w:rPr>
              <w:noProof/>
            </w:rPr>
            <w:t>(Armstrong, 2016)</w:t>
          </w:r>
          <w:r w:rsidR="000A1586">
            <w:fldChar w:fldCharType="end"/>
          </w:r>
        </w:sdtContent>
      </w:sdt>
      <w:r w:rsidR="000A1586">
        <w:t>.</w:t>
      </w:r>
    </w:p>
    <w:p w14:paraId="7B03341A" w14:textId="44F2D304" w:rsidR="004D2FF6" w:rsidRDefault="004D2FF6" w:rsidP="004D2FF6">
      <w:pPr>
        <w:spacing w:line="360" w:lineRule="auto"/>
      </w:pPr>
    </w:p>
    <w:p w14:paraId="329606D0" w14:textId="2FFAA195" w:rsidR="004D2FF6" w:rsidRPr="004D2FF6" w:rsidRDefault="004D2FF6" w:rsidP="004D2FF6">
      <w:pPr>
        <w:spacing w:line="360" w:lineRule="auto"/>
        <w:rPr>
          <w:rFonts w:cstheme="minorHAnsi"/>
        </w:rPr>
      </w:pPr>
      <w:r w:rsidRPr="004D2FF6">
        <w:rPr>
          <w:rFonts w:cstheme="minorHAnsi"/>
        </w:rPr>
        <w:t>The Research Aim is:</w:t>
      </w:r>
    </w:p>
    <w:p w14:paraId="3D15A0C7" w14:textId="01C5CF5C" w:rsidR="004D2FF6" w:rsidRPr="004D2FF6" w:rsidRDefault="004D2FF6" w:rsidP="004D2FF6">
      <w:pPr>
        <w:spacing w:line="360" w:lineRule="auto"/>
        <w:rPr>
          <w:rFonts w:cstheme="minorHAnsi"/>
        </w:rPr>
      </w:pPr>
    </w:p>
    <w:p w14:paraId="0DA8499F" w14:textId="5EB8B6D7" w:rsidR="004D2FF6" w:rsidRPr="004D2FF6" w:rsidRDefault="004D2FF6" w:rsidP="004D2FF6">
      <w:pPr>
        <w:pStyle w:val="ListParagraph"/>
        <w:numPr>
          <w:ilvl w:val="0"/>
          <w:numId w:val="4"/>
        </w:numPr>
        <w:spacing w:line="360" w:lineRule="auto"/>
        <w:rPr>
          <w:rFonts w:cstheme="minorHAnsi"/>
        </w:rPr>
      </w:pPr>
      <w:r w:rsidRPr="004D2FF6">
        <w:rPr>
          <w:rFonts w:cstheme="minorHAnsi"/>
        </w:rPr>
        <w:t xml:space="preserve">To </w:t>
      </w:r>
      <w:r w:rsidRPr="004D2FF6">
        <w:rPr>
          <w:rFonts w:cstheme="minorHAnsi"/>
        </w:rPr>
        <w:t>discover whether the use of analogies can improve a pupil’s understanding of a topic.</w:t>
      </w:r>
    </w:p>
    <w:p w14:paraId="6F4B3855" w14:textId="33BD1A1A" w:rsidR="004D2FF6" w:rsidRPr="004D2FF6" w:rsidRDefault="004D2FF6" w:rsidP="004D2FF6">
      <w:pPr>
        <w:spacing w:line="360" w:lineRule="auto"/>
        <w:rPr>
          <w:rFonts w:cstheme="minorHAnsi"/>
        </w:rPr>
      </w:pPr>
    </w:p>
    <w:p w14:paraId="789F2FC8" w14:textId="1FA876F6" w:rsidR="004D2FF6" w:rsidRPr="004D2FF6" w:rsidRDefault="004D2FF6" w:rsidP="004D2FF6">
      <w:pPr>
        <w:spacing w:line="360" w:lineRule="auto"/>
        <w:rPr>
          <w:rFonts w:cstheme="minorHAnsi"/>
        </w:rPr>
      </w:pPr>
      <w:r w:rsidRPr="004D2FF6">
        <w:rPr>
          <w:rFonts w:cstheme="minorHAnsi"/>
        </w:rPr>
        <w:t xml:space="preserve">The Research Objectives are: </w:t>
      </w:r>
    </w:p>
    <w:p w14:paraId="1CE874EA" w14:textId="1CD9FBAB" w:rsidR="004D2FF6" w:rsidRPr="004D2FF6" w:rsidRDefault="004D2FF6" w:rsidP="004D2FF6">
      <w:pPr>
        <w:spacing w:line="360" w:lineRule="auto"/>
        <w:rPr>
          <w:rFonts w:cstheme="minorHAnsi"/>
        </w:rPr>
      </w:pPr>
    </w:p>
    <w:p w14:paraId="4A1DA6E6" w14:textId="77777777" w:rsidR="004D2FF6" w:rsidRPr="004D2FF6" w:rsidRDefault="004D2FF6" w:rsidP="004D2FF6">
      <w:pPr>
        <w:pStyle w:val="ListParagraph"/>
        <w:numPr>
          <w:ilvl w:val="0"/>
          <w:numId w:val="4"/>
        </w:numPr>
        <w:spacing w:line="360" w:lineRule="auto"/>
        <w:rPr>
          <w:rFonts w:cstheme="minorHAnsi"/>
        </w:rPr>
      </w:pPr>
      <w:r w:rsidRPr="004D2FF6">
        <w:rPr>
          <w:rFonts w:cstheme="minorHAnsi"/>
        </w:rPr>
        <w:t>Conduct a lesson study to see whether the use of analogies in practise can improve a pupil’s understanding of a topic.</w:t>
      </w:r>
    </w:p>
    <w:p w14:paraId="6E98AC47" w14:textId="77777777" w:rsidR="004D2FF6" w:rsidRPr="004D2FF6" w:rsidRDefault="004D2FF6" w:rsidP="004D2FF6">
      <w:pPr>
        <w:spacing w:line="360" w:lineRule="auto"/>
        <w:rPr>
          <w:rFonts w:cstheme="minorHAnsi"/>
        </w:rPr>
      </w:pPr>
    </w:p>
    <w:p w14:paraId="7216211E" w14:textId="77777777" w:rsidR="004D2FF6" w:rsidRPr="004D2FF6" w:rsidRDefault="004D2FF6" w:rsidP="004D2FF6">
      <w:pPr>
        <w:pStyle w:val="ListParagraph"/>
        <w:numPr>
          <w:ilvl w:val="0"/>
          <w:numId w:val="4"/>
        </w:numPr>
        <w:spacing w:line="360" w:lineRule="auto"/>
        <w:rPr>
          <w:rFonts w:cstheme="minorHAnsi"/>
        </w:rPr>
      </w:pPr>
      <w:r w:rsidRPr="004D2FF6">
        <w:rPr>
          <w:rFonts w:cstheme="minorHAnsi"/>
        </w:rPr>
        <w:t>Conduct a focus group interview at the end of the lesson to gain further understanding as to whether analogies improve pupil’s understanding of a topic.</w:t>
      </w:r>
    </w:p>
    <w:p w14:paraId="56016984" w14:textId="77777777" w:rsidR="004D2FF6" w:rsidRPr="004D2FF6" w:rsidRDefault="004D2FF6" w:rsidP="004D2FF6">
      <w:pPr>
        <w:spacing w:line="360" w:lineRule="auto"/>
        <w:rPr>
          <w:rFonts w:cstheme="minorHAnsi"/>
        </w:rPr>
      </w:pPr>
    </w:p>
    <w:p w14:paraId="0F39E345" w14:textId="77777777" w:rsidR="004D2FF6" w:rsidRPr="004D2FF6" w:rsidRDefault="004D2FF6" w:rsidP="004D2FF6">
      <w:pPr>
        <w:pStyle w:val="ListParagraph"/>
        <w:numPr>
          <w:ilvl w:val="0"/>
          <w:numId w:val="4"/>
        </w:numPr>
        <w:spacing w:line="360" w:lineRule="auto"/>
        <w:rPr>
          <w:rFonts w:cstheme="minorHAnsi"/>
        </w:rPr>
      </w:pPr>
      <w:r w:rsidRPr="004D2FF6">
        <w:rPr>
          <w:rFonts w:cstheme="minorHAnsi"/>
        </w:rPr>
        <w:t>To reflect and improve on the lesson focus taught using the reflective model created.</w:t>
      </w:r>
    </w:p>
    <w:p w14:paraId="3AD07A46" w14:textId="77777777" w:rsidR="004D2FF6" w:rsidRDefault="004D2FF6" w:rsidP="004D2FF6">
      <w:pPr>
        <w:spacing w:line="360" w:lineRule="auto"/>
        <w:rPr>
          <w:rFonts w:ascii="Arial" w:hAnsi="Arial" w:cs="Arial"/>
          <w:sz w:val="22"/>
          <w:szCs w:val="22"/>
        </w:rPr>
      </w:pPr>
    </w:p>
    <w:p w14:paraId="71988D9C" w14:textId="77777777" w:rsidR="004D2FF6" w:rsidRDefault="004D2FF6" w:rsidP="004D2FF6">
      <w:pPr>
        <w:spacing w:line="360" w:lineRule="auto"/>
        <w:rPr>
          <w:rFonts w:ascii="Arial" w:hAnsi="Arial" w:cs="Arial"/>
        </w:rPr>
      </w:pPr>
    </w:p>
    <w:p w14:paraId="498BF162" w14:textId="6145ACD8" w:rsidR="000A1586" w:rsidRDefault="0093711B" w:rsidP="004D2FF6">
      <w:pPr>
        <w:spacing w:line="360" w:lineRule="auto"/>
      </w:pPr>
      <w:r>
        <w:t>Class One is located within School X which is a Green Category Urban Secondary School</w:t>
      </w:r>
      <w:sdt>
        <w:sdtPr>
          <w:id w:val="-1466807074"/>
          <w:citation/>
        </w:sdtPr>
        <w:sdtContent>
          <w:r>
            <w:fldChar w:fldCharType="begin"/>
          </w:r>
          <w:r>
            <w:instrText xml:space="preserve"> CITATION MyL19 \l 2057 </w:instrText>
          </w:r>
          <w:r>
            <w:fldChar w:fldCharType="separate"/>
          </w:r>
          <w:r>
            <w:rPr>
              <w:noProof/>
            </w:rPr>
            <w:t xml:space="preserve"> </w:t>
          </w:r>
          <w:r w:rsidRPr="0093711B">
            <w:rPr>
              <w:noProof/>
            </w:rPr>
            <w:t>(My Local School, 2019)</w:t>
          </w:r>
          <w:r>
            <w:fldChar w:fldCharType="end"/>
          </w:r>
        </w:sdtContent>
      </w:sdt>
      <w:r>
        <w:t xml:space="preserve">. School X has over 6% of pupils in receipt of Free School Meals (FSM) which is under the national average of 17% and under 10% of pupils live in the 20% most </w:t>
      </w:r>
      <w:r>
        <w:lastRenderedPageBreak/>
        <w:t>deprived areas in Wales</w:t>
      </w:r>
      <w:sdt>
        <w:sdtPr>
          <w:id w:val="-1111050080"/>
          <w:citation/>
        </w:sdtPr>
        <w:sdtContent>
          <w:r>
            <w:fldChar w:fldCharType="begin"/>
          </w:r>
          <w:r>
            <w:instrText xml:space="preserve"> CITATION Est182 \l 2057 </w:instrText>
          </w:r>
          <w:r>
            <w:fldChar w:fldCharType="separate"/>
          </w:r>
          <w:r>
            <w:rPr>
              <w:noProof/>
            </w:rPr>
            <w:t xml:space="preserve"> </w:t>
          </w:r>
          <w:r w:rsidRPr="0093711B">
            <w:rPr>
              <w:noProof/>
            </w:rPr>
            <w:t>(Estyn, 2018)</w:t>
          </w:r>
          <w:r>
            <w:fldChar w:fldCharType="end"/>
          </w:r>
        </w:sdtContent>
      </w:sdt>
      <w:r>
        <w:t xml:space="preserve">. In the class there are Twenty-Nine students, of which two students have English as an Additional Language (EAL) and two students have Additional Learning Needs (ALN). In discussion with my research partner it was decided that this school would be studied first. </w:t>
      </w:r>
      <w:r w:rsidR="008A4FAA">
        <w:t>Class Two is located within School Y. School Y is a Green Category Urban Secondary School where 13.9% of pupils are a recipient of FSM</w:t>
      </w:r>
      <w:sdt>
        <w:sdtPr>
          <w:id w:val="1011113753"/>
          <w:citation/>
        </w:sdtPr>
        <w:sdtContent>
          <w:r w:rsidR="008A4FAA">
            <w:fldChar w:fldCharType="begin"/>
          </w:r>
          <w:r w:rsidR="008A4FAA">
            <w:instrText xml:space="preserve"> CITATION MyL191 \l 2057 </w:instrText>
          </w:r>
          <w:r w:rsidR="008A4FAA">
            <w:fldChar w:fldCharType="separate"/>
          </w:r>
          <w:r w:rsidR="008A4FAA">
            <w:rPr>
              <w:noProof/>
            </w:rPr>
            <w:t xml:space="preserve"> </w:t>
          </w:r>
          <w:r w:rsidR="008A4FAA" w:rsidRPr="008A4FAA">
            <w:rPr>
              <w:noProof/>
            </w:rPr>
            <w:t>(My Local School, 2019)</w:t>
          </w:r>
          <w:r w:rsidR="008A4FAA">
            <w:fldChar w:fldCharType="end"/>
          </w:r>
        </w:sdtContent>
      </w:sdt>
      <w:r w:rsidR="008A4FAA">
        <w:t xml:space="preserve"> and 20% of pupils live in the 20% most deprived areas of Wales</w:t>
      </w:r>
      <w:sdt>
        <w:sdtPr>
          <w:id w:val="-118068285"/>
          <w:citation/>
        </w:sdtPr>
        <w:sdtContent>
          <w:r w:rsidR="008A4FAA">
            <w:fldChar w:fldCharType="begin"/>
          </w:r>
          <w:r w:rsidR="008A4FAA">
            <w:instrText xml:space="preserve"> CITATION Est17 \l 2057 </w:instrText>
          </w:r>
          <w:r w:rsidR="008A4FAA">
            <w:fldChar w:fldCharType="separate"/>
          </w:r>
          <w:r w:rsidR="008A4FAA">
            <w:rPr>
              <w:noProof/>
            </w:rPr>
            <w:t xml:space="preserve"> </w:t>
          </w:r>
          <w:r w:rsidR="008A4FAA" w:rsidRPr="008A4FAA">
            <w:rPr>
              <w:noProof/>
            </w:rPr>
            <w:t>(Estyn, 2017)</w:t>
          </w:r>
          <w:r w:rsidR="008A4FAA">
            <w:fldChar w:fldCharType="end"/>
          </w:r>
        </w:sdtContent>
      </w:sdt>
      <w:r w:rsidR="008A4FAA">
        <w:t>.</w:t>
      </w:r>
      <w:r w:rsidR="000818B4">
        <w:t xml:space="preserve"> Class Two had twenty-seven pupils in the class.</w:t>
      </w:r>
    </w:p>
    <w:p w14:paraId="00BB81E0" w14:textId="347217BD" w:rsidR="008C33B1" w:rsidRDefault="008C33B1" w:rsidP="004D2FF6">
      <w:pPr>
        <w:spacing w:line="360" w:lineRule="auto"/>
      </w:pPr>
    </w:p>
    <w:p w14:paraId="18056B55" w14:textId="08650F18" w:rsidR="008C33B1" w:rsidRDefault="004D2FF6" w:rsidP="004D2FF6">
      <w:pPr>
        <w:spacing w:line="360" w:lineRule="auto"/>
        <w:rPr>
          <w:b/>
          <w:bCs/>
          <w:u w:val="single"/>
        </w:rPr>
      </w:pPr>
      <w:r>
        <w:rPr>
          <w:b/>
          <w:bCs/>
          <w:u w:val="single"/>
        </w:rPr>
        <w:t>2.0-</w:t>
      </w:r>
      <w:r w:rsidR="008C33B1">
        <w:rPr>
          <w:b/>
          <w:bCs/>
          <w:u w:val="single"/>
        </w:rPr>
        <w:t>Literature Review</w:t>
      </w:r>
    </w:p>
    <w:p w14:paraId="3C21E503" w14:textId="5EC4F816" w:rsidR="008C33B1" w:rsidRDefault="008C33B1" w:rsidP="004D2FF6">
      <w:pPr>
        <w:spacing w:line="360" w:lineRule="auto"/>
      </w:pPr>
    </w:p>
    <w:p w14:paraId="456E4F4A" w14:textId="72CE342A" w:rsidR="002511E8" w:rsidRDefault="004D2FF6" w:rsidP="004D2FF6">
      <w:pPr>
        <w:spacing w:line="360" w:lineRule="auto"/>
        <w:rPr>
          <w:b/>
          <w:bCs/>
          <w:u w:val="single"/>
        </w:rPr>
      </w:pPr>
      <w:r>
        <w:rPr>
          <w:b/>
          <w:bCs/>
          <w:u w:val="single"/>
        </w:rPr>
        <w:t>2.1-</w:t>
      </w:r>
      <w:r w:rsidR="002511E8">
        <w:rPr>
          <w:b/>
          <w:bCs/>
          <w:u w:val="single"/>
        </w:rPr>
        <w:t>Analogies</w:t>
      </w:r>
    </w:p>
    <w:p w14:paraId="1C3CD68F" w14:textId="543F3BCD" w:rsidR="00B52148" w:rsidRDefault="002511E8" w:rsidP="004D2FF6">
      <w:pPr>
        <w:spacing w:line="360" w:lineRule="auto"/>
      </w:pPr>
      <w:r>
        <w:t>Analogies can be defined as teaching an unknown to pupils by using a known example to them already</w:t>
      </w:r>
      <w:sdt>
        <w:sdtPr>
          <w:id w:val="473488395"/>
          <w:citation/>
        </w:sdtPr>
        <w:sdtContent>
          <w:r>
            <w:fldChar w:fldCharType="begin"/>
          </w:r>
          <w:r>
            <w:instrText xml:space="preserve"> CITATION Kor19 \l 2057 </w:instrText>
          </w:r>
          <w:r>
            <w:fldChar w:fldCharType="separate"/>
          </w:r>
          <w:r>
            <w:rPr>
              <w:noProof/>
            </w:rPr>
            <w:t xml:space="preserve"> </w:t>
          </w:r>
          <w:r w:rsidRPr="002511E8">
            <w:rPr>
              <w:noProof/>
            </w:rPr>
            <w:t>(Korhasan &amp; Hidir, 2019)</w:t>
          </w:r>
          <w:r>
            <w:fldChar w:fldCharType="end"/>
          </w:r>
        </w:sdtContent>
      </w:sdt>
      <w:r w:rsidR="00A44897">
        <w:t>. The use of analogies in lessons helps connect the two different types of concept learning in lessons as defined by Gagne, 1985 who stated that there are concrete concepts and abstract concepts</w:t>
      </w:r>
      <w:sdt>
        <w:sdtPr>
          <w:id w:val="-1113279809"/>
          <w:citation/>
        </w:sdtPr>
        <w:sdtContent>
          <w:r w:rsidR="00A44897">
            <w:fldChar w:fldCharType="begin"/>
          </w:r>
          <w:r w:rsidR="00A44897">
            <w:instrText xml:space="preserve"> CITATION Gag85 \l 2057 </w:instrText>
          </w:r>
          <w:r w:rsidR="00A44897">
            <w:fldChar w:fldCharType="separate"/>
          </w:r>
          <w:r w:rsidR="00A44897">
            <w:rPr>
              <w:noProof/>
            </w:rPr>
            <w:t xml:space="preserve"> </w:t>
          </w:r>
          <w:r w:rsidR="00A44897" w:rsidRPr="00A44897">
            <w:rPr>
              <w:noProof/>
            </w:rPr>
            <w:t>(Gagne, 1985)</w:t>
          </w:r>
          <w:r w:rsidR="00A44897">
            <w:fldChar w:fldCharType="end"/>
          </w:r>
        </w:sdtContent>
      </w:sdt>
      <w:r w:rsidR="00A44897">
        <w:t xml:space="preserve">. This happens as concrete concepts which involve different everyday objects can be used to describe to pupils concepts which are abstract </w:t>
      </w:r>
      <w:r w:rsidR="00525D1C">
        <w:t>which means they</w:t>
      </w:r>
      <w:r w:rsidR="00A44897">
        <w:t xml:space="preserve"> cannot be seen, touched, smelt, heard or tasted</w:t>
      </w:r>
      <w:sdt>
        <w:sdtPr>
          <w:id w:val="120203889"/>
          <w:citation/>
        </w:sdtPr>
        <w:sdtContent>
          <w:r w:rsidR="00A44897">
            <w:fldChar w:fldCharType="begin"/>
          </w:r>
          <w:r w:rsidR="00A44897">
            <w:instrText xml:space="preserve"> CITATION Gag85 \l 2057 </w:instrText>
          </w:r>
          <w:r w:rsidR="00A44897">
            <w:fldChar w:fldCharType="separate"/>
          </w:r>
          <w:r w:rsidR="00A44897">
            <w:rPr>
              <w:noProof/>
            </w:rPr>
            <w:t xml:space="preserve"> </w:t>
          </w:r>
          <w:r w:rsidR="00A44897" w:rsidRPr="00A44897">
            <w:rPr>
              <w:noProof/>
            </w:rPr>
            <w:t>(Gagne, 1985)</w:t>
          </w:r>
          <w:r w:rsidR="00A44897">
            <w:fldChar w:fldCharType="end"/>
          </w:r>
        </w:sdtContent>
      </w:sdt>
      <w:r w:rsidR="00A44897">
        <w:t xml:space="preserve">. It is important to consider though that this theory was written back in 1985 which was over </w:t>
      </w:r>
      <w:r w:rsidR="00525D1C">
        <w:t>thirty</w:t>
      </w:r>
      <w:r w:rsidR="00A44897">
        <w:t xml:space="preserve"> years ago and was written by an American and does not consider the Welsh education system today</w:t>
      </w:r>
      <w:r w:rsidR="00525D1C">
        <w:t xml:space="preserve"> in 2020</w:t>
      </w:r>
      <w:r w:rsidR="00A44897">
        <w:t xml:space="preserve">. However, the use of analogies in teaching is a globally researched topic and </w:t>
      </w:r>
      <w:r w:rsidR="00B52148">
        <w:t xml:space="preserve">Gagne’s </w:t>
      </w:r>
      <w:r w:rsidR="00A44897">
        <w:t>theory has been used to help demonstrate how analogies can help improve understanding</w:t>
      </w:r>
      <w:r w:rsidR="00525D1C">
        <w:t xml:space="preserve"> more recently</w:t>
      </w:r>
      <w:sdt>
        <w:sdtPr>
          <w:id w:val="-1658830840"/>
          <w:citation/>
        </w:sdtPr>
        <w:sdtContent>
          <w:r w:rsidR="00A44897">
            <w:fldChar w:fldCharType="begin"/>
          </w:r>
          <w:r w:rsidR="00A44897">
            <w:instrText xml:space="preserve"> CITATION Gen13 \l 2057 </w:instrText>
          </w:r>
          <w:r w:rsidR="00A44897">
            <w:fldChar w:fldCharType="separate"/>
          </w:r>
          <w:r w:rsidR="00A44897">
            <w:rPr>
              <w:noProof/>
            </w:rPr>
            <w:t xml:space="preserve"> </w:t>
          </w:r>
          <w:r w:rsidR="00A44897" w:rsidRPr="00A44897">
            <w:rPr>
              <w:noProof/>
            </w:rPr>
            <w:t>(Genc, 2013)</w:t>
          </w:r>
          <w:r w:rsidR="00A44897">
            <w:fldChar w:fldCharType="end"/>
          </w:r>
        </w:sdtContent>
      </w:sdt>
      <w:r w:rsidR="00A44897">
        <w:t>.</w:t>
      </w:r>
      <w:r w:rsidR="00B52148">
        <w:t xml:space="preserve"> This is because analogies can help pupils understand invisible concepts and can help provide them with permanent learning</w:t>
      </w:r>
      <w:sdt>
        <w:sdtPr>
          <w:id w:val="-1761361724"/>
          <w:citation/>
        </w:sdtPr>
        <w:sdtContent>
          <w:r w:rsidR="00B52148">
            <w:fldChar w:fldCharType="begin"/>
          </w:r>
          <w:r w:rsidR="00B52148">
            <w:instrText xml:space="preserve"> CITATION Gen13 \l 2057 </w:instrText>
          </w:r>
          <w:r w:rsidR="00B52148">
            <w:fldChar w:fldCharType="separate"/>
          </w:r>
          <w:r w:rsidR="00B52148">
            <w:rPr>
              <w:noProof/>
            </w:rPr>
            <w:t xml:space="preserve"> </w:t>
          </w:r>
          <w:r w:rsidR="00B52148" w:rsidRPr="00B52148">
            <w:rPr>
              <w:noProof/>
            </w:rPr>
            <w:t>(Genc, 2013)</w:t>
          </w:r>
          <w:r w:rsidR="00B52148">
            <w:fldChar w:fldCharType="end"/>
          </w:r>
        </w:sdtContent>
      </w:sdt>
      <w:r w:rsidR="00B52148">
        <w:t>. However</w:t>
      </w:r>
      <w:r w:rsidR="00E12EC4">
        <w:t>,</w:t>
      </w:r>
      <w:r w:rsidR="00B52148">
        <w:t xml:space="preserve"> Genc 2013 was written based on data of only 108 pupils</w:t>
      </w:r>
      <w:sdt>
        <w:sdtPr>
          <w:id w:val="-1222430888"/>
          <w:citation/>
        </w:sdtPr>
        <w:sdtContent>
          <w:r w:rsidR="00B52148">
            <w:fldChar w:fldCharType="begin"/>
          </w:r>
          <w:r w:rsidR="00B52148">
            <w:instrText xml:space="preserve"> CITATION Gen13 \l 2057 </w:instrText>
          </w:r>
          <w:r w:rsidR="00B52148">
            <w:fldChar w:fldCharType="separate"/>
          </w:r>
          <w:r w:rsidR="00B52148">
            <w:rPr>
              <w:noProof/>
            </w:rPr>
            <w:t xml:space="preserve"> </w:t>
          </w:r>
          <w:r w:rsidR="00B52148" w:rsidRPr="00B52148">
            <w:rPr>
              <w:noProof/>
            </w:rPr>
            <w:t>(Genc, 2013)</w:t>
          </w:r>
          <w:r w:rsidR="00B52148">
            <w:fldChar w:fldCharType="end"/>
          </w:r>
        </w:sdtContent>
      </w:sdt>
      <w:r w:rsidR="00B52148">
        <w:t xml:space="preserve"> which leaves questions regarding if it can be generalised to all pupils around the world</w:t>
      </w:r>
      <w:r w:rsidR="00525D1C">
        <w:t>, especially pupils within Wales where our research was carried out</w:t>
      </w:r>
      <w:r w:rsidR="00B52148">
        <w:t>. In addition, the data is based on Turkey’s education system</w:t>
      </w:r>
      <w:sdt>
        <w:sdtPr>
          <w:id w:val="-1879618676"/>
          <w:citation/>
        </w:sdtPr>
        <w:sdtContent>
          <w:r w:rsidR="00B52148">
            <w:fldChar w:fldCharType="begin"/>
          </w:r>
          <w:r w:rsidR="00B52148">
            <w:instrText xml:space="preserve"> CITATION Gen13 \l 2057 </w:instrText>
          </w:r>
          <w:r w:rsidR="00B52148">
            <w:fldChar w:fldCharType="separate"/>
          </w:r>
          <w:r w:rsidR="00B52148">
            <w:rPr>
              <w:noProof/>
            </w:rPr>
            <w:t xml:space="preserve"> </w:t>
          </w:r>
          <w:r w:rsidR="00B52148" w:rsidRPr="00B52148">
            <w:rPr>
              <w:noProof/>
            </w:rPr>
            <w:t>(Genc, 2013)</w:t>
          </w:r>
          <w:r w:rsidR="00B52148">
            <w:fldChar w:fldCharType="end"/>
          </w:r>
        </w:sdtContent>
      </w:sdt>
      <w:r w:rsidR="00B52148">
        <w:t xml:space="preserve"> which according to</w:t>
      </w:r>
      <w:r w:rsidR="00525D1C">
        <w:t xml:space="preserve"> Programme of International Student Assessment</w:t>
      </w:r>
      <w:r w:rsidR="00B52148">
        <w:t xml:space="preserve"> </w:t>
      </w:r>
      <w:r w:rsidR="00525D1C">
        <w:t>(</w:t>
      </w:r>
      <w:r w:rsidR="00B52148">
        <w:t>PISA</w:t>
      </w:r>
      <w:r w:rsidR="00525D1C">
        <w:t>)</w:t>
      </w:r>
      <w:r w:rsidR="00B52148">
        <w:t xml:space="preserve"> test scores in 2018 scores lower than the United Kingdom (UK)</w:t>
      </w:r>
      <w:sdt>
        <w:sdtPr>
          <w:id w:val="-1987691990"/>
          <w:citation/>
        </w:sdtPr>
        <w:sdtContent>
          <w:r w:rsidR="00B52148">
            <w:fldChar w:fldCharType="begin"/>
          </w:r>
          <w:r w:rsidR="00B52148">
            <w:instrText xml:space="preserve"> CITATION OEC18 \l 2057 </w:instrText>
          </w:r>
          <w:r w:rsidR="00B52148">
            <w:fldChar w:fldCharType="separate"/>
          </w:r>
          <w:r w:rsidR="00B52148">
            <w:rPr>
              <w:noProof/>
            </w:rPr>
            <w:t xml:space="preserve"> </w:t>
          </w:r>
          <w:r w:rsidR="00B52148" w:rsidRPr="00B52148">
            <w:rPr>
              <w:noProof/>
            </w:rPr>
            <w:t>(OECD, 2018)</w:t>
          </w:r>
          <w:r w:rsidR="00B52148">
            <w:fldChar w:fldCharType="end"/>
          </w:r>
        </w:sdtContent>
      </w:sdt>
      <w:r w:rsidR="00525D1C">
        <w:t>.</w:t>
      </w:r>
      <w:r w:rsidR="00B52148">
        <w:t xml:space="preserve"> </w:t>
      </w:r>
      <w:r w:rsidR="00525D1C">
        <w:t xml:space="preserve">This may mean they </w:t>
      </w:r>
      <w:r w:rsidR="00B52148">
        <w:t>have different educational settings, meaning it may be difficult to generalise the results. Furthermore, the data on the UK does not consider the different regional variations of the countries which make up the UK, Wales, England, Scotland and Northern Ireland</w:t>
      </w:r>
      <w:r w:rsidR="00525D1C">
        <w:t xml:space="preserve"> PISA </w:t>
      </w:r>
      <w:r w:rsidR="00525D1C">
        <w:lastRenderedPageBreak/>
        <w:t>scores</w:t>
      </w:r>
      <w:r w:rsidR="00B52148">
        <w:t>.</w:t>
      </w:r>
      <w:r w:rsidR="004A4884">
        <w:t xml:space="preserve"> However, Genc’s mixed-method study concluded that the use of analogies was more effective on students’ </w:t>
      </w:r>
      <w:r w:rsidR="00525D1C">
        <w:t xml:space="preserve">summative </w:t>
      </w:r>
      <w:r w:rsidR="004A4884">
        <w:t>achievement score whilst students also found them useful in lessons</w:t>
      </w:r>
      <w:sdt>
        <w:sdtPr>
          <w:id w:val="-1687277957"/>
          <w:citation/>
        </w:sdtPr>
        <w:sdtContent>
          <w:r w:rsidR="004A4884">
            <w:fldChar w:fldCharType="begin"/>
          </w:r>
          <w:r w:rsidR="004A4884">
            <w:instrText xml:space="preserve"> CITATION Gen13 \l 2057 </w:instrText>
          </w:r>
          <w:r w:rsidR="004A4884">
            <w:fldChar w:fldCharType="separate"/>
          </w:r>
          <w:r w:rsidR="004A4884">
            <w:rPr>
              <w:noProof/>
            </w:rPr>
            <w:t xml:space="preserve"> </w:t>
          </w:r>
          <w:r w:rsidR="004A4884" w:rsidRPr="004A4884">
            <w:rPr>
              <w:noProof/>
            </w:rPr>
            <w:t>(Genc, 2013)</w:t>
          </w:r>
          <w:r w:rsidR="004A4884">
            <w:fldChar w:fldCharType="end"/>
          </w:r>
        </w:sdtContent>
      </w:sdt>
      <w:r w:rsidR="004A4884">
        <w:t>. Other benefits of the use of analogies for student’s understanding is that it can make a lesson more memorable</w:t>
      </w:r>
      <w:sdt>
        <w:sdtPr>
          <w:id w:val="-1649047941"/>
          <w:citation/>
        </w:sdtPr>
        <w:sdtContent>
          <w:r w:rsidR="004A4884">
            <w:fldChar w:fldCharType="begin"/>
          </w:r>
          <w:r w:rsidR="004A4884">
            <w:instrText xml:space="preserve"> CITATION Mys06 \l 2057 </w:instrText>
          </w:r>
          <w:r w:rsidR="004A4884">
            <w:fldChar w:fldCharType="separate"/>
          </w:r>
          <w:r w:rsidR="004A4884">
            <w:rPr>
              <w:noProof/>
            </w:rPr>
            <w:t xml:space="preserve"> </w:t>
          </w:r>
          <w:r w:rsidR="004A4884" w:rsidRPr="004A4884">
            <w:rPr>
              <w:noProof/>
            </w:rPr>
            <w:t>(Myson, 2006)</w:t>
          </w:r>
          <w:r w:rsidR="004A4884">
            <w:fldChar w:fldCharType="end"/>
          </w:r>
        </w:sdtContent>
      </w:sdt>
      <w:r w:rsidR="004A4884">
        <w:t xml:space="preserve"> and can help pupils make links in a topic and see a topic as a coherent whole instead of individual lessons</w:t>
      </w:r>
      <w:sdt>
        <w:sdtPr>
          <w:id w:val="1580788377"/>
          <w:citation/>
        </w:sdtPr>
        <w:sdtContent>
          <w:r w:rsidR="004A4884">
            <w:fldChar w:fldCharType="begin"/>
          </w:r>
          <w:r w:rsidR="004A4884">
            <w:instrText xml:space="preserve"> CITATION Mys06 \l 2057 </w:instrText>
          </w:r>
          <w:r w:rsidR="004A4884">
            <w:fldChar w:fldCharType="separate"/>
          </w:r>
          <w:r w:rsidR="004A4884">
            <w:rPr>
              <w:noProof/>
            </w:rPr>
            <w:t xml:space="preserve"> </w:t>
          </w:r>
          <w:r w:rsidR="004A4884" w:rsidRPr="004A4884">
            <w:rPr>
              <w:noProof/>
            </w:rPr>
            <w:t>(Myson, 2006)</w:t>
          </w:r>
          <w:r w:rsidR="004A4884">
            <w:fldChar w:fldCharType="end"/>
          </w:r>
        </w:sdtContent>
      </w:sdt>
      <w:r w:rsidR="004A4884">
        <w:t>. However, this paper by Myson 2006 focused on the topic of History and not how its effects understanding in Geography</w:t>
      </w:r>
      <w:r w:rsidR="00525D1C">
        <w:t xml:space="preserve"> which is what both our research lessons were conducted in</w:t>
      </w:r>
      <w:r w:rsidR="004A4884">
        <w:t>. Although, with the new Welsh curriculum of 2022, History and Geography are both seen to provide similar skills and will be grouped into the learning area of Humanities</w:t>
      </w:r>
      <w:sdt>
        <w:sdtPr>
          <w:id w:val="1296257024"/>
          <w:citation/>
        </w:sdtPr>
        <w:sdtContent>
          <w:r w:rsidR="008B6312">
            <w:fldChar w:fldCharType="begin"/>
          </w:r>
          <w:r w:rsidR="008B6312">
            <w:instrText xml:space="preserve"> CITATION Don152 \l 2057 </w:instrText>
          </w:r>
          <w:r w:rsidR="008B6312">
            <w:fldChar w:fldCharType="separate"/>
          </w:r>
          <w:r w:rsidR="008B6312">
            <w:rPr>
              <w:noProof/>
            </w:rPr>
            <w:t xml:space="preserve"> </w:t>
          </w:r>
          <w:r w:rsidR="008B6312" w:rsidRPr="008B6312">
            <w:rPr>
              <w:noProof/>
            </w:rPr>
            <w:t>(Donaldson, 2015)</w:t>
          </w:r>
          <w:r w:rsidR="008B6312">
            <w:fldChar w:fldCharType="end"/>
          </w:r>
        </w:sdtContent>
      </w:sdt>
      <w:r w:rsidR="008B6312">
        <w:t>.</w:t>
      </w:r>
      <w:r w:rsidR="00E12EC4">
        <w:t xml:space="preserve"> Furthermore, analogies have also been found to be useful in teaching up to undergraduate level in Geography</w:t>
      </w:r>
      <w:sdt>
        <w:sdtPr>
          <w:id w:val="-1822649060"/>
          <w:citation/>
        </w:sdtPr>
        <w:sdtContent>
          <w:r w:rsidR="00E12EC4">
            <w:fldChar w:fldCharType="begin"/>
          </w:r>
          <w:r w:rsidR="00E12EC4">
            <w:instrText xml:space="preserve"> CITATION Dum16 \l 2057 </w:instrText>
          </w:r>
          <w:r w:rsidR="00E12EC4">
            <w:fldChar w:fldCharType="separate"/>
          </w:r>
          <w:r w:rsidR="00E12EC4">
            <w:rPr>
              <w:noProof/>
            </w:rPr>
            <w:t xml:space="preserve"> </w:t>
          </w:r>
          <w:r w:rsidR="00E12EC4" w:rsidRPr="00E12EC4">
            <w:rPr>
              <w:noProof/>
            </w:rPr>
            <w:t>(Duman, 2016)</w:t>
          </w:r>
          <w:r w:rsidR="00E12EC4">
            <w:fldChar w:fldCharType="end"/>
          </w:r>
        </w:sdtContent>
      </w:sdt>
      <w:r w:rsidR="00E12EC4">
        <w:t xml:space="preserve">. However, Duman 2016 did only focus on one topic </w:t>
      </w:r>
      <w:r w:rsidR="00525D1C">
        <w:t>with one</w:t>
      </w:r>
      <w:r w:rsidR="00E12EC4">
        <w:t xml:space="preserve"> </w:t>
      </w:r>
      <w:r w:rsidR="00525D1C">
        <w:t xml:space="preserve">analogy and not </w:t>
      </w:r>
      <w:r w:rsidR="00E12EC4">
        <w:t>in multiple geographical contexts</w:t>
      </w:r>
      <w:sdt>
        <w:sdtPr>
          <w:id w:val="170911287"/>
          <w:citation/>
        </w:sdtPr>
        <w:sdtContent>
          <w:r w:rsidR="00525D1C">
            <w:fldChar w:fldCharType="begin"/>
          </w:r>
          <w:r w:rsidR="00525D1C">
            <w:instrText xml:space="preserve"> CITATION Dum16 \l 2057 </w:instrText>
          </w:r>
          <w:r w:rsidR="00525D1C">
            <w:fldChar w:fldCharType="separate"/>
          </w:r>
          <w:r w:rsidR="00525D1C">
            <w:rPr>
              <w:noProof/>
            </w:rPr>
            <w:t xml:space="preserve"> </w:t>
          </w:r>
          <w:r w:rsidR="00525D1C" w:rsidRPr="00525D1C">
            <w:rPr>
              <w:noProof/>
            </w:rPr>
            <w:t>(Duman, 2016)</w:t>
          </w:r>
          <w:r w:rsidR="00525D1C">
            <w:fldChar w:fldCharType="end"/>
          </w:r>
        </w:sdtContent>
      </w:sdt>
      <w:r w:rsidR="00525D1C">
        <w:t>.</w:t>
      </w:r>
    </w:p>
    <w:p w14:paraId="205B8E1D" w14:textId="30B08BDF" w:rsidR="008B6312" w:rsidRDefault="008B6312" w:rsidP="004D2FF6">
      <w:pPr>
        <w:spacing w:line="360" w:lineRule="auto"/>
      </w:pPr>
    </w:p>
    <w:p w14:paraId="7FF2B8C2" w14:textId="54842053" w:rsidR="008B6312" w:rsidRDefault="00E12EC4" w:rsidP="004D2FF6">
      <w:pPr>
        <w:spacing w:line="360" w:lineRule="auto"/>
      </w:pPr>
      <w:r>
        <w:t>T</w:t>
      </w:r>
      <w:r w:rsidR="008B6312">
        <w:t>here are</w:t>
      </w:r>
      <w:r>
        <w:t xml:space="preserve"> also</w:t>
      </w:r>
      <w:r w:rsidR="008B6312">
        <w:t xml:space="preserve"> some issues with the use of analogies in teaching which us as researchers have to be aware of. Firstly, the use of a poor analogy can exacerbate poor understanding of a topic</w:t>
      </w:r>
      <w:sdt>
        <w:sdtPr>
          <w:id w:val="159741411"/>
          <w:citation/>
        </w:sdtPr>
        <w:sdtContent>
          <w:r w:rsidR="008B6312">
            <w:fldChar w:fldCharType="begin"/>
          </w:r>
          <w:r w:rsidR="00B17F49">
            <w:instrText xml:space="preserve">CITATION SIm84 \l 2057 </w:instrText>
          </w:r>
          <w:r w:rsidR="008B6312">
            <w:fldChar w:fldCharType="separate"/>
          </w:r>
          <w:r w:rsidR="00B17F49">
            <w:rPr>
              <w:noProof/>
            </w:rPr>
            <w:t xml:space="preserve"> </w:t>
          </w:r>
          <w:r w:rsidR="00B17F49" w:rsidRPr="00B17F49">
            <w:rPr>
              <w:noProof/>
            </w:rPr>
            <w:t>(Simons, 1984)</w:t>
          </w:r>
          <w:r w:rsidR="008B6312">
            <w:fldChar w:fldCharType="end"/>
          </w:r>
        </w:sdtContent>
      </w:sdt>
      <w:r w:rsidR="000C6631">
        <w:t>, this can be evidenced by more recent research as well</w:t>
      </w:r>
      <w:sdt>
        <w:sdtPr>
          <w:id w:val="-1605573491"/>
          <w:citation/>
        </w:sdtPr>
        <w:sdtContent>
          <w:r w:rsidR="000C6631">
            <w:fldChar w:fldCharType="begin"/>
          </w:r>
          <w:r w:rsidR="000C6631">
            <w:instrText xml:space="preserve"> CITATION Mys06 \l 2057 </w:instrText>
          </w:r>
          <w:r w:rsidR="000C6631">
            <w:fldChar w:fldCharType="separate"/>
          </w:r>
          <w:r w:rsidR="000C6631">
            <w:rPr>
              <w:noProof/>
            </w:rPr>
            <w:t xml:space="preserve"> </w:t>
          </w:r>
          <w:r w:rsidR="000C6631" w:rsidRPr="000C6631">
            <w:rPr>
              <w:noProof/>
            </w:rPr>
            <w:t>(Myson, 2006)</w:t>
          </w:r>
          <w:r w:rsidR="000C6631">
            <w:fldChar w:fldCharType="end"/>
          </w:r>
        </w:sdtContent>
      </w:sdt>
      <w:r w:rsidR="000C6631">
        <w:t>.</w:t>
      </w:r>
      <w:r w:rsidR="008B6312">
        <w:t xml:space="preserve"> </w:t>
      </w:r>
      <w:r w:rsidR="000C6631">
        <w:t>Additionally,</w:t>
      </w:r>
      <w:r w:rsidR="008B6312">
        <w:t xml:space="preserve"> if analogies are not linked to prior knowledge they are not as effective in facilitating pupil’s understanding of a topic</w:t>
      </w:r>
      <w:sdt>
        <w:sdtPr>
          <w:id w:val="-1865202724"/>
          <w:citation/>
        </w:sdtPr>
        <w:sdtContent>
          <w:r w:rsidR="008B6312">
            <w:fldChar w:fldCharType="begin"/>
          </w:r>
          <w:r w:rsidR="008B6312">
            <w:instrText xml:space="preserve"> CITATION Gen13 \l 2057 </w:instrText>
          </w:r>
          <w:r w:rsidR="008B6312">
            <w:fldChar w:fldCharType="separate"/>
          </w:r>
          <w:r w:rsidR="008B6312">
            <w:rPr>
              <w:noProof/>
            </w:rPr>
            <w:t xml:space="preserve"> </w:t>
          </w:r>
          <w:r w:rsidR="008B6312" w:rsidRPr="008B6312">
            <w:rPr>
              <w:noProof/>
            </w:rPr>
            <w:t>(Genc, 2013)</w:t>
          </w:r>
          <w:r w:rsidR="008B6312">
            <w:fldChar w:fldCharType="end"/>
          </w:r>
        </w:sdtContent>
      </w:sdt>
      <w:r w:rsidR="008B6312">
        <w:t>. Furthermore, the use of analogies may increase encoding time and slow down the learning process for certain pupils</w:t>
      </w:r>
      <w:sdt>
        <w:sdtPr>
          <w:id w:val="-2105331324"/>
          <w:citation/>
        </w:sdtPr>
        <w:sdtContent>
          <w:r w:rsidR="008B6312">
            <w:fldChar w:fldCharType="begin"/>
          </w:r>
          <w:r w:rsidR="008B6312">
            <w:instrText xml:space="preserve"> CITATION Gen13 \l 2057 </w:instrText>
          </w:r>
          <w:r w:rsidR="008B6312">
            <w:fldChar w:fldCharType="separate"/>
          </w:r>
          <w:r w:rsidR="008B6312">
            <w:rPr>
              <w:noProof/>
            </w:rPr>
            <w:t xml:space="preserve"> </w:t>
          </w:r>
          <w:r w:rsidR="008B6312" w:rsidRPr="008B6312">
            <w:rPr>
              <w:noProof/>
            </w:rPr>
            <w:t>(Genc, 2013)</w:t>
          </w:r>
          <w:r w:rsidR="008B6312">
            <w:fldChar w:fldCharType="end"/>
          </w:r>
        </w:sdtContent>
      </w:sdt>
      <w:r w:rsidR="008B6312">
        <w:t>, this is an issue for younger students who have been found to struggle more with the use of analogies in teaching</w:t>
      </w:r>
      <w:sdt>
        <w:sdtPr>
          <w:id w:val="-840780942"/>
          <w:citation/>
        </w:sdtPr>
        <w:sdtContent>
          <w:r w:rsidR="008B6312">
            <w:fldChar w:fldCharType="begin"/>
          </w:r>
          <w:r w:rsidR="008B6312">
            <w:instrText xml:space="preserve"> CITATION Mys06 \l 2057 </w:instrText>
          </w:r>
          <w:r w:rsidR="008B6312">
            <w:fldChar w:fldCharType="separate"/>
          </w:r>
          <w:r w:rsidR="008B6312">
            <w:rPr>
              <w:noProof/>
            </w:rPr>
            <w:t xml:space="preserve"> </w:t>
          </w:r>
          <w:r w:rsidR="008B6312" w:rsidRPr="008B6312">
            <w:rPr>
              <w:noProof/>
            </w:rPr>
            <w:t>(Myson, 2006)</w:t>
          </w:r>
          <w:r w:rsidR="008B6312">
            <w:fldChar w:fldCharType="end"/>
          </w:r>
        </w:sdtContent>
      </w:sdt>
      <w:r w:rsidR="008B6312">
        <w:t>.</w:t>
      </w:r>
      <w:r>
        <w:t xml:space="preserve"> </w:t>
      </w:r>
    </w:p>
    <w:p w14:paraId="7E50E248" w14:textId="0005DA53" w:rsidR="007F0D55" w:rsidRDefault="007F0D55" w:rsidP="004D2FF6">
      <w:pPr>
        <w:spacing w:line="360" w:lineRule="auto"/>
      </w:pPr>
    </w:p>
    <w:p w14:paraId="7B95407F" w14:textId="4FA5689C" w:rsidR="007F0D55" w:rsidRDefault="004D2FF6" w:rsidP="004D2FF6">
      <w:pPr>
        <w:spacing w:line="360" w:lineRule="auto"/>
        <w:rPr>
          <w:b/>
          <w:bCs/>
          <w:u w:val="single"/>
        </w:rPr>
      </w:pPr>
      <w:r>
        <w:rPr>
          <w:b/>
          <w:bCs/>
          <w:u w:val="single"/>
        </w:rPr>
        <w:t>2.2-</w:t>
      </w:r>
      <w:r w:rsidR="007F0D55">
        <w:rPr>
          <w:b/>
          <w:bCs/>
          <w:u w:val="single"/>
        </w:rPr>
        <w:t>Understanding</w:t>
      </w:r>
    </w:p>
    <w:p w14:paraId="6D3D61A7" w14:textId="04DAB136" w:rsidR="007F0D55" w:rsidRDefault="007F0D55" w:rsidP="004D2FF6">
      <w:pPr>
        <w:spacing w:line="360" w:lineRule="auto"/>
      </w:pPr>
      <w:r>
        <w:t>In this study, the use of analogies in the classroom was aimed to assess whether understanding</w:t>
      </w:r>
      <w:r w:rsidR="006969D0">
        <w:t xml:space="preserve"> of a topic</w:t>
      </w:r>
      <w:r>
        <w:t xml:space="preserve"> would improve </w:t>
      </w:r>
      <w:r w:rsidR="006969D0">
        <w:t>by</w:t>
      </w:r>
      <w:r>
        <w:t xml:space="preserve"> using them. Understanding has previously been defined as a species of knowledge and therefore is more than</w:t>
      </w:r>
      <w:r w:rsidR="00D711B2">
        <w:t xml:space="preserve"> knowledge</w:t>
      </w:r>
      <w:sdt>
        <w:sdtPr>
          <w:id w:val="1558665385"/>
          <w:citation/>
        </w:sdtPr>
        <w:sdtContent>
          <w:r w:rsidR="00B412A4">
            <w:fldChar w:fldCharType="begin"/>
          </w:r>
          <w:r w:rsidR="00B412A4">
            <w:instrText xml:space="preserve"> CITATION Del17 \l 2057 </w:instrText>
          </w:r>
          <w:r w:rsidR="00B412A4">
            <w:fldChar w:fldCharType="separate"/>
          </w:r>
          <w:r w:rsidR="00B412A4">
            <w:rPr>
              <w:noProof/>
            </w:rPr>
            <w:t xml:space="preserve"> </w:t>
          </w:r>
          <w:r w:rsidR="00B412A4" w:rsidRPr="00B412A4">
            <w:rPr>
              <w:noProof/>
            </w:rPr>
            <w:t>(Dellsen, 2017)</w:t>
          </w:r>
          <w:r w:rsidR="00B412A4">
            <w:fldChar w:fldCharType="end"/>
          </w:r>
        </w:sdtContent>
      </w:sdt>
      <w:r w:rsidR="00B412A4">
        <w:t>.</w:t>
      </w:r>
      <w:r w:rsidR="00D05A72">
        <w:t xml:space="preserve"> In order to measure understanding within the classroom</w:t>
      </w:r>
      <w:r w:rsidR="006969D0">
        <w:t xml:space="preserve">, </w:t>
      </w:r>
      <w:r w:rsidR="00D05A72">
        <w:t>th</w:t>
      </w:r>
      <w:r w:rsidR="006969D0">
        <w:t>is</w:t>
      </w:r>
      <w:r w:rsidR="00D05A72">
        <w:t xml:space="preserve"> study looked to </w:t>
      </w:r>
      <w:r w:rsidR="006969D0">
        <w:t>incorporate</w:t>
      </w:r>
      <w:r w:rsidR="00D05A72">
        <w:t xml:space="preserve"> the revised version of Bloom’s Taxonomy. Bloom’s </w:t>
      </w:r>
      <w:r w:rsidR="006969D0">
        <w:t>T</w:t>
      </w:r>
      <w:r w:rsidR="00D05A72">
        <w:t xml:space="preserve">axonomy was a framework for categorising educational goals </w:t>
      </w:r>
      <w:r w:rsidR="006969D0">
        <w:t xml:space="preserve">and </w:t>
      </w:r>
      <w:r w:rsidR="00D05A72">
        <w:t xml:space="preserve">was comprised of categories in the order of </w:t>
      </w:r>
      <w:r w:rsidR="006969D0">
        <w:t>‘K</w:t>
      </w:r>
      <w:r w:rsidR="00D05A72">
        <w:t>nowledge</w:t>
      </w:r>
      <w:r w:rsidR="006969D0">
        <w:t>’</w:t>
      </w:r>
      <w:r w:rsidR="00D05A72">
        <w:t xml:space="preserve">, </w:t>
      </w:r>
      <w:r w:rsidR="006969D0">
        <w:t>‘C</w:t>
      </w:r>
      <w:r w:rsidR="00D05A72">
        <w:t>omprehension</w:t>
      </w:r>
      <w:r w:rsidR="006969D0">
        <w:t>’</w:t>
      </w:r>
      <w:r w:rsidR="00D05A72">
        <w:t xml:space="preserve">, </w:t>
      </w:r>
      <w:r w:rsidR="006969D0">
        <w:t>‘A</w:t>
      </w:r>
      <w:r w:rsidR="00D05A72">
        <w:t>pplication</w:t>
      </w:r>
      <w:r w:rsidR="006969D0">
        <w:t>’</w:t>
      </w:r>
      <w:r w:rsidR="00D05A72">
        <w:t xml:space="preserve">, </w:t>
      </w:r>
      <w:r w:rsidR="006969D0">
        <w:t>‘A</w:t>
      </w:r>
      <w:r w:rsidR="00D05A72">
        <w:t>nalysis</w:t>
      </w:r>
      <w:r w:rsidR="006969D0">
        <w:t>’</w:t>
      </w:r>
      <w:r w:rsidR="00D05A72">
        <w:t xml:space="preserve">, </w:t>
      </w:r>
      <w:r w:rsidR="006969D0">
        <w:t>‘S</w:t>
      </w:r>
      <w:r w:rsidR="00D05A72">
        <w:t>ynthesis</w:t>
      </w:r>
      <w:r w:rsidR="006969D0">
        <w:t>’</w:t>
      </w:r>
      <w:r w:rsidR="00D05A72">
        <w:t xml:space="preserve"> and </w:t>
      </w:r>
      <w:r w:rsidR="006969D0">
        <w:t>‘E</w:t>
      </w:r>
      <w:r w:rsidR="00D05A72">
        <w:t>valuation</w:t>
      </w:r>
      <w:r w:rsidR="006969D0">
        <w:t>’</w:t>
      </w:r>
      <w:sdt>
        <w:sdtPr>
          <w:id w:val="709926493"/>
          <w:citation/>
        </w:sdtPr>
        <w:sdtContent>
          <w:r w:rsidR="00D05A72">
            <w:fldChar w:fldCharType="begin"/>
          </w:r>
          <w:r w:rsidR="00D05A72">
            <w:instrText xml:space="preserve"> CITATION Arm16 \l 2057 </w:instrText>
          </w:r>
          <w:r w:rsidR="00D05A72">
            <w:fldChar w:fldCharType="separate"/>
          </w:r>
          <w:r w:rsidR="00D05A72">
            <w:rPr>
              <w:noProof/>
            </w:rPr>
            <w:t xml:space="preserve"> </w:t>
          </w:r>
          <w:r w:rsidR="00D05A72" w:rsidRPr="00D05A72">
            <w:rPr>
              <w:noProof/>
            </w:rPr>
            <w:t>(Armstrong, 2016)</w:t>
          </w:r>
          <w:r w:rsidR="00D05A72">
            <w:fldChar w:fldCharType="end"/>
          </w:r>
        </w:sdtContent>
      </w:sdt>
      <w:r w:rsidR="00D05A72">
        <w:t>. However</w:t>
      </w:r>
      <w:r w:rsidR="00067C7F">
        <w:t xml:space="preserve">, in 2001 the Taxonomy was revised and included the categories of </w:t>
      </w:r>
      <w:r w:rsidR="004505D7">
        <w:t>‘R</w:t>
      </w:r>
      <w:r w:rsidR="00067C7F">
        <w:t>emembering</w:t>
      </w:r>
      <w:r w:rsidR="004505D7">
        <w:t>’</w:t>
      </w:r>
      <w:r w:rsidR="00067C7F">
        <w:t xml:space="preserve">, </w:t>
      </w:r>
      <w:r w:rsidR="004505D7">
        <w:t>‘U</w:t>
      </w:r>
      <w:r w:rsidR="00067C7F">
        <w:t>nderstanding</w:t>
      </w:r>
      <w:r w:rsidR="004505D7">
        <w:t>’</w:t>
      </w:r>
      <w:r w:rsidR="00067C7F">
        <w:t xml:space="preserve">, </w:t>
      </w:r>
      <w:r w:rsidR="004505D7">
        <w:t>‘A</w:t>
      </w:r>
      <w:r w:rsidR="00067C7F">
        <w:t>pplying</w:t>
      </w:r>
      <w:r w:rsidR="004505D7">
        <w:t>’</w:t>
      </w:r>
      <w:r w:rsidR="00067C7F">
        <w:t xml:space="preserve">, </w:t>
      </w:r>
      <w:r w:rsidR="004505D7">
        <w:t>‘A</w:t>
      </w:r>
      <w:r w:rsidR="00067C7F">
        <w:t>nalysing</w:t>
      </w:r>
      <w:r w:rsidR="004505D7">
        <w:t>’</w:t>
      </w:r>
      <w:r w:rsidR="00067C7F">
        <w:t xml:space="preserve">, </w:t>
      </w:r>
      <w:r w:rsidR="004505D7">
        <w:t>‘E</w:t>
      </w:r>
      <w:r w:rsidR="00067C7F">
        <w:t>valuating</w:t>
      </w:r>
      <w:r w:rsidR="004505D7">
        <w:t>’</w:t>
      </w:r>
      <w:r w:rsidR="00067C7F">
        <w:t xml:space="preserve"> and </w:t>
      </w:r>
      <w:r w:rsidR="004505D7">
        <w:t>‘C</w:t>
      </w:r>
      <w:r w:rsidR="00067C7F">
        <w:t>reating</w:t>
      </w:r>
      <w:r w:rsidR="004505D7">
        <w:t>’</w:t>
      </w:r>
      <w:sdt>
        <w:sdtPr>
          <w:id w:val="-342398418"/>
          <w:citation/>
        </w:sdtPr>
        <w:sdtContent>
          <w:r w:rsidR="00067C7F">
            <w:fldChar w:fldCharType="begin"/>
          </w:r>
          <w:r w:rsidR="00067C7F">
            <w:instrText xml:space="preserve"> CITATION Kra02 \l 2057 </w:instrText>
          </w:r>
          <w:r w:rsidR="00067C7F">
            <w:fldChar w:fldCharType="separate"/>
          </w:r>
          <w:r w:rsidR="00067C7F">
            <w:rPr>
              <w:noProof/>
            </w:rPr>
            <w:t xml:space="preserve"> </w:t>
          </w:r>
          <w:r w:rsidR="00067C7F" w:rsidRPr="00067C7F">
            <w:rPr>
              <w:noProof/>
            </w:rPr>
            <w:t>(Krathwohl, 2002)</w:t>
          </w:r>
          <w:r w:rsidR="00067C7F">
            <w:fldChar w:fldCharType="end"/>
          </w:r>
        </w:sdtContent>
      </w:sdt>
      <w:r w:rsidR="00FA5D88">
        <w:t xml:space="preserve"> with </w:t>
      </w:r>
      <w:r w:rsidR="00FA5D88">
        <w:lastRenderedPageBreak/>
        <w:t xml:space="preserve">regards to knowledge and </w:t>
      </w:r>
      <w:r w:rsidR="004505D7">
        <w:t>how pupils are able to use their knowledge</w:t>
      </w:r>
      <w:sdt>
        <w:sdtPr>
          <w:id w:val="92980016"/>
          <w:citation/>
        </w:sdtPr>
        <w:sdtContent>
          <w:r w:rsidR="004505D7">
            <w:fldChar w:fldCharType="begin"/>
          </w:r>
          <w:r w:rsidR="004505D7">
            <w:instrText xml:space="preserve"> CITATION Kra02 \l 2057 </w:instrText>
          </w:r>
          <w:r w:rsidR="004505D7">
            <w:fldChar w:fldCharType="separate"/>
          </w:r>
          <w:r w:rsidR="004505D7">
            <w:rPr>
              <w:noProof/>
            </w:rPr>
            <w:t xml:space="preserve"> </w:t>
          </w:r>
          <w:r w:rsidR="004505D7" w:rsidRPr="004505D7">
            <w:rPr>
              <w:noProof/>
            </w:rPr>
            <w:t>(Krathwohl, 2002)</w:t>
          </w:r>
          <w:r w:rsidR="004505D7">
            <w:fldChar w:fldCharType="end"/>
          </w:r>
        </w:sdtContent>
      </w:sdt>
      <w:r w:rsidR="004505D7">
        <w:t>.</w:t>
      </w:r>
      <w:r w:rsidR="00095966">
        <w:t xml:space="preserve"> The revision also took into account that some </w:t>
      </w:r>
      <w:r w:rsidR="00070844">
        <w:t>of the skills from different Categories</w:t>
      </w:r>
      <w:r w:rsidR="00095966">
        <w:t xml:space="preserve"> do overlap which is something the original Taxonomy did not take into consideration</w:t>
      </w:r>
      <w:sdt>
        <w:sdtPr>
          <w:id w:val="-1025016639"/>
          <w:citation/>
        </w:sdtPr>
        <w:sdtContent>
          <w:r w:rsidR="00095966">
            <w:fldChar w:fldCharType="begin"/>
          </w:r>
          <w:r w:rsidR="00095966">
            <w:instrText xml:space="preserve">CITATION ACr16 \l 2057 </w:instrText>
          </w:r>
          <w:r w:rsidR="00095966">
            <w:fldChar w:fldCharType="separate"/>
          </w:r>
          <w:r w:rsidR="00095966">
            <w:rPr>
              <w:noProof/>
            </w:rPr>
            <w:t xml:space="preserve"> </w:t>
          </w:r>
          <w:r w:rsidR="00095966" w:rsidRPr="00095966">
            <w:rPr>
              <w:noProof/>
            </w:rPr>
            <w:t>(Soozandehfar &amp; Adeli, 2016)</w:t>
          </w:r>
          <w:r w:rsidR="00095966">
            <w:fldChar w:fldCharType="end"/>
          </w:r>
        </w:sdtContent>
      </w:sdt>
      <w:r w:rsidR="00070844">
        <w:t>.</w:t>
      </w:r>
      <w:r w:rsidR="00642A0C">
        <w:t xml:space="preserve"> The Taxonomy</w:t>
      </w:r>
      <w:r w:rsidR="00070844">
        <w:t xml:space="preserve"> and Revised Taxonomy</w:t>
      </w:r>
      <w:r w:rsidR="00642A0C">
        <w:t xml:space="preserve"> can be used to help set learning objectives and can help teachers to plan and deliver appropriate instructions, tasks and assessments</w:t>
      </w:r>
      <w:sdt>
        <w:sdtPr>
          <w:id w:val="-1779405014"/>
          <w:citation/>
        </w:sdtPr>
        <w:sdtContent>
          <w:r w:rsidR="00642A0C">
            <w:fldChar w:fldCharType="begin"/>
          </w:r>
          <w:r w:rsidR="00642A0C">
            <w:instrText xml:space="preserve"> CITATION Arm20 \l 2057 </w:instrText>
          </w:r>
          <w:r w:rsidR="00642A0C">
            <w:fldChar w:fldCharType="separate"/>
          </w:r>
          <w:r w:rsidR="00642A0C">
            <w:rPr>
              <w:noProof/>
            </w:rPr>
            <w:t xml:space="preserve"> </w:t>
          </w:r>
          <w:r w:rsidR="00642A0C" w:rsidRPr="00642A0C">
            <w:rPr>
              <w:noProof/>
            </w:rPr>
            <w:t>(Armstrong, 2020)</w:t>
          </w:r>
          <w:r w:rsidR="00642A0C">
            <w:fldChar w:fldCharType="end"/>
          </w:r>
        </w:sdtContent>
      </w:sdt>
      <w:r w:rsidR="00642A0C">
        <w:t xml:space="preserve">. </w:t>
      </w:r>
      <w:r w:rsidR="00FF63A3">
        <w:t xml:space="preserve">Furthermore, the use of analogies </w:t>
      </w:r>
      <w:r w:rsidR="00831CD9">
        <w:t>can help</w:t>
      </w:r>
      <w:r w:rsidR="00FF63A3">
        <w:t xml:space="preserve"> pupils at least achieve the applying stage of the revised Bloom’s Taxonomy</w:t>
      </w:r>
      <w:sdt>
        <w:sdtPr>
          <w:id w:val="284928406"/>
          <w:citation/>
        </w:sdtPr>
        <w:sdtContent>
          <w:r w:rsidR="00FF63A3">
            <w:fldChar w:fldCharType="begin"/>
          </w:r>
          <w:r w:rsidR="00FF63A3">
            <w:instrText xml:space="preserve"> CITATION Kra02 \l 2057 </w:instrText>
          </w:r>
          <w:r w:rsidR="00FF63A3">
            <w:fldChar w:fldCharType="separate"/>
          </w:r>
          <w:r w:rsidR="00FF63A3">
            <w:rPr>
              <w:noProof/>
            </w:rPr>
            <w:t xml:space="preserve"> </w:t>
          </w:r>
          <w:r w:rsidR="00FF63A3" w:rsidRPr="00FF63A3">
            <w:rPr>
              <w:noProof/>
            </w:rPr>
            <w:t>(Krathwohl, 2002)</w:t>
          </w:r>
          <w:r w:rsidR="00FF63A3">
            <w:fldChar w:fldCharType="end"/>
          </w:r>
        </w:sdtContent>
      </w:sdt>
      <w:r w:rsidR="00FF63A3">
        <w:t>.</w:t>
      </w:r>
      <w:r w:rsidR="00642A0C">
        <w:t xml:space="preserve"> </w:t>
      </w:r>
      <w:r w:rsidR="00E021A9">
        <w:t>However, the issue of using the Taxonomy is that it assumes pupils cannot do the higher-level skills like being able to create or evaluate without applying first</w:t>
      </w:r>
      <w:sdt>
        <w:sdtPr>
          <w:id w:val="-1574344693"/>
          <w:citation/>
        </w:sdtPr>
        <w:sdtContent>
          <w:r w:rsidR="00E021A9">
            <w:fldChar w:fldCharType="begin"/>
          </w:r>
          <w:r w:rsidR="00E021A9">
            <w:instrText xml:space="preserve"> CITATION Cas13 \l 2057 </w:instrText>
          </w:r>
          <w:r w:rsidR="00E021A9">
            <w:fldChar w:fldCharType="separate"/>
          </w:r>
          <w:r w:rsidR="00E021A9">
            <w:rPr>
              <w:noProof/>
            </w:rPr>
            <w:t xml:space="preserve"> </w:t>
          </w:r>
          <w:r w:rsidR="00E021A9" w:rsidRPr="00E021A9">
            <w:rPr>
              <w:noProof/>
            </w:rPr>
            <w:t>(Case, 2013)</w:t>
          </w:r>
          <w:r w:rsidR="00E021A9">
            <w:fldChar w:fldCharType="end"/>
          </w:r>
        </w:sdtContent>
      </w:sdt>
      <w:r w:rsidR="00E021A9">
        <w:t>. In addition, it suggests some skills are harder than others, but each pupil is individual and may have different strengths and weaknesses</w:t>
      </w:r>
      <w:sdt>
        <w:sdtPr>
          <w:id w:val="-859355938"/>
          <w:citation/>
        </w:sdtPr>
        <w:sdtContent>
          <w:r w:rsidR="00E021A9">
            <w:fldChar w:fldCharType="begin"/>
          </w:r>
          <w:r w:rsidR="00E021A9">
            <w:instrText xml:space="preserve"> CITATION Cas13 \l 2057 </w:instrText>
          </w:r>
          <w:r w:rsidR="00E021A9">
            <w:fldChar w:fldCharType="separate"/>
          </w:r>
          <w:r w:rsidR="00E021A9">
            <w:rPr>
              <w:noProof/>
            </w:rPr>
            <w:t xml:space="preserve"> </w:t>
          </w:r>
          <w:r w:rsidR="00E021A9" w:rsidRPr="00E021A9">
            <w:rPr>
              <w:noProof/>
            </w:rPr>
            <w:t>(Case, 2013)</w:t>
          </w:r>
          <w:r w:rsidR="00E021A9">
            <w:fldChar w:fldCharType="end"/>
          </w:r>
        </w:sdtContent>
      </w:sdt>
      <w:r w:rsidR="00E021A9">
        <w:t xml:space="preserve">. </w:t>
      </w:r>
      <w:r w:rsidR="008A6E1E">
        <w:t>Some papers have even called for there to be no Taxonomy and for learners to be assessed on individual tasks</w:t>
      </w:r>
      <w:sdt>
        <w:sdtPr>
          <w:id w:val="-1855491819"/>
          <w:citation/>
        </w:sdtPr>
        <w:sdtContent>
          <w:r w:rsidR="008A6E1E">
            <w:fldChar w:fldCharType="begin"/>
          </w:r>
          <w:r w:rsidR="008A6E1E">
            <w:instrText xml:space="preserve"> CITATION ACr16 \l 2057 </w:instrText>
          </w:r>
          <w:r w:rsidR="008A6E1E">
            <w:fldChar w:fldCharType="separate"/>
          </w:r>
          <w:r w:rsidR="008A6E1E">
            <w:rPr>
              <w:noProof/>
            </w:rPr>
            <w:t xml:space="preserve"> </w:t>
          </w:r>
          <w:r w:rsidR="008A6E1E" w:rsidRPr="008A6E1E">
            <w:rPr>
              <w:noProof/>
            </w:rPr>
            <w:t>(Soozandehfar &amp; Adeli, 2016)</w:t>
          </w:r>
          <w:r w:rsidR="008A6E1E">
            <w:fldChar w:fldCharType="end"/>
          </w:r>
        </w:sdtContent>
      </w:sdt>
      <w:r w:rsidR="008A6E1E">
        <w:t>. However, on reflection Bloom’s Revised Taxonomy will still be used to assess pupil’s level of understanding in this research.</w:t>
      </w:r>
    </w:p>
    <w:p w14:paraId="05CA3BDF" w14:textId="3A677C2E" w:rsidR="009D2F06" w:rsidRDefault="009D2F06" w:rsidP="004D2FF6">
      <w:pPr>
        <w:spacing w:line="360" w:lineRule="auto"/>
      </w:pPr>
    </w:p>
    <w:p w14:paraId="2DAEBB05" w14:textId="77777777" w:rsidR="009D2F06" w:rsidRDefault="009D2F06" w:rsidP="004D2FF6">
      <w:pPr>
        <w:spacing w:line="360" w:lineRule="auto"/>
        <w:rPr>
          <w:b/>
          <w:bCs/>
          <w:u w:val="single"/>
        </w:rPr>
      </w:pPr>
    </w:p>
    <w:p w14:paraId="5C360806" w14:textId="1BA82F97" w:rsidR="009D2F06" w:rsidRDefault="004D2FF6" w:rsidP="004D2FF6">
      <w:pPr>
        <w:spacing w:line="360" w:lineRule="auto"/>
        <w:rPr>
          <w:b/>
          <w:bCs/>
          <w:u w:val="single"/>
        </w:rPr>
      </w:pPr>
      <w:r>
        <w:rPr>
          <w:b/>
          <w:bCs/>
          <w:u w:val="single"/>
        </w:rPr>
        <w:t>3.0-</w:t>
      </w:r>
      <w:r w:rsidR="009D2F06">
        <w:rPr>
          <w:b/>
          <w:bCs/>
          <w:u w:val="single"/>
        </w:rPr>
        <w:t>Methods</w:t>
      </w:r>
    </w:p>
    <w:p w14:paraId="3721AD31" w14:textId="089A6ECF" w:rsidR="00CD0DCD" w:rsidRDefault="009D2F06" w:rsidP="004D2FF6">
      <w:pPr>
        <w:spacing w:line="360" w:lineRule="auto"/>
      </w:pPr>
      <w:r>
        <w:t xml:space="preserve">The main method used during this research was that of a lesson study. A lesson study is where two or more teachers/researchers </w:t>
      </w:r>
      <w:r w:rsidR="00913DF4">
        <w:t>collaboratively plan a research lesson together, then one of the teachers delivers the lesson with the other researchers in the room and they then reflect on the lesson afterwards</w:t>
      </w:r>
      <w:sdt>
        <w:sdtPr>
          <w:id w:val="-319266982"/>
          <w:citation/>
        </w:sdtPr>
        <w:sdtContent>
          <w:r w:rsidR="007E4736">
            <w:fldChar w:fldCharType="begin"/>
          </w:r>
          <w:r w:rsidR="007E4736">
            <w:instrText xml:space="preserve"> CITATION Ust19 \l 2057 </w:instrText>
          </w:r>
          <w:r w:rsidR="007E4736">
            <w:fldChar w:fldCharType="separate"/>
          </w:r>
          <w:r w:rsidR="007E4736">
            <w:rPr>
              <w:noProof/>
            </w:rPr>
            <w:t xml:space="preserve"> </w:t>
          </w:r>
          <w:r w:rsidR="007E4736" w:rsidRPr="007E4736">
            <w:rPr>
              <w:noProof/>
            </w:rPr>
            <w:t>(Ustuk &amp; Comoglu, 2019)</w:t>
          </w:r>
          <w:r w:rsidR="007E4736">
            <w:fldChar w:fldCharType="end"/>
          </w:r>
        </w:sdtContent>
      </w:sdt>
      <w:r w:rsidR="007E4736">
        <w:t xml:space="preserve">.  </w:t>
      </w:r>
      <w:r w:rsidR="004C22C7">
        <w:t>The process used in this research was based on Dudley’s model of lesson study</w:t>
      </w:r>
      <w:r w:rsidR="00327932">
        <w:t>. This is</w:t>
      </w:r>
      <w:r w:rsidR="004C22C7">
        <w:t xml:space="preserve"> </w:t>
      </w:r>
      <w:r w:rsidR="00327932">
        <w:t>where before the lesson the researchers gather together and decide what they want to do to improve their teaching</w:t>
      </w:r>
      <w:r w:rsidR="00E44AC8">
        <w:t>.</w:t>
      </w:r>
      <w:r w:rsidR="00327932">
        <w:t xml:space="preserve"> </w:t>
      </w:r>
      <w:r w:rsidR="00E44AC8">
        <w:t>S</w:t>
      </w:r>
      <w:r w:rsidR="00327932">
        <w:t>econdly</w:t>
      </w:r>
      <w:r w:rsidR="00E44AC8">
        <w:t>,</w:t>
      </w:r>
      <w:r w:rsidR="00327932">
        <w:t xml:space="preserve"> the lesson gets taught and interviews are conducted with the </w:t>
      </w:r>
      <w:r w:rsidR="00647E44">
        <w:t>‘case pupils’</w:t>
      </w:r>
      <w:r w:rsidR="00327932">
        <w:t xml:space="preserve"> after</w:t>
      </w:r>
      <w:r w:rsidR="00E44AC8">
        <w:t xml:space="preserve"> the lesson which is followed by</w:t>
      </w:r>
      <w:r w:rsidR="00327932">
        <w:t xml:space="preserve"> </w:t>
      </w:r>
      <w:r w:rsidR="00E44AC8">
        <w:t>a spell of reflection for the researchers which then enable them to</w:t>
      </w:r>
      <w:r w:rsidR="00327932">
        <w:t xml:space="preserve"> make improvements for a second lesson</w:t>
      </w:r>
      <w:r w:rsidR="00E44AC8">
        <w:t xml:space="preserve"> where the process is repeated</w:t>
      </w:r>
      <w:sdt>
        <w:sdtPr>
          <w:id w:val="1090434497"/>
          <w:citation/>
        </w:sdtPr>
        <w:sdtContent>
          <w:r w:rsidR="00327932">
            <w:fldChar w:fldCharType="begin"/>
          </w:r>
          <w:r w:rsidR="00327932">
            <w:instrText xml:space="preserve"> CITATION Dud14 \l 2057 </w:instrText>
          </w:r>
          <w:r w:rsidR="00327932">
            <w:fldChar w:fldCharType="separate"/>
          </w:r>
          <w:r w:rsidR="00327932">
            <w:rPr>
              <w:noProof/>
            </w:rPr>
            <w:t xml:space="preserve"> </w:t>
          </w:r>
          <w:r w:rsidR="00327932" w:rsidRPr="00327932">
            <w:rPr>
              <w:noProof/>
            </w:rPr>
            <w:t>(Dudley, 2014)</w:t>
          </w:r>
          <w:r w:rsidR="00327932">
            <w:fldChar w:fldCharType="end"/>
          </w:r>
        </w:sdtContent>
      </w:sdt>
      <w:r w:rsidR="00327932">
        <w:t>.</w:t>
      </w:r>
      <w:r w:rsidR="00B149FD">
        <w:t xml:space="preserve"> The reflections were carried out using a reflective model which was adapted from Gibbs Reflective Cycle</w:t>
      </w:r>
      <w:sdt>
        <w:sdtPr>
          <w:id w:val="-727834226"/>
          <w:citation/>
        </w:sdtPr>
        <w:sdtContent>
          <w:r w:rsidR="001A4E7D">
            <w:fldChar w:fldCharType="begin"/>
          </w:r>
          <w:r w:rsidR="001A4E7D">
            <w:instrText xml:space="preserve"> CITATION Gib88 \l 2057 </w:instrText>
          </w:r>
          <w:r w:rsidR="001A4E7D">
            <w:fldChar w:fldCharType="separate"/>
          </w:r>
          <w:r w:rsidR="001A4E7D">
            <w:rPr>
              <w:noProof/>
            </w:rPr>
            <w:t xml:space="preserve"> </w:t>
          </w:r>
          <w:r w:rsidR="001A4E7D" w:rsidRPr="001A4E7D">
            <w:rPr>
              <w:noProof/>
            </w:rPr>
            <w:t>(Gibbs, 1988)</w:t>
          </w:r>
          <w:r w:rsidR="001A4E7D">
            <w:fldChar w:fldCharType="end"/>
          </w:r>
        </w:sdtContent>
      </w:sdt>
      <w:r w:rsidR="00B149FD">
        <w:t xml:space="preserve"> and Kolb’s Reflective Model</w:t>
      </w:r>
      <w:sdt>
        <w:sdtPr>
          <w:id w:val="334032005"/>
          <w:citation/>
        </w:sdtPr>
        <w:sdtContent>
          <w:r w:rsidR="001A4E7D">
            <w:fldChar w:fldCharType="begin"/>
          </w:r>
          <w:r w:rsidR="001A4E7D">
            <w:instrText xml:space="preserve"> CITATION Kol841 \l 2057 </w:instrText>
          </w:r>
          <w:r w:rsidR="001A4E7D">
            <w:fldChar w:fldCharType="separate"/>
          </w:r>
          <w:r w:rsidR="001A4E7D">
            <w:rPr>
              <w:noProof/>
            </w:rPr>
            <w:t xml:space="preserve"> </w:t>
          </w:r>
          <w:r w:rsidR="001A4E7D" w:rsidRPr="001A4E7D">
            <w:rPr>
              <w:noProof/>
            </w:rPr>
            <w:t>(Kolb, 1984)</w:t>
          </w:r>
          <w:r w:rsidR="001A4E7D">
            <w:fldChar w:fldCharType="end"/>
          </w:r>
        </w:sdtContent>
      </w:sdt>
      <w:r w:rsidR="001A4E7D">
        <w:t xml:space="preserve"> (See Appendix).</w:t>
      </w:r>
      <w:r w:rsidR="00647E44">
        <w:t xml:space="preserve"> ‘Case Pupils</w:t>
      </w:r>
      <w:r w:rsidR="00E44AC8">
        <w:t>’</w:t>
      </w:r>
      <w:r w:rsidR="00647E44">
        <w:t xml:space="preserve"> are the specific students who are observed by the researchers and then interviewed at the end of the lesson</w:t>
      </w:r>
      <w:sdt>
        <w:sdtPr>
          <w:id w:val="1203911981"/>
          <w:citation/>
        </w:sdtPr>
        <w:sdtContent>
          <w:r w:rsidR="00647E44">
            <w:fldChar w:fldCharType="begin"/>
          </w:r>
          <w:r w:rsidR="00647E44">
            <w:instrText xml:space="preserve"> CITATION Dud14 \l 2057 </w:instrText>
          </w:r>
          <w:r w:rsidR="00647E44">
            <w:fldChar w:fldCharType="separate"/>
          </w:r>
          <w:r w:rsidR="00647E44">
            <w:rPr>
              <w:noProof/>
            </w:rPr>
            <w:t xml:space="preserve"> </w:t>
          </w:r>
          <w:r w:rsidR="00647E44" w:rsidRPr="00647E44">
            <w:rPr>
              <w:noProof/>
            </w:rPr>
            <w:t>(Dudley, 2014)</w:t>
          </w:r>
          <w:r w:rsidR="00647E44">
            <w:fldChar w:fldCharType="end"/>
          </w:r>
        </w:sdtContent>
      </w:sdt>
      <w:r w:rsidR="00647E44">
        <w:t xml:space="preserve">. By using ‘Case Pupils’ </w:t>
      </w:r>
      <w:r w:rsidR="00115DB3">
        <w:t>this can help teachers notice things about students which they would not usually see</w:t>
      </w:r>
      <w:r w:rsidR="00E44AC8">
        <w:t xml:space="preserve"> as they specifically focus on them</w:t>
      </w:r>
      <w:sdt>
        <w:sdtPr>
          <w:id w:val="1449820880"/>
          <w:citation/>
        </w:sdtPr>
        <w:sdtContent>
          <w:r w:rsidR="00115DB3">
            <w:fldChar w:fldCharType="begin"/>
          </w:r>
          <w:r w:rsidR="00115DB3">
            <w:instrText xml:space="preserve"> CITATION Dud14 \l 2057 </w:instrText>
          </w:r>
          <w:r w:rsidR="00115DB3">
            <w:fldChar w:fldCharType="separate"/>
          </w:r>
          <w:r w:rsidR="00115DB3">
            <w:rPr>
              <w:noProof/>
            </w:rPr>
            <w:t xml:space="preserve"> </w:t>
          </w:r>
          <w:r w:rsidR="00115DB3" w:rsidRPr="00115DB3">
            <w:rPr>
              <w:noProof/>
            </w:rPr>
            <w:t>(Dudley, 2014)</w:t>
          </w:r>
          <w:r w:rsidR="00115DB3">
            <w:fldChar w:fldCharType="end"/>
          </w:r>
        </w:sdtContent>
      </w:sdt>
      <w:r w:rsidR="00115DB3">
        <w:t>. However, only thre</w:t>
      </w:r>
      <w:r w:rsidR="00A42EB1">
        <w:t>e</w:t>
      </w:r>
      <w:r w:rsidR="00115DB3">
        <w:t xml:space="preserve"> pupils</w:t>
      </w:r>
      <w:r w:rsidR="00484D57">
        <w:t xml:space="preserve"> are usually </w:t>
      </w:r>
      <w:r w:rsidR="00B16BF7">
        <w:t>studied,</w:t>
      </w:r>
      <w:r w:rsidR="00484D57">
        <w:t xml:space="preserve"> and this </w:t>
      </w:r>
      <w:r w:rsidR="00484D57">
        <w:lastRenderedPageBreak/>
        <w:t>means that the results may not be representative of the whole class</w:t>
      </w:r>
      <w:sdt>
        <w:sdtPr>
          <w:id w:val="-1112825620"/>
          <w:citation/>
        </w:sdtPr>
        <w:sdtContent>
          <w:r w:rsidR="00484D57">
            <w:fldChar w:fldCharType="begin"/>
          </w:r>
          <w:r w:rsidR="00484D57">
            <w:instrText xml:space="preserve"> CITATION Dud14 \l 2057 </w:instrText>
          </w:r>
          <w:r w:rsidR="00484D57">
            <w:fldChar w:fldCharType="separate"/>
          </w:r>
          <w:r w:rsidR="00484D57">
            <w:rPr>
              <w:noProof/>
            </w:rPr>
            <w:t xml:space="preserve"> </w:t>
          </w:r>
          <w:r w:rsidR="00484D57" w:rsidRPr="00484D57">
            <w:rPr>
              <w:noProof/>
            </w:rPr>
            <w:t>(Dudley, 2014)</w:t>
          </w:r>
          <w:r w:rsidR="00484D57">
            <w:fldChar w:fldCharType="end"/>
          </w:r>
        </w:sdtContent>
      </w:sdt>
      <w:r w:rsidR="00484D57">
        <w:t>. But, different ability ‘</w:t>
      </w:r>
      <w:r w:rsidR="00B16BF7">
        <w:t>C</w:t>
      </w:r>
      <w:r w:rsidR="00484D57">
        <w:t xml:space="preserve">ase </w:t>
      </w:r>
      <w:r w:rsidR="00B16BF7">
        <w:t>P</w:t>
      </w:r>
      <w:r w:rsidR="00484D57">
        <w:t>upils’ tend to be selected</w:t>
      </w:r>
      <w:sdt>
        <w:sdtPr>
          <w:id w:val="-170646398"/>
          <w:citation/>
        </w:sdtPr>
        <w:sdtContent>
          <w:r w:rsidR="00484D57">
            <w:fldChar w:fldCharType="begin"/>
          </w:r>
          <w:r w:rsidR="00484D57">
            <w:instrText xml:space="preserve"> CITATION Dud14 \l 2057 </w:instrText>
          </w:r>
          <w:r w:rsidR="00484D57">
            <w:fldChar w:fldCharType="separate"/>
          </w:r>
          <w:r w:rsidR="00484D57">
            <w:rPr>
              <w:noProof/>
            </w:rPr>
            <w:t xml:space="preserve"> </w:t>
          </w:r>
          <w:r w:rsidR="00484D57" w:rsidRPr="00484D57">
            <w:rPr>
              <w:noProof/>
            </w:rPr>
            <w:t>(Dudley, 2014)</w:t>
          </w:r>
          <w:r w:rsidR="00484D57">
            <w:fldChar w:fldCharType="end"/>
          </w:r>
        </w:sdtContent>
      </w:sdt>
      <w:r w:rsidR="00B16BF7">
        <w:t xml:space="preserve"> which may be more representative</w:t>
      </w:r>
      <w:r w:rsidR="00484D57">
        <w:t>.</w:t>
      </w:r>
      <w:r w:rsidR="004A25DC">
        <w:t xml:space="preserve"> In this study, pupils were sampled into different abilities </w:t>
      </w:r>
      <w:r w:rsidR="00B16BF7">
        <w:t>‘</w:t>
      </w:r>
      <w:r w:rsidR="004A25DC">
        <w:t>High-Attaining</w:t>
      </w:r>
      <w:r w:rsidR="00B16BF7">
        <w:t>’</w:t>
      </w:r>
      <w:r w:rsidR="004A25DC">
        <w:t xml:space="preserve">, </w:t>
      </w:r>
      <w:r w:rsidR="00B16BF7">
        <w:t>‘</w:t>
      </w:r>
      <w:r w:rsidR="004A25DC">
        <w:t>Medium-Attaining</w:t>
      </w:r>
      <w:r w:rsidR="00B16BF7">
        <w:t>’</w:t>
      </w:r>
      <w:r w:rsidR="004A25DC">
        <w:t xml:space="preserve"> and </w:t>
      </w:r>
      <w:r w:rsidR="00B16BF7">
        <w:t>‘</w:t>
      </w:r>
      <w:r w:rsidR="004A25DC">
        <w:t>Low-Attaining</w:t>
      </w:r>
      <w:r w:rsidR="00B16BF7">
        <w:t>’</w:t>
      </w:r>
      <w:r w:rsidR="004A25DC">
        <w:t xml:space="preserve"> based on their class teacher’s judgement and then </w:t>
      </w:r>
      <w:r w:rsidR="00B16BF7">
        <w:t xml:space="preserve">they were </w:t>
      </w:r>
      <w:r w:rsidR="004A25DC">
        <w:t>randomly selected based on a random name generator with one pupil representing each category.</w:t>
      </w:r>
      <w:r w:rsidR="00A42EB1">
        <w:t xml:space="preserve"> This was repeated in both School X and School Y.</w:t>
      </w:r>
      <w:r w:rsidR="001E2B60">
        <w:t xml:space="preserve"> Although</w:t>
      </w:r>
      <w:r w:rsidR="00B16BF7">
        <w:t>,</w:t>
      </w:r>
      <w:r w:rsidR="001E2B60">
        <w:t xml:space="preserve"> the chosen class</w:t>
      </w:r>
      <w:r w:rsidR="00B16BF7">
        <w:t>es</w:t>
      </w:r>
      <w:r w:rsidR="001E2B60">
        <w:t xml:space="preserve"> w</w:t>
      </w:r>
      <w:r w:rsidR="00B16BF7">
        <w:t>ere</w:t>
      </w:r>
      <w:r w:rsidR="001E2B60">
        <w:t xml:space="preserve"> conveniently sampled </w:t>
      </w:r>
      <w:r w:rsidR="00B16BF7">
        <w:t xml:space="preserve">which is </w:t>
      </w:r>
      <w:r w:rsidR="001E2B60">
        <w:t>one of the worst ways to sample</w:t>
      </w:r>
      <w:r w:rsidR="00B16BF7">
        <w:t xml:space="preserve"> as the research may not be able to be generalised to wider communities</w:t>
      </w:r>
      <w:sdt>
        <w:sdtPr>
          <w:id w:val="436958275"/>
          <w:citation/>
        </w:sdtPr>
        <w:sdtContent>
          <w:r w:rsidR="001E2B60">
            <w:fldChar w:fldCharType="begin"/>
          </w:r>
          <w:r w:rsidR="001E2B60">
            <w:instrText xml:space="preserve"> CITATION Ric20 \l 2057 </w:instrText>
          </w:r>
          <w:r w:rsidR="001E2B60">
            <w:fldChar w:fldCharType="separate"/>
          </w:r>
          <w:r w:rsidR="001E2B60">
            <w:rPr>
              <w:noProof/>
            </w:rPr>
            <w:t xml:space="preserve"> </w:t>
          </w:r>
          <w:r w:rsidR="001E2B60" w:rsidRPr="001E2B60">
            <w:rPr>
              <w:noProof/>
            </w:rPr>
            <w:t>(Richland Community College, 2020)</w:t>
          </w:r>
          <w:r w:rsidR="001E2B60">
            <w:fldChar w:fldCharType="end"/>
          </w:r>
        </w:sdtContent>
      </w:sdt>
      <w:r w:rsidR="001E2B60">
        <w:t>. However, the ‘Case Pupils’ were randomly selected which meant that each pupil within the class had an equal chance of being selected, meaning that the sample is more representative of the studied classes</w:t>
      </w:r>
      <w:sdt>
        <w:sdtPr>
          <w:id w:val="1335645681"/>
          <w:citation/>
        </w:sdtPr>
        <w:sdtContent>
          <w:r w:rsidR="001E2B60">
            <w:fldChar w:fldCharType="begin"/>
          </w:r>
          <w:r w:rsidR="001E2B60">
            <w:instrText xml:space="preserve"> CITATION Ric20 \l 2057 </w:instrText>
          </w:r>
          <w:r w:rsidR="001E2B60">
            <w:fldChar w:fldCharType="separate"/>
          </w:r>
          <w:r w:rsidR="001E2B60">
            <w:rPr>
              <w:noProof/>
            </w:rPr>
            <w:t xml:space="preserve"> </w:t>
          </w:r>
          <w:r w:rsidR="001E2B60" w:rsidRPr="001E2B60">
            <w:rPr>
              <w:noProof/>
            </w:rPr>
            <w:t>(Richland Community College, 2020)</w:t>
          </w:r>
          <w:r w:rsidR="001E2B60">
            <w:fldChar w:fldCharType="end"/>
          </w:r>
        </w:sdtContent>
      </w:sdt>
      <w:r w:rsidR="001E2B60">
        <w:t>.</w:t>
      </w:r>
      <w:r w:rsidR="008C6E5C">
        <w:t xml:space="preserve"> </w:t>
      </w:r>
      <w:r w:rsidR="00A42EB1">
        <w:t xml:space="preserve">Through using </w:t>
      </w:r>
      <w:r w:rsidR="00B16BF7">
        <w:t>a</w:t>
      </w:r>
      <w:r w:rsidR="00A42EB1">
        <w:t xml:space="preserve"> sample size of six ‘Case Pupils’ it provides us with a range of abilities and different demographic characteristics. Nevertheless it is important to consider that a sample size of six may not be able to provide with an accurate representation of what the research aims to distinguish as it can be considered too small for statistical analysis</w:t>
      </w:r>
      <w:sdt>
        <w:sdtPr>
          <w:id w:val="1128599461"/>
          <w:citation/>
        </w:sdtPr>
        <w:sdtContent>
          <w:r w:rsidR="00A42EB1">
            <w:fldChar w:fldCharType="begin"/>
          </w:r>
          <w:r w:rsidR="00A42EB1">
            <w:instrText xml:space="preserve"> CITATION Nay10 \l 2057 </w:instrText>
          </w:r>
          <w:r w:rsidR="00A42EB1">
            <w:fldChar w:fldCharType="separate"/>
          </w:r>
          <w:r w:rsidR="00A42EB1">
            <w:rPr>
              <w:noProof/>
            </w:rPr>
            <w:t xml:space="preserve"> </w:t>
          </w:r>
          <w:r w:rsidR="00A42EB1" w:rsidRPr="00A42EB1">
            <w:rPr>
              <w:noProof/>
            </w:rPr>
            <w:t>(Nayak, 2010)</w:t>
          </w:r>
          <w:r w:rsidR="00A42EB1">
            <w:fldChar w:fldCharType="end"/>
          </w:r>
        </w:sdtContent>
      </w:sdt>
      <w:r w:rsidR="00A42EB1">
        <w:t>. However, this research is not dependent on statistical analysis</w:t>
      </w:r>
      <w:r w:rsidR="00B16BF7">
        <w:t xml:space="preserve"> and is a qualitative study</w:t>
      </w:r>
      <w:r w:rsidR="00A42EB1">
        <w:t>. As a result, the methods chosen can be deemed suitable.</w:t>
      </w:r>
    </w:p>
    <w:p w14:paraId="00B9699B" w14:textId="2D8A2F07" w:rsidR="00CD0DCD" w:rsidRDefault="00CD0DCD" w:rsidP="004D2FF6">
      <w:pPr>
        <w:spacing w:line="360" w:lineRule="auto"/>
      </w:pPr>
    </w:p>
    <w:p w14:paraId="5FB3E1FE" w14:textId="3E640A19" w:rsidR="00396B4A" w:rsidRDefault="00CD0DCD" w:rsidP="004D2FF6">
      <w:pPr>
        <w:spacing w:line="360" w:lineRule="auto"/>
      </w:pPr>
      <w:r>
        <w:t xml:space="preserve">By using a lesson study approach to </w:t>
      </w:r>
      <w:r w:rsidR="0059136D">
        <w:t xml:space="preserve">research, it </w:t>
      </w:r>
      <w:r w:rsidR="00B16BF7">
        <w:t>can have</w:t>
      </w:r>
      <w:r w:rsidR="00653208">
        <w:t xml:space="preserve"> certain advantages such as it can help teachers be reflective on their practise which can benefit teachers and their pupil’s learning</w:t>
      </w:r>
      <w:sdt>
        <w:sdtPr>
          <w:id w:val="763893194"/>
          <w:citation/>
        </w:sdtPr>
        <w:sdtContent>
          <w:r w:rsidR="00653208">
            <w:fldChar w:fldCharType="begin"/>
          </w:r>
          <w:r w:rsidR="00653208">
            <w:instrText xml:space="preserve"> CITATION Dud14 \l 2057 </w:instrText>
          </w:r>
          <w:r w:rsidR="00653208">
            <w:fldChar w:fldCharType="separate"/>
          </w:r>
          <w:r w:rsidR="00653208">
            <w:rPr>
              <w:noProof/>
            </w:rPr>
            <w:t xml:space="preserve"> </w:t>
          </w:r>
          <w:r w:rsidR="00653208" w:rsidRPr="00653208">
            <w:rPr>
              <w:noProof/>
            </w:rPr>
            <w:t>(Dudley, 2014)</w:t>
          </w:r>
          <w:r w:rsidR="00653208">
            <w:fldChar w:fldCharType="end"/>
          </w:r>
        </w:sdtContent>
      </w:sdt>
      <w:r w:rsidR="001311D3">
        <w:t xml:space="preserve"> especially in the long-term</w:t>
      </w:r>
      <w:sdt>
        <w:sdtPr>
          <w:id w:val="-191689726"/>
          <w:citation/>
        </w:sdtPr>
        <w:sdtContent>
          <w:r w:rsidR="001311D3">
            <w:fldChar w:fldCharType="begin"/>
          </w:r>
          <w:r w:rsidR="001311D3">
            <w:instrText xml:space="preserve"> CITATION Ust19 \l 2057 </w:instrText>
          </w:r>
          <w:r w:rsidR="001311D3">
            <w:fldChar w:fldCharType="separate"/>
          </w:r>
          <w:r w:rsidR="001311D3">
            <w:rPr>
              <w:noProof/>
            </w:rPr>
            <w:t xml:space="preserve"> </w:t>
          </w:r>
          <w:r w:rsidR="001311D3" w:rsidRPr="001311D3">
            <w:rPr>
              <w:noProof/>
            </w:rPr>
            <w:t>(Ustuk &amp; Comoglu, 2019)</w:t>
          </w:r>
          <w:r w:rsidR="001311D3">
            <w:fldChar w:fldCharType="end"/>
          </w:r>
        </w:sdtContent>
      </w:sdt>
      <w:r w:rsidR="001311D3">
        <w:t>. This is because it has previously been described as a sustainable method which can help in global school reforms</w:t>
      </w:r>
      <w:sdt>
        <w:sdtPr>
          <w:id w:val="-609364067"/>
          <w:citation/>
        </w:sdtPr>
        <w:sdtContent>
          <w:r w:rsidR="001311D3">
            <w:fldChar w:fldCharType="begin"/>
          </w:r>
          <w:r w:rsidR="001311D3">
            <w:instrText xml:space="preserve"> CITATION Sai14 \l 2057 </w:instrText>
          </w:r>
          <w:r w:rsidR="001311D3">
            <w:fldChar w:fldCharType="separate"/>
          </w:r>
          <w:r w:rsidR="001311D3">
            <w:rPr>
              <w:noProof/>
            </w:rPr>
            <w:t xml:space="preserve"> </w:t>
          </w:r>
          <w:r w:rsidR="001311D3" w:rsidRPr="001311D3">
            <w:rPr>
              <w:noProof/>
            </w:rPr>
            <w:t>(Saito, et al., 2014)</w:t>
          </w:r>
          <w:r w:rsidR="001311D3">
            <w:fldChar w:fldCharType="end"/>
          </w:r>
        </w:sdtContent>
      </w:sdt>
      <w:r w:rsidR="001311D3">
        <w:t>.</w:t>
      </w:r>
      <w:r w:rsidR="003B7464">
        <w:t xml:space="preserve"> However, lesson study has also been found to not improve summative reading and mathematics attainment</w:t>
      </w:r>
      <w:sdt>
        <w:sdtPr>
          <w:id w:val="-1536427682"/>
          <w:citation/>
        </w:sdtPr>
        <w:sdtContent>
          <w:r w:rsidR="003B7464">
            <w:fldChar w:fldCharType="begin"/>
          </w:r>
          <w:r w:rsidR="003B7464">
            <w:instrText xml:space="preserve"> CITATION Mur17 \l 2057 </w:instrText>
          </w:r>
          <w:r w:rsidR="003B7464">
            <w:fldChar w:fldCharType="separate"/>
          </w:r>
          <w:r w:rsidR="003B7464">
            <w:rPr>
              <w:noProof/>
            </w:rPr>
            <w:t xml:space="preserve"> </w:t>
          </w:r>
          <w:r w:rsidR="003B7464" w:rsidRPr="003B7464">
            <w:rPr>
              <w:noProof/>
            </w:rPr>
            <w:t>(Murphy, et al., 2017)</w:t>
          </w:r>
          <w:r w:rsidR="003B7464">
            <w:fldChar w:fldCharType="end"/>
          </w:r>
        </w:sdtContent>
      </w:sdt>
      <w:r w:rsidR="003B7464">
        <w:t>. However, this study only focused on Primary Education in the UK, meaning that the results may not apply to Secondary Education in the UK</w:t>
      </w:r>
      <w:r w:rsidR="00B16BF7">
        <w:t xml:space="preserve"> or elsewhere</w:t>
      </w:r>
      <w:sdt>
        <w:sdtPr>
          <w:id w:val="359394534"/>
          <w:citation/>
        </w:sdtPr>
        <w:sdtContent>
          <w:r w:rsidR="003B7464">
            <w:fldChar w:fldCharType="begin"/>
          </w:r>
          <w:r w:rsidR="003B7464">
            <w:instrText xml:space="preserve"> CITATION Mur17 \l 2057 </w:instrText>
          </w:r>
          <w:r w:rsidR="003B7464">
            <w:fldChar w:fldCharType="separate"/>
          </w:r>
          <w:r w:rsidR="003B7464">
            <w:rPr>
              <w:noProof/>
            </w:rPr>
            <w:t xml:space="preserve"> </w:t>
          </w:r>
          <w:r w:rsidR="003B7464" w:rsidRPr="003B7464">
            <w:rPr>
              <w:noProof/>
            </w:rPr>
            <w:t>(Murphy, et al., 2017)</w:t>
          </w:r>
          <w:r w:rsidR="003B7464">
            <w:fldChar w:fldCharType="end"/>
          </w:r>
        </w:sdtContent>
      </w:sdt>
      <w:r w:rsidR="003B7464">
        <w:t>.</w:t>
      </w:r>
      <w:r w:rsidR="00C91D5A">
        <w:t xml:space="preserve"> Furthermore, the use of lesson study can provide issues such as collecting data which is not useful as ‘Case Pupils’ can go off topic in interviews</w:t>
      </w:r>
      <w:sdt>
        <w:sdtPr>
          <w:id w:val="-687596134"/>
          <w:citation/>
        </w:sdtPr>
        <w:sdtContent>
          <w:r w:rsidR="00C91D5A">
            <w:fldChar w:fldCharType="begin"/>
          </w:r>
          <w:r w:rsidR="00C91D5A">
            <w:instrText xml:space="preserve"> CITATION Ama18 \l 2057 </w:instrText>
          </w:r>
          <w:r w:rsidR="00C91D5A">
            <w:fldChar w:fldCharType="separate"/>
          </w:r>
          <w:r w:rsidR="00C91D5A">
            <w:rPr>
              <w:noProof/>
            </w:rPr>
            <w:t xml:space="preserve"> </w:t>
          </w:r>
          <w:r w:rsidR="00C91D5A" w:rsidRPr="00C91D5A">
            <w:rPr>
              <w:noProof/>
            </w:rPr>
            <w:t>(Amador &amp; Carter, 2018)</w:t>
          </w:r>
          <w:r w:rsidR="00C91D5A">
            <w:fldChar w:fldCharType="end"/>
          </w:r>
        </w:sdtContent>
      </w:sdt>
      <w:r w:rsidR="00C91D5A">
        <w:t>.</w:t>
      </w:r>
      <w:r w:rsidR="008A579E">
        <w:t xml:space="preserve"> Furthermore, there is also the issue of Power relations where data may not be valid if collected by a teacher from a pupil</w:t>
      </w:r>
      <w:sdt>
        <w:sdtPr>
          <w:id w:val="-1113511527"/>
          <w:citation/>
        </w:sdtPr>
        <w:sdtContent>
          <w:r w:rsidR="008A579E">
            <w:fldChar w:fldCharType="begin"/>
          </w:r>
          <w:r w:rsidR="008A579E">
            <w:instrText xml:space="preserve"> CITATION Ama18 \l 2057 </w:instrText>
          </w:r>
          <w:r w:rsidR="008A579E">
            <w:fldChar w:fldCharType="separate"/>
          </w:r>
          <w:r w:rsidR="008A579E">
            <w:rPr>
              <w:noProof/>
            </w:rPr>
            <w:t xml:space="preserve"> </w:t>
          </w:r>
          <w:r w:rsidR="008A579E" w:rsidRPr="008A579E">
            <w:rPr>
              <w:noProof/>
            </w:rPr>
            <w:t>(Amador &amp; Carter, 2018)</w:t>
          </w:r>
          <w:r w:rsidR="008A579E">
            <w:fldChar w:fldCharType="end"/>
          </w:r>
        </w:sdtContent>
      </w:sdt>
      <w:r w:rsidR="008A579E">
        <w:t xml:space="preserve">. </w:t>
      </w:r>
      <w:r w:rsidR="00B16BF7">
        <w:t>Moreover</w:t>
      </w:r>
      <w:r w:rsidR="008A579E">
        <w:t xml:space="preserve">, there are questions </w:t>
      </w:r>
      <w:r w:rsidR="00B16BF7">
        <w:t xml:space="preserve">regarding whether </w:t>
      </w:r>
      <w:r w:rsidR="008A579E">
        <w:t>there</w:t>
      </w:r>
      <w:r w:rsidR="00B16BF7">
        <w:t xml:space="preserve"> is the time and</w:t>
      </w:r>
      <w:r w:rsidR="008A579E">
        <w:t xml:space="preserve"> space to do lesson stud</w:t>
      </w:r>
      <w:r w:rsidR="00B16BF7">
        <w:t>ies</w:t>
      </w:r>
      <w:r w:rsidR="008A579E">
        <w:t xml:space="preserve"> within schools with increasing teacher workload and budget cuts</w:t>
      </w:r>
      <w:sdt>
        <w:sdtPr>
          <w:id w:val="-1603023453"/>
          <w:citation/>
        </w:sdtPr>
        <w:sdtContent>
          <w:r w:rsidR="00396B4A">
            <w:fldChar w:fldCharType="begin"/>
          </w:r>
          <w:r w:rsidR="00396B4A">
            <w:instrText xml:space="preserve"> CITATION Tea17 \l 2057 </w:instrText>
          </w:r>
          <w:r w:rsidR="00396B4A">
            <w:fldChar w:fldCharType="separate"/>
          </w:r>
          <w:r w:rsidR="00396B4A">
            <w:rPr>
              <w:noProof/>
            </w:rPr>
            <w:t xml:space="preserve"> </w:t>
          </w:r>
          <w:r w:rsidR="00396B4A" w:rsidRPr="00396B4A">
            <w:rPr>
              <w:noProof/>
            </w:rPr>
            <w:t>(Teacher Development Trust, 2017)</w:t>
          </w:r>
          <w:r w:rsidR="00396B4A">
            <w:fldChar w:fldCharType="end"/>
          </w:r>
        </w:sdtContent>
      </w:sdt>
      <w:r w:rsidR="00396B4A">
        <w:t xml:space="preserve">. Nevertheless, the Teacher Development </w:t>
      </w:r>
      <w:r w:rsidR="00396B4A">
        <w:lastRenderedPageBreak/>
        <w:t>Trust is a charity which looks to develop teachers and may not consider the benefits of lesson study for learners</w:t>
      </w:r>
      <w:r w:rsidR="00301A6A">
        <w:t xml:space="preserve"> as they may be a biased source as they help represent teachers</w:t>
      </w:r>
      <w:sdt>
        <w:sdtPr>
          <w:id w:val="1170140588"/>
          <w:citation/>
        </w:sdtPr>
        <w:sdtContent>
          <w:r w:rsidR="005834EA">
            <w:fldChar w:fldCharType="begin"/>
          </w:r>
          <w:r w:rsidR="005834EA">
            <w:instrText xml:space="preserve"> CITATION Tea20 \l 2057 </w:instrText>
          </w:r>
          <w:r w:rsidR="005834EA">
            <w:fldChar w:fldCharType="separate"/>
          </w:r>
          <w:r w:rsidR="005834EA">
            <w:rPr>
              <w:noProof/>
            </w:rPr>
            <w:t xml:space="preserve"> </w:t>
          </w:r>
          <w:r w:rsidR="005834EA" w:rsidRPr="005834EA">
            <w:rPr>
              <w:noProof/>
            </w:rPr>
            <w:t>(Teacher Development Trust, 2020)</w:t>
          </w:r>
          <w:r w:rsidR="005834EA">
            <w:fldChar w:fldCharType="end"/>
          </w:r>
        </w:sdtContent>
      </w:sdt>
      <w:r w:rsidR="005834EA">
        <w:t>.</w:t>
      </w:r>
    </w:p>
    <w:p w14:paraId="56EAE567" w14:textId="66351F20" w:rsidR="005834EA" w:rsidRDefault="005834EA" w:rsidP="004D2FF6">
      <w:pPr>
        <w:spacing w:line="360" w:lineRule="auto"/>
      </w:pPr>
    </w:p>
    <w:p w14:paraId="59AF7231" w14:textId="11EDCCC9" w:rsidR="004A25DC" w:rsidRDefault="005834EA" w:rsidP="004D2FF6">
      <w:pPr>
        <w:spacing w:line="360" w:lineRule="auto"/>
      </w:pPr>
      <w:r>
        <w:t>Through the use of lesson study as the research method it encompasses a few different types of research method. Firstly, it uses an observational approach to research</w:t>
      </w:r>
      <w:r w:rsidR="0001225F">
        <w:t xml:space="preserve"> which is where the researcher observes the natural course of events with or without control groups</w:t>
      </w:r>
      <w:sdt>
        <w:sdtPr>
          <w:id w:val="-250275365"/>
          <w:citation/>
        </w:sdtPr>
        <w:sdtContent>
          <w:r w:rsidR="0001225F">
            <w:fldChar w:fldCharType="begin"/>
          </w:r>
          <w:r w:rsidR="0001225F">
            <w:instrText xml:space="preserve"> CITATION Nat20 \l 2057 </w:instrText>
          </w:r>
          <w:r w:rsidR="0001225F">
            <w:fldChar w:fldCharType="separate"/>
          </w:r>
          <w:r w:rsidR="0001225F">
            <w:rPr>
              <w:noProof/>
            </w:rPr>
            <w:t xml:space="preserve"> </w:t>
          </w:r>
          <w:r w:rsidR="0001225F" w:rsidRPr="0001225F">
            <w:rPr>
              <w:noProof/>
            </w:rPr>
            <w:t>(National Institute for Health and Care Excellence, 2020)</w:t>
          </w:r>
          <w:r w:rsidR="0001225F">
            <w:fldChar w:fldCharType="end"/>
          </w:r>
        </w:sdtContent>
      </w:sdt>
      <w:r w:rsidR="0001225F">
        <w:t>. Observational Research is linked to an ethnographic</w:t>
      </w:r>
      <w:r w:rsidR="007F0F86">
        <w:t xml:space="preserve"> methodology to research which looks to focus on detail of the context of the situation</w:t>
      </w:r>
      <w:sdt>
        <w:sdtPr>
          <w:id w:val="-2035335213"/>
          <w:citation/>
        </w:sdtPr>
        <w:sdtContent>
          <w:r w:rsidR="007F0F86">
            <w:fldChar w:fldCharType="begin"/>
          </w:r>
          <w:r w:rsidR="007F0F86">
            <w:instrText xml:space="preserve"> CITATION Bla161 \l 2057 </w:instrText>
          </w:r>
          <w:r w:rsidR="007F0F86">
            <w:fldChar w:fldCharType="separate"/>
          </w:r>
          <w:r w:rsidR="007F0F86">
            <w:rPr>
              <w:noProof/>
            </w:rPr>
            <w:t xml:space="preserve"> </w:t>
          </w:r>
          <w:r w:rsidR="007F0F86" w:rsidRPr="007F0F86">
            <w:rPr>
              <w:noProof/>
            </w:rPr>
            <w:t>(Blandford, et al., 2016)</w:t>
          </w:r>
          <w:r w:rsidR="007F0F86">
            <w:fldChar w:fldCharType="end"/>
          </w:r>
        </w:sdtContent>
      </w:sdt>
      <w:r w:rsidR="007F0F86">
        <w:t>.</w:t>
      </w:r>
      <w:r w:rsidR="00365BC5">
        <w:t xml:space="preserve"> Being cheap and quicker </w:t>
      </w:r>
      <w:r w:rsidR="00DD4C37">
        <w:t>in comparison</w:t>
      </w:r>
      <w:r w:rsidR="00365BC5">
        <w:t xml:space="preserve"> to experimental research is a key feature of observational research</w:t>
      </w:r>
      <w:sdt>
        <w:sdtPr>
          <w:id w:val="579646260"/>
          <w:citation/>
        </w:sdtPr>
        <w:sdtContent>
          <w:r w:rsidR="00365BC5">
            <w:fldChar w:fldCharType="begin"/>
          </w:r>
          <w:r w:rsidR="00365BC5">
            <w:instrText xml:space="preserve"> CITATION Man031 \l 2057 </w:instrText>
          </w:r>
          <w:r w:rsidR="00365BC5">
            <w:fldChar w:fldCharType="separate"/>
          </w:r>
          <w:r w:rsidR="00365BC5">
            <w:rPr>
              <w:noProof/>
            </w:rPr>
            <w:t xml:space="preserve"> </w:t>
          </w:r>
          <w:r w:rsidR="00365BC5" w:rsidRPr="00365BC5">
            <w:rPr>
              <w:noProof/>
            </w:rPr>
            <w:t>(Mann, 2003)</w:t>
          </w:r>
          <w:r w:rsidR="00365BC5">
            <w:fldChar w:fldCharType="end"/>
          </w:r>
        </w:sdtContent>
      </w:sdt>
      <w:r w:rsidR="0042109D">
        <w:t>. Specifically, a non-participant observation was used which is when the researcher does not get involved and looks onto an unfolding situation</w:t>
      </w:r>
      <w:sdt>
        <w:sdtPr>
          <w:id w:val="-821492502"/>
          <w:citation/>
        </w:sdtPr>
        <w:sdtContent>
          <w:r w:rsidR="0042109D">
            <w:fldChar w:fldCharType="begin"/>
          </w:r>
          <w:r w:rsidR="0042109D">
            <w:instrText xml:space="preserve">CITATION Dav071 \l 2057 </w:instrText>
          </w:r>
          <w:r w:rsidR="0042109D">
            <w:fldChar w:fldCharType="separate"/>
          </w:r>
          <w:r w:rsidR="0042109D">
            <w:rPr>
              <w:noProof/>
            </w:rPr>
            <w:t xml:space="preserve"> </w:t>
          </w:r>
          <w:r w:rsidR="0042109D" w:rsidRPr="0042109D">
            <w:rPr>
              <w:noProof/>
            </w:rPr>
            <w:t>(Davies &amp; Hughes, 2007)</w:t>
          </w:r>
          <w:r w:rsidR="0042109D">
            <w:fldChar w:fldCharType="end"/>
          </w:r>
        </w:sdtContent>
      </w:sdt>
      <w:r w:rsidR="006B1E79">
        <w:t>. The advantages of using non-participant observation is that it leads to lower levels of bias compared to using a participant observation</w:t>
      </w:r>
      <w:sdt>
        <w:sdtPr>
          <w:id w:val="454379904"/>
          <w:citation/>
        </w:sdtPr>
        <w:sdtContent>
          <w:r w:rsidR="006B1E79">
            <w:fldChar w:fldCharType="begin"/>
          </w:r>
          <w:r w:rsidR="006B1E79">
            <w:instrText xml:space="preserve"> CITATION Soc20 \l 2057 </w:instrText>
          </w:r>
          <w:r w:rsidR="006B1E79">
            <w:fldChar w:fldCharType="separate"/>
          </w:r>
          <w:r w:rsidR="006B1E79">
            <w:rPr>
              <w:noProof/>
            </w:rPr>
            <w:t xml:space="preserve"> </w:t>
          </w:r>
          <w:r w:rsidR="006B1E79" w:rsidRPr="006B1E79">
            <w:rPr>
              <w:noProof/>
            </w:rPr>
            <w:t>(Social Research Methods, 2020)</w:t>
          </w:r>
          <w:r w:rsidR="006B1E79">
            <w:fldChar w:fldCharType="end"/>
          </w:r>
        </w:sdtContent>
      </w:sdt>
      <w:r w:rsidR="006B1E79">
        <w:t>. However, it can lead to what is known as the ‘Hawthorne Effect’ where participants know they are being researched so they a</w:t>
      </w:r>
      <w:r w:rsidR="005A497F">
        <w:t>lter their behaviour</w:t>
      </w:r>
      <w:sdt>
        <w:sdtPr>
          <w:id w:val="-2060392494"/>
          <w:citation/>
        </w:sdtPr>
        <w:sdtContent>
          <w:r w:rsidR="006B1E79">
            <w:fldChar w:fldCharType="begin"/>
          </w:r>
          <w:r w:rsidR="006B1E79">
            <w:instrText xml:space="preserve"> CITATION Bla161 \l 2057 </w:instrText>
          </w:r>
          <w:r w:rsidR="006B1E79">
            <w:fldChar w:fldCharType="separate"/>
          </w:r>
          <w:r w:rsidR="006B1E79">
            <w:rPr>
              <w:noProof/>
            </w:rPr>
            <w:t xml:space="preserve"> </w:t>
          </w:r>
          <w:r w:rsidR="006B1E79" w:rsidRPr="006B1E79">
            <w:rPr>
              <w:noProof/>
            </w:rPr>
            <w:t>(Blandford, et al., 2016)</w:t>
          </w:r>
          <w:r w:rsidR="006B1E79">
            <w:fldChar w:fldCharType="end"/>
          </w:r>
        </w:sdtContent>
      </w:sdt>
      <w:r w:rsidR="006B1E79">
        <w:t>.</w:t>
      </w:r>
      <w:r w:rsidR="009B15FD">
        <w:t xml:space="preserve"> In order to collect the non-participant observations, an observation table was used which focused on three ‘Case Pupils’.</w:t>
      </w:r>
      <w:r w:rsidR="00DD4C37">
        <w:t xml:space="preserve"> </w:t>
      </w:r>
      <w:r w:rsidR="00DD4C37" w:rsidRPr="00DD4C37">
        <w:rPr>
          <w:color w:val="000000" w:themeColor="text1"/>
        </w:rPr>
        <w:t>The observation table were linked to the revised Bloom’s Taxonomy as the highest achieving pupils would be able to create their own analogy</w:t>
      </w:r>
      <w:r w:rsidR="00DD4C37">
        <w:rPr>
          <w:color w:val="000000" w:themeColor="text1"/>
        </w:rPr>
        <w:t xml:space="preserve"> for example</w:t>
      </w:r>
      <w:r w:rsidR="00DD4C37" w:rsidRPr="00DD4C37">
        <w:rPr>
          <w:color w:val="000000" w:themeColor="text1"/>
        </w:rPr>
        <w:t xml:space="preserve"> (See Appendix).</w:t>
      </w:r>
      <w:r w:rsidR="00DD4C37">
        <w:t xml:space="preserve"> </w:t>
      </w:r>
      <w:r w:rsidR="009B15FD">
        <w:t>In addition to this, focus group interviews were used at the end of each observed lesson. A focus group interview is as group of individuals who focus discussion on a topic or group of topics</w:t>
      </w:r>
      <w:sdt>
        <w:sdtPr>
          <w:id w:val="669917432"/>
          <w:citation/>
        </w:sdtPr>
        <w:sdtContent>
          <w:r w:rsidR="009B15FD">
            <w:fldChar w:fldCharType="begin"/>
          </w:r>
          <w:r w:rsidR="009B15FD">
            <w:instrText xml:space="preserve"> CITATION Dil13 \l 2057 </w:instrText>
          </w:r>
          <w:r w:rsidR="009B15FD">
            <w:fldChar w:fldCharType="separate"/>
          </w:r>
          <w:r w:rsidR="009B15FD">
            <w:rPr>
              <w:noProof/>
            </w:rPr>
            <w:t xml:space="preserve"> </w:t>
          </w:r>
          <w:r w:rsidR="009B15FD" w:rsidRPr="009B15FD">
            <w:rPr>
              <w:noProof/>
            </w:rPr>
            <w:t>(Dilshad &amp; Latif, 2013)</w:t>
          </w:r>
          <w:r w:rsidR="009B15FD">
            <w:fldChar w:fldCharType="end"/>
          </w:r>
        </w:sdtContent>
      </w:sdt>
      <w:r w:rsidR="00A85F6E">
        <w:t xml:space="preserve"> and it helps collect in-depth qualitative data</w:t>
      </w:r>
      <w:sdt>
        <w:sdtPr>
          <w:id w:val="-1022934750"/>
          <w:citation/>
        </w:sdtPr>
        <w:sdtContent>
          <w:r w:rsidR="00A3232A">
            <w:fldChar w:fldCharType="begin"/>
          </w:r>
          <w:r w:rsidR="00A3232A">
            <w:instrText xml:space="preserve"> CITATION Nyu18 \l 2057 </w:instrText>
          </w:r>
          <w:r w:rsidR="00A3232A">
            <w:fldChar w:fldCharType="separate"/>
          </w:r>
          <w:r w:rsidR="00A3232A">
            <w:rPr>
              <w:noProof/>
            </w:rPr>
            <w:t xml:space="preserve"> </w:t>
          </w:r>
          <w:r w:rsidR="00A3232A" w:rsidRPr="00A3232A">
            <w:rPr>
              <w:noProof/>
            </w:rPr>
            <w:t>(Nyumba, et al., 2018)</w:t>
          </w:r>
          <w:r w:rsidR="00A3232A">
            <w:fldChar w:fldCharType="end"/>
          </w:r>
        </w:sdtContent>
      </w:sdt>
      <w:r w:rsidR="00A3232A">
        <w:t>.</w:t>
      </w:r>
      <w:r w:rsidR="00183638">
        <w:t xml:space="preserve"> However, the use of focus groups can have some disadvantages such as some participants speaking more than others</w:t>
      </w:r>
      <w:r w:rsidR="00323220">
        <w:t xml:space="preserve"> and that it may be difficult to transcribe everything which is said during the focus group interview</w:t>
      </w:r>
      <w:sdt>
        <w:sdtPr>
          <w:id w:val="1814820576"/>
          <w:citation/>
        </w:sdtPr>
        <w:sdtContent>
          <w:r w:rsidR="00323220">
            <w:fldChar w:fldCharType="begin"/>
          </w:r>
          <w:r w:rsidR="00323220">
            <w:instrText xml:space="preserve"> CITATION Dil13 \l 2057 </w:instrText>
          </w:r>
          <w:r w:rsidR="00323220">
            <w:fldChar w:fldCharType="separate"/>
          </w:r>
          <w:r w:rsidR="00323220">
            <w:rPr>
              <w:noProof/>
            </w:rPr>
            <w:t xml:space="preserve"> </w:t>
          </w:r>
          <w:r w:rsidR="00323220" w:rsidRPr="00323220">
            <w:rPr>
              <w:noProof/>
            </w:rPr>
            <w:t>(Dilshad &amp; Latif, 2013)</w:t>
          </w:r>
          <w:r w:rsidR="00323220">
            <w:fldChar w:fldCharType="end"/>
          </w:r>
        </w:sdtContent>
      </w:sdt>
      <w:r w:rsidR="00323220">
        <w:t>.</w:t>
      </w:r>
      <w:r w:rsidR="0053156C">
        <w:t xml:space="preserve"> From the focus group interview a transcript was noted by one of the present researcher</w:t>
      </w:r>
      <w:r w:rsidR="00E93A92">
        <w:t xml:space="preserve">s (see Appendix). </w:t>
      </w:r>
    </w:p>
    <w:p w14:paraId="0F375501" w14:textId="7FA17725" w:rsidR="00396B4A" w:rsidRDefault="00396B4A" w:rsidP="004D2FF6">
      <w:pPr>
        <w:spacing w:line="360" w:lineRule="auto"/>
      </w:pPr>
    </w:p>
    <w:p w14:paraId="7064CEBC" w14:textId="001AC36B" w:rsidR="006E75AF" w:rsidRDefault="004D2FF6" w:rsidP="004D2FF6">
      <w:pPr>
        <w:spacing w:line="360" w:lineRule="auto"/>
        <w:rPr>
          <w:b/>
          <w:bCs/>
          <w:u w:val="single"/>
        </w:rPr>
      </w:pPr>
      <w:r>
        <w:rPr>
          <w:b/>
          <w:bCs/>
          <w:u w:val="single"/>
        </w:rPr>
        <w:t>4.0-</w:t>
      </w:r>
      <w:r w:rsidR="00B149FD">
        <w:rPr>
          <w:b/>
          <w:bCs/>
          <w:u w:val="single"/>
        </w:rPr>
        <w:t>Ethical Considerations</w:t>
      </w:r>
    </w:p>
    <w:p w14:paraId="3A22AE80" w14:textId="00C65D44" w:rsidR="00B149FD" w:rsidRDefault="00B149FD" w:rsidP="004D2FF6">
      <w:pPr>
        <w:spacing w:line="360" w:lineRule="auto"/>
      </w:pPr>
      <w:r>
        <w:t>When conducting research within a classroom, there are specific ethical considerations which need to be taken into account.</w:t>
      </w:r>
      <w:r w:rsidR="00CD2E14">
        <w:t xml:space="preserve"> Firstly, British Educational Research Association (BERA) guidelines state that in order for participants to take part in research they need to </w:t>
      </w:r>
      <w:r w:rsidR="00CD2E14">
        <w:lastRenderedPageBreak/>
        <w:t>give full informed consent</w:t>
      </w:r>
      <w:sdt>
        <w:sdtPr>
          <w:id w:val="-1233391722"/>
          <w:citation/>
        </w:sdtPr>
        <w:sdtContent>
          <w:r w:rsidR="00CD2E14">
            <w:fldChar w:fldCharType="begin"/>
          </w:r>
          <w:r w:rsidR="00CD2E14">
            <w:instrText xml:space="preserve"> CITATION Bri18 \l 2057 </w:instrText>
          </w:r>
          <w:r w:rsidR="00CD2E14">
            <w:fldChar w:fldCharType="separate"/>
          </w:r>
          <w:r w:rsidR="00CD2E14">
            <w:rPr>
              <w:noProof/>
            </w:rPr>
            <w:t xml:space="preserve"> </w:t>
          </w:r>
          <w:r w:rsidR="00CD2E14" w:rsidRPr="00CD2E14">
            <w:rPr>
              <w:noProof/>
            </w:rPr>
            <w:t>(British Educational Research Association, 2018)</w:t>
          </w:r>
          <w:r w:rsidR="00CD2E14">
            <w:fldChar w:fldCharType="end"/>
          </w:r>
        </w:sdtContent>
      </w:sdt>
      <w:r w:rsidR="00CD2E14">
        <w:t>. This is important not just for the participants but for the participants parents as well</w:t>
      </w:r>
      <w:sdt>
        <w:sdtPr>
          <w:id w:val="-517084027"/>
          <w:citation/>
        </w:sdtPr>
        <w:sdtContent>
          <w:r w:rsidR="00CD2E14">
            <w:fldChar w:fldCharType="begin"/>
          </w:r>
          <w:r w:rsidR="00CD2E14">
            <w:instrText xml:space="preserve"> CITATION Bri18 \l 2057 </w:instrText>
          </w:r>
          <w:r w:rsidR="00CD2E14">
            <w:fldChar w:fldCharType="separate"/>
          </w:r>
          <w:r w:rsidR="00CD2E14">
            <w:rPr>
              <w:noProof/>
            </w:rPr>
            <w:t xml:space="preserve"> </w:t>
          </w:r>
          <w:r w:rsidR="00CD2E14" w:rsidRPr="00CD2E14">
            <w:rPr>
              <w:noProof/>
            </w:rPr>
            <w:t>(British Educational Research Association, 2018)</w:t>
          </w:r>
          <w:r w:rsidR="00CD2E14">
            <w:fldChar w:fldCharType="end"/>
          </w:r>
        </w:sdtContent>
      </w:sdt>
      <w:r w:rsidR="00CD2E14">
        <w:t>. Additionally, it was important to make clear to the participants that they or their parents had the right to withdraw at any opportunity throughout the research</w:t>
      </w:r>
      <w:sdt>
        <w:sdtPr>
          <w:id w:val="255566293"/>
          <w:citation/>
        </w:sdtPr>
        <w:sdtContent>
          <w:r w:rsidR="00D5656F">
            <w:fldChar w:fldCharType="begin"/>
          </w:r>
          <w:r w:rsidR="00D5656F">
            <w:instrText xml:space="preserve"> CITATION Bri18 \l 2057 </w:instrText>
          </w:r>
          <w:r w:rsidR="00D5656F">
            <w:fldChar w:fldCharType="separate"/>
          </w:r>
          <w:r w:rsidR="00D5656F">
            <w:rPr>
              <w:noProof/>
            </w:rPr>
            <w:t xml:space="preserve"> </w:t>
          </w:r>
          <w:r w:rsidR="00D5656F" w:rsidRPr="00D5656F">
            <w:rPr>
              <w:noProof/>
            </w:rPr>
            <w:t>(British Educational Research Association, 2018)</w:t>
          </w:r>
          <w:r w:rsidR="00D5656F">
            <w:fldChar w:fldCharType="end"/>
          </w:r>
        </w:sdtContent>
      </w:sdt>
      <w:r w:rsidR="00D5656F">
        <w:t>.</w:t>
      </w:r>
      <w:r w:rsidR="00B91981">
        <w:t xml:space="preserve"> Moreover, it is important to consider the safeguarding and well-being of both participants and researchers whilst keeping the identity of all participants anonymous and to maintain confidentiality throughout and after the research</w:t>
      </w:r>
      <w:sdt>
        <w:sdtPr>
          <w:id w:val="1493991019"/>
          <w:citation/>
        </w:sdtPr>
        <w:sdtContent>
          <w:r w:rsidR="00B91981">
            <w:fldChar w:fldCharType="begin"/>
          </w:r>
          <w:r w:rsidR="00B91981">
            <w:instrText xml:space="preserve"> CITATION Bri18 \l 2057 </w:instrText>
          </w:r>
          <w:r w:rsidR="00B91981">
            <w:fldChar w:fldCharType="separate"/>
          </w:r>
          <w:r w:rsidR="00B91981">
            <w:rPr>
              <w:noProof/>
            </w:rPr>
            <w:t xml:space="preserve"> </w:t>
          </w:r>
          <w:r w:rsidR="00B91981" w:rsidRPr="00B91981">
            <w:rPr>
              <w:noProof/>
            </w:rPr>
            <w:t>(British Educational Research Association, 2018)</w:t>
          </w:r>
          <w:r w:rsidR="00B91981">
            <w:fldChar w:fldCharType="end"/>
          </w:r>
        </w:sdtContent>
      </w:sdt>
      <w:r w:rsidR="00B91981">
        <w:t>. In order to achieve this, the data collected will be only recorded on paper and to be put away in a locked drawer which will be destroyed once the research is over</w:t>
      </w:r>
      <w:r w:rsidR="00055E0D">
        <w:t xml:space="preserve"> and during the research identifiable characteristics of pupils will not be mentioned.</w:t>
      </w:r>
    </w:p>
    <w:p w14:paraId="63407B33" w14:textId="77777777" w:rsidR="00375088" w:rsidRPr="00B149FD" w:rsidRDefault="00375088" w:rsidP="004D2FF6">
      <w:pPr>
        <w:spacing w:line="360" w:lineRule="auto"/>
      </w:pPr>
    </w:p>
    <w:p w14:paraId="2E3E2F89" w14:textId="3A31240A" w:rsidR="004A25DC" w:rsidRDefault="004A25DC" w:rsidP="004D2FF6">
      <w:pPr>
        <w:spacing w:line="360" w:lineRule="auto"/>
      </w:pPr>
    </w:p>
    <w:p w14:paraId="0EB95659" w14:textId="46A680F2" w:rsidR="00396B4A" w:rsidRPr="00E64A40" w:rsidRDefault="004D2FF6" w:rsidP="004D2FF6">
      <w:pPr>
        <w:spacing w:line="360" w:lineRule="auto"/>
        <w:rPr>
          <w:b/>
          <w:bCs/>
          <w:u w:val="single"/>
        </w:rPr>
      </w:pPr>
      <w:r>
        <w:rPr>
          <w:b/>
          <w:bCs/>
          <w:u w:val="single"/>
        </w:rPr>
        <w:t>5.0-</w:t>
      </w:r>
      <w:r w:rsidR="00E64A40">
        <w:rPr>
          <w:b/>
          <w:bCs/>
          <w:u w:val="single"/>
        </w:rPr>
        <w:t>Lesson Study 1 Results and Analysis.</w:t>
      </w:r>
    </w:p>
    <w:p w14:paraId="1851EA21" w14:textId="42BC3C7F" w:rsidR="00D5656F" w:rsidRDefault="00E64A40" w:rsidP="004D2FF6">
      <w:pPr>
        <w:spacing w:line="360" w:lineRule="auto"/>
      </w:pPr>
      <w:r>
        <w:t xml:space="preserve">Class One in School X is a mixed-ability and gender class with approximately twenty-nine pupils </w:t>
      </w:r>
      <w:r w:rsidR="00172813">
        <w:t>aged between eleven and twelve in</w:t>
      </w:r>
      <w:r>
        <w:t xml:space="preserve">. The Lesson Focus was </w:t>
      </w:r>
      <w:r w:rsidR="006040FB">
        <w:t>on Fairtrade, The Co</w:t>
      </w:r>
      <w:r w:rsidR="00172813">
        <w:t>-</w:t>
      </w:r>
      <w:r w:rsidR="006040FB">
        <w:t>operative Group and whether Fairtrade is socially sustainable?</w:t>
      </w:r>
      <w:r>
        <w:t xml:space="preserve"> The Learning Objectives</w:t>
      </w:r>
      <w:r w:rsidR="00DD4C37">
        <w:t xml:space="preserve"> of the lesson</w:t>
      </w:r>
      <w:r>
        <w:t xml:space="preserve"> were </w:t>
      </w:r>
      <w:r w:rsidR="006040FB">
        <w:t>that pupils should be able to:</w:t>
      </w:r>
    </w:p>
    <w:p w14:paraId="062BC9D6" w14:textId="7670C03A" w:rsidR="006040FB" w:rsidRDefault="006040FB" w:rsidP="004D2FF6">
      <w:pPr>
        <w:pStyle w:val="ListParagraph"/>
        <w:numPr>
          <w:ilvl w:val="0"/>
          <w:numId w:val="2"/>
        </w:numPr>
        <w:spacing w:line="360" w:lineRule="auto"/>
      </w:pPr>
      <w:r>
        <w:t>Estimate and give reasoning as to why they feel Fairtrade is economically fair or not?</w:t>
      </w:r>
    </w:p>
    <w:p w14:paraId="11FA9335" w14:textId="782D0A4D" w:rsidR="006040FB" w:rsidRDefault="006040FB" w:rsidP="004D2FF6">
      <w:pPr>
        <w:pStyle w:val="ListParagraph"/>
        <w:numPr>
          <w:ilvl w:val="0"/>
          <w:numId w:val="2"/>
        </w:numPr>
        <w:spacing w:line="360" w:lineRule="auto"/>
      </w:pPr>
      <w:r>
        <w:t>Describe and understand what social sustainability is.</w:t>
      </w:r>
    </w:p>
    <w:p w14:paraId="6D82EF57" w14:textId="240BF7E5" w:rsidR="006040FB" w:rsidRDefault="006040FB" w:rsidP="004D2FF6">
      <w:pPr>
        <w:pStyle w:val="ListParagraph"/>
        <w:numPr>
          <w:ilvl w:val="0"/>
          <w:numId w:val="2"/>
        </w:numPr>
        <w:spacing w:line="360" w:lineRule="auto"/>
      </w:pPr>
      <w:r>
        <w:t xml:space="preserve">Understand and describe how the partnership between Fairtrade </w:t>
      </w:r>
      <w:r w:rsidR="00172813">
        <w:t>and the Co-operative works, the products sold and how it can help social sustainability.</w:t>
      </w:r>
    </w:p>
    <w:p w14:paraId="7A31BEFD" w14:textId="69940E88" w:rsidR="00172813" w:rsidRDefault="00172813" w:rsidP="004D2FF6">
      <w:pPr>
        <w:pStyle w:val="ListParagraph"/>
        <w:numPr>
          <w:ilvl w:val="0"/>
          <w:numId w:val="2"/>
        </w:numPr>
        <w:spacing w:line="360" w:lineRule="auto"/>
      </w:pPr>
      <w:r>
        <w:t>Understand and be able to describe the History between Fairtrade and the Co-Operative Group.</w:t>
      </w:r>
    </w:p>
    <w:p w14:paraId="6FFE75CF" w14:textId="07A14C69" w:rsidR="00C37017" w:rsidRDefault="00AF429B" w:rsidP="004D2FF6">
      <w:pPr>
        <w:spacing w:line="360" w:lineRule="auto"/>
      </w:pPr>
      <w:r>
        <w:t xml:space="preserve">As the focus of the research was </w:t>
      </w:r>
      <w:r w:rsidR="00DD4C37">
        <w:t>a</w:t>
      </w:r>
      <w:r>
        <w:t>nalogies and how they can help improve understanding, the beginning of the Lesson focused on the example of Fairtrade Sugar for pupils to deem if Fairtrade is Economically Fair or not. In order to do this, pupils were encouraged to do an individual task of estimating how much each person in the sugar supply chain received per bag of sugar sold. This was then followed by a group discussion which was the class was then allowed to vote on whether Fairtrade is Economically fair or not.</w:t>
      </w:r>
      <w:r w:rsidR="00033677">
        <w:t xml:space="preserve"> Afterwards, the analogy for Social Sustainability and whether it is fair or not was to look at the Co-Operative Group’s partnership with Fairtrade. To make it more applicable to students the analogy of </w:t>
      </w:r>
      <w:r w:rsidR="00033677">
        <w:lastRenderedPageBreak/>
        <w:t xml:space="preserve">their local Co-Operative store to the school was used. The pupils were encouraged to fill in a worksheet based on different activities and teaching methods such as Direct Teaching, Pupil-Led Discussion and making notes from a video. A mix of teaching styles in lessons is something being encouraged by the </w:t>
      </w:r>
      <w:r w:rsidR="001B5392">
        <w:t>new Curriculum which is due to be implemented in 2022</w:t>
      </w:r>
      <w:sdt>
        <w:sdtPr>
          <w:id w:val="1872099561"/>
          <w:citation/>
        </w:sdtPr>
        <w:sdtContent>
          <w:r w:rsidR="001B5392">
            <w:fldChar w:fldCharType="begin"/>
          </w:r>
          <w:r w:rsidR="001B5392">
            <w:instrText xml:space="preserve"> CITATION Don152 \l 2057 </w:instrText>
          </w:r>
          <w:r w:rsidR="001B5392">
            <w:fldChar w:fldCharType="separate"/>
          </w:r>
          <w:r w:rsidR="001B5392">
            <w:rPr>
              <w:noProof/>
            </w:rPr>
            <w:t xml:space="preserve"> </w:t>
          </w:r>
          <w:r w:rsidR="001B5392" w:rsidRPr="001B5392">
            <w:rPr>
              <w:noProof/>
            </w:rPr>
            <w:t>(Donaldson, 2015)</w:t>
          </w:r>
          <w:r w:rsidR="001B5392">
            <w:fldChar w:fldCharType="end"/>
          </w:r>
        </w:sdtContent>
      </w:sdt>
      <w:r w:rsidR="001B5392">
        <w:t>.</w:t>
      </w:r>
      <w:r w:rsidR="003F5A9F">
        <w:t xml:space="preserve"> </w:t>
      </w:r>
      <w:r w:rsidR="00FD11D9">
        <w:t xml:space="preserve">After the lesson </w:t>
      </w:r>
      <w:r w:rsidR="00055E0D">
        <w:t xml:space="preserve">both researchers came together to discuss the three ‘Case Pupils’ during the lesson. It was decided that Pupil A, the </w:t>
      </w:r>
      <w:r w:rsidR="00422BB1">
        <w:t>‘</w:t>
      </w:r>
      <w:r w:rsidR="00055E0D">
        <w:t>Lower-Ability Pupil</w:t>
      </w:r>
      <w:r w:rsidR="00422BB1">
        <w:t>’</w:t>
      </w:r>
      <w:r w:rsidR="00055E0D">
        <w:t xml:space="preserve"> had been placed in the ‘Achieving Objectives’ section</w:t>
      </w:r>
      <w:r w:rsidR="00422BB1">
        <w:t xml:space="preserve"> of the observation table</w:t>
      </w:r>
      <w:r w:rsidR="00055E0D">
        <w:t xml:space="preserve"> as their behaviour was poor throughout the lesson and </w:t>
      </w:r>
      <w:r w:rsidR="00422BB1">
        <w:t>they were</w:t>
      </w:r>
      <w:r w:rsidR="00055E0D">
        <w:t xml:space="preserve"> distracting other learners. However, the disruption was minimal to one area of the classroom and when asked, the pupil was able to contribute to class discussion with excellent understanding, was able to identify the lesson focus, achieve all lesson objectives and create their own analogy based on Fairtrade</w:t>
      </w:r>
      <w:r w:rsidR="00D70608">
        <w:t xml:space="preserve">. </w:t>
      </w:r>
      <w:r w:rsidR="00F07849">
        <w:t>On the other hand, both Pupil B and Pupil C were able to</w:t>
      </w:r>
      <w:r w:rsidR="00422BB1">
        <w:t xml:space="preserve"> be</w:t>
      </w:r>
      <w:r w:rsidR="00F07849">
        <w:t xml:space="preserve"> </w:t>
      </w:r>
      <w:r w:rsidR="00422BB1">
        <w:t>placed</w:t>
      </w:r>
      <w:r w:rsidR="00F07849">
        <w:t xml:space="preserve"> in the ‘Exceeding Objectives’ section of the observation table. This is because both Pupil B and C showed exemplary behaviour throughout the lesson</w:t>
      </w:r>
      <w:r w:rsidR="00FD77E8">
        <w:t xml:space="preserve">, were able to achieve all the learning objectives, answer all questions asked by the teacher and were able to create their own analogy of Fairtrade at the end of the lesson. What may have helped is that Pupil B and Pupil C were sat next to each other in the class. </w:t>
      </w:r>
      <w:r w:rsidR="00F07849">
        <w:t>The only difference between Pupil B and C was that Pupil C was able to describe their analogy with greater confidence.</w:t>
      </w:r>
      <w:r w:rsidR="00C10682">
        <w:t xml:space="preserve"> With regards to whether analogies can help improve understanding for pupils, all pupils felt that the analogies did help their understanding of the content taught to them today and all pupils were able to create an analogy in the focus group interview.</w:t>
      </w:r>
      <w:r w:rsidR="00422BB1">
        <w:t xml:space="preserve"> This illustrated that all pupils had a positive response to the use of analogies within the lesson.</w:t>
      </w:r>
    </w:p>
    <w:p w14:paraId="7EDBFA66" w14:textId="5822041A" w:rsidR="001B5392" w:rsidRDefault="001B5392" w:rsidP="004D2FF6">
      <w:pPr>
        <w:spacing w:line="360" w:lineRule="auto"/>
      </w:pPr>
    </w:p>
    <w:p w14:paraId="2C044CC3" w14:textId="73BB2BA8" w:rsidR="001B5392" w:rsidRDefault="001B5392" w:rsidP="004D2FF6">
      <w:pPr>
        <w:spacing w:line="360" w:lineRule="auto"/>
      </w:pPr>
      <w:r>
        <w:t>After the lesson we used our Reflective Model</w:t>
      </w:r>
      <w:r w:rsidR="00502601">
        <w:t xml:space="preserve"> (See Appendix), The Concrete Experience was actually doing the lesson itself, afterwards we discussed what our feelings were towards the first lesson which we both felt had gone well and that pupil’s had gauged a good understanding of the topic across the different ability pupils. Additionally, we then evaluated what we felt was bad about the experience and we felt that we needed to make it clearer to the pupils what an analogy is so that they were able to identify the analogy in the lesson with greater precision</w:t>
      </w:r>
      <w:r w:rsidR="003F5A9F">
        <w:t xml:space="preserve"> and that the timings of the lesson could be better so that understanding is not impacted as the pupils may have missed something. This led to action plan of making it clear to the pupil’s what the analogy is during the lesson and making sure </w:t>
      </w:r>
      <w:r w:rsidR="003F5A9F">
        <w:lastRenderedPageBreak/>
        <w:t>the timings were better during the lesson.</w:t>
      </w:r>
      <w:r w:rsidR="00837AB2">
        <w:t xml:space="preserve"> This would hopefully lead to a </w:t>
      </w:r>
      <w:r w:rsidR="007D3671">
        <w:t>more effective</w:t>
      </w:r>
      <w:r w:rsidR="00837AB2">
        <w:t xml:space="preserve"> lesson in School Y compared to School X.</w:t>
      </w:r>
    </w:p>
    <w:p w14:paraId="39AD7428" w14:textId="150ADF5F" w:rsidR="00D5656F" w:rsidRDefault="00D5656F" w:rsidP="004D2FF6">
      <w:pPr>
        <w:spacing w:line="360" w:lineRule="auto"/>
      </w:pPr>
    </w:p>
    <w:p w14:paraId="5D2808DD" w14:textId="63E8FFD1" w:rsidR="009179E5" w:rsidRDefault="009179E5" w:rsidP="004D2FF6">
      <w:pPr>
        <w:spacing w:line="360" w:lineRule="auto"/>
      </w:pPr>
    </w:p>
    <w:p w14:paraId="7743800D" w14:textId="73946CC7" w:rsidR="009179E5" w:rsidRDefault="009179E5" w:rsidP="004D2FF6">
      <w:pPr>
        <w:spacing w:line="360" w:lineRule="auto"/>
      </w:pPr>
    </w:p>
    <w:p w14:paraId="201E0A74" w14:textId="32F74BB0" w:rsidR="009179E5" w:rsidRDefault="004D2FF6" w:rsidP="004D2FF6">
      <w:pPr>
        <w:spacing w:line="360" w:lineRule="auto"/>
        <w:rPr>
          <w:b/>
          <w:bCs/>
          <w:u w:val="single"/>
        </w:rPr>
      </w:pPr>
      <w:r>
        <w:rPr>
          <w:b/>
          <w:bCs/>
          <w:u w:val="single"/>
        </w:rPr>
        <w:t>6.0-</w:t>
      </w:r>
      <w:r w:rsidR="009179E5">
        <w:rPr>
          <w:b/>
          <w:bCs/>
          <w:u w:val="single"/>
        </w:rPr>
        <w:t>Lesson Study 2 Results and Analysis</w:t>
      </w:r>
    </w:p>
    <w:p w14:paraId="6FD45D2F" w14:textId="416ABE73" w:rsidR="00AC27BD" w:rsidRDefault="00A055E1" w:rsidP="004D2FF6">
      <w:pPr>
        <w:spacing w:line="360" w:lineRule="auto"/>
      </w:pPr>
      <w:r>
        <w:t xml:space="preserve">The second lesson study took place the following day with Class Two in School Y. Class </w:t>
      </w:r>
      <w:r w:rsidR="00E63A9B">
        <w:t>T</w:t>
      </w:r>
      <w:r>
        <w:t xml:space="preserve">wo has around twenty-seven pupils </w:t>
      </w:r>
      <w:r w:rsidR="00E63A9B">
        <w:t xml:space="preserve">in and the Lesson Focus for them was to look at the </w:t>
      </w:r>
      <w:r w:rsidR="00432705">
        <w:t>F</w:t>
      </w:r>
      <w:r w:rsidR="00E63A9B">
        <w:t xml:space="preserve">eatures of </w:t>
      </w:r>
      <w:r w:rsidR="00432705">
        <w:t>E</w:t>
      </w:r>
      <w:r w:rsidR="00E63A9B">
        <w:t>rosion.</w:t>
      </w:r>
      <w:r w:rsidR="00E32E9F">
        <w:t xml:space="preserve"> This was a completely different topic to what had been looked at the day before.</w:t>
      </w:r>
      <w:r w:rsidR="00E63A9B">
        <w:t xml:space="preserve"> The following learning objectives were set at the start of the lesson:</w:t>
      </w:r>
    </w:p>
    <w:p w14:paraId="58B50B2A" w14:textId="20FE7C95" w:rsidR="00E63A9B" w:rsidRDefault="00E63A9B" w:rsidP="004D2FF6">
      <w:pPr>
        <w:pStyle w:val="ListParagraph"/>
        <w:numPr>
          <w:ilvl w:val="0"/>
          <w:numId w:val="3"/>
        </w:numPr>
        <w:spacing w:line="360" w:lineRule="auto"/>
      </w:pPr>
      <w:r>
        <w:t>Understand how wave cut platforms are formed</w:t>
      </w:r>
    </w:p>
    <w:p w14:paraId="5DFE1241" w14:textId="4FCE5BD7" w:rsidR="00E63A9B" w:rsidRDefault="00E63A9B" w:rsidP="004D2FF6">
      <w:pPr>
        <w:pStyle w:val="ListParagraph"/>
        <w:numPr>
          <w:ilvl w:val="0"/>
          <w:numId w:val="3"/>
        </w:numPr>
        <w:spacing w:line="360" w:lineRule="auto"/>
      </w:pPr>
      <w:r>
        <w:t>Apply Knowledge to illustrate and discuss what happened to Old Harry and his Wife</w:t>
      </w:r>
    </w:p>
    <w:p w14:paraId="3AA6164E" w14:textId="6351D9FA" w:rsidR="00E63A9B" w:rsidRDefault="00E63A9B" w:rsidP="004D2FF6">
      <w:pPr>
        <w:spacing w:line="360" w:lineRule="auto"/>
      </w:pPr>
      <w:r>
        <w:t xml:space="preserve">The lesson began with a video </w:t>
      </w:r>
      <w:r w:rsidR="00E32E9F">
        <w:t>on the different types of erosion, where pupils had to match up the different erosional processes to their definition. After this the pupils watched a further video on how wave cut platforms form and were asked to fill in a worksheet during the video which was played twice. The pupils used both peer and self-assessment to mark the different worksheets. After this the pupils</w:t>
      </w:r>
      <w:r w:rsidR="00562AEC">
        <w:t xml:space="preserve"> did what is known as a ‘carousel’ where a worksheet needs to be filled out throughout the lesson, whilst different information sheets are passed around from table to table. This activity did make the lesson a bit messy and left the</w:t>
      </w:r>
      <w:r w:rsidR="00B46BBC">
        <w:t xml:space="preserve"> </w:t>
      </w:r>
      <w:r w:rsidR="00562AEC">
        <w:t>‘</w:t>
      </w:r>
      <w:r w:rsidR="00B46BBC">
        <w:t>C</w:t>
      </w:r>
      <w:r w:rsidR="00562AEC">
        <w:t xml:space="preserve">ase </w:t>
      </w:r>
      <w:r w:rsidR="00B46BBC">
        <w:t>P</w:t>
      </w:r>
      <w:r w:rsidR="00562AEC">
        <w:t>upils’</w:t>
      </w:r>
      <w:r w:rsidR="00B46BBC">
        <w:t xml:space="preserve"> confused</w:t>
      </w:r>
      <w:r w:rsidR="00562AEC">
        <w:t xml:space="preserve">. Furthermore, the plenary was not </w:t>
      </w:r>
      <w:r w:rsidR="00B46BBC">
        <w:t>completed</w:t>
      </w:r>
      <w:r w:rsidR="00562AEC">
        <w:t xml:space="preserve"> as the class teacher intervened.</w:t>
      </w:r>
    </w:p>
    <w:p w14:paraId="3F9AAF12" w14:textId="77777777" w:rsidR="00A055E1" w:rsidRPr="00A055E1" w:rsidRDefault="00A055E1" w:rsidP="004D2FF6">
      <w:pPr>
        <w:spacing w:line="360" w:lineRule="auto"/>
      </w:pPr>
    </w:p>
    <w:p w14:paraId="47CC1E2B" w14:textId="3A7C1D9B" w:rsidR="00AC27BD" w:rsidRPr="00AC27BD" w:rsidRDefault="00AC27BD" w:rsidP="004D2FF6">
      <w:pPr>
        <w:spacing w:line="360" w:lineRule="auto"/>
      </w:pPr>
      <w:r>
        <w:t xml:space="preserve">Like the previous lesson study, the researcher who was not teaching did an observation of three ‘Case Pupils’ throughout the lesson in School Y. These pupils were </w:t>
      </w:r>
      <w:r w:rsidR="00E63A9B">
        <w:t>observed,</w:t>
      </w:r>
      <w:r>
        <w:t xml:space="preserve"> and data was recorded in another observation table (See Appendix). The three ‘Case Pupils’ were assigned as Pupil D, Pupil E and Pupil F and were randomly selected based on their ability</w:t>
      </w:r>
      <w:r w:rsidR="00B46BBC">
        <w:t xml:space="preserve"> like in School X</w:t>
      </w:r>
      <w:r>
        <w:t>. Pupil D was the lower-ability pupil in School Y</w:t>
      </w:r>
      <w:r w:rsidR="00E23E6E">
        <w:t xml:space="preserve"> fitted into the category of ‘Partially Achieving’ Objectives during the lesson. This was due to the pupil not being fully engaged with any of the tasks and was chatting to and distracting pupils throughout the lesson. Furthermore, by the end of the lesson </w:t>
      </w:r>
      <w:r w:rsidR="006F7100">
        <w:t>they</w:t>
      </w:r>
      <w:r w:rsidR="00E23E6E">
        <w:t xml:space="preserve"> could not achieve all of the learning objectives or create an analogy based on </w:t>
      </w:r>
      <w:r w:rsidR="00B46BBC">
        <w:t>the different types of erosion</w:t>
      </w:r>
      <w:r w:rsidR="00E23E6E">
        <w:t>.</w:t>
      </w:r>
      <w:r w:rsidR="00BD7D8F">
        <w:t xml:space="preserve"> Pupil E was the average-ability pupil but was the pupil who was able to apply their knowledge and create </w:t>
      </w:r>
      <w:r w:rsidR="00BD7D8F">
        <w:lastRenderedPageBreak/>
        <w:t xml:space="preserve">their own analogy at the end of the lesson. However, the pupil showed poor behaviour at times, for example getting out of their seat without permission and was distracting others. </w:t>
      </w:r>
      <w:r w:rsidR="00B46BBC">
        <w:t>But</w:t>
      </w:r>
      <w:r w:rsidR="00BD7D8F">
        <w:t xml:space="preserve"> the pupil did achieve all the learning objectives throughout the lesson. Finally, Pupil F was categorised as the ‘Higher Achieving’ pupil in this class but they also only achieved ‘Achieving Objectives” category</w:t>
      </w:r>
      <w:r w:rsidR="00FC38E5">
        <w:t>. This was due to the pupil demonstrating poor behaviour as they finished tasks early, suggesting it could be because they were bored in the lesson. Pupil F was able to understand some of the lesson but described the teaching method as ‘weird’ in the focus group interview and th</w:t>
      </w:r>
      <w:r w:rsidR="00B46BBC">
        <w:t>is</w:t>
      </w:r>
      <w:r w:rsidR="00FC38E5">
        <w:t xml:space="preserve"> may be why their understanding </w:t>
      </w:r>
      <w:r w:rsidR="00B46BBC">
        <w:t>of the lesson was poor</w:t>
      </w:r>
      <w:r w:rsidR="00FC38E5">
        <w:t>. However, Pupil F did get onto the extension task within the lesson</w:t>
      </w:r>
      <w:r w:rsidR="00353378">
        <w:t>, unlike Pupils D and E.</w:t>
      </w:r>
      <w:r w:rsidR="00C10682">
        <w:t xml:space="preserve"> However, all ‘Case Pupils’ felt that analogies did not help their understanding of the lesson taught to them.</w:t>
      </w:r>
      <w:r w:rsidR="00B46BBC">
        <w:t xml:space="preserve"> Therefore, the three ‘Case Pupils’ in School Y had a poor experience of using analogies to increase understanding</w:t>
      </w:r>
      <w:r w:rsidR="0000506A">
        <w:t>.</w:t>
      </w:r>
    </w:p>
    <w:p w14:paraId="6524604F" w14:textId="77777777" w:rsidR="009179E5" w:rsidRPr="009179E5" w:rsidRDefault="009179E5" w:rsidP="004D2FF6">
      <w:pPr>
        <w:spacing w:line="360" w:lineRule="auto"/>
      </w:pPr>
    </w:p>
    <w:p w14:paraId="394FB1F4" w14:textId="1D5B9188" w:rsidR="002F1D1F" w:rsidRDefault="003D258C" w:rsidP="004D2FF6">
      <w:pPr>
        <w:spacing w:line="360" w:lineRule="auto"/>
      </w:pPr>
      <w:r>
        <w:t xml:space="preserve">After the lesson we used the reflective model again. The concrete experience was again the </w:t>
      </w:r>
      <w:r w:rsidR="0000506A">
        <w:t>p</w:t>
      </w:r>
      <w:r>
        <w:t>upils</w:t>
      </w:r>
      <w:r w:rsidR="00CE570A">
        <w:t xml:space="preserve"> and researchers</w:t>
      </w:r>
      <w:r>
        <w:t xml:space="preserve"> experiencing the lesson. After the lesson we discussed our initial feelings towards the lesson and felt there were areas still to improve the lesson study if we could do it again. One of the major disadvantages initially discussed was the idea of our study lacking validity. The validity decreased as another teacher came in with another piece of work which affected the pupil’s understanding of what they had learnt previously in the lesson study</w:t>
      </w:r>
      <w:r w:rsidR="0000506A">
        <w:t xml:space="preserve"> as they were cognitively overloaded</w:t>
      </w:r>
      <w:sdt>
        <w:sdtPr>
          <w:id w:val="258343548"/>
          <w:citation/>
        </w:sdtPr>
        <w:sdtContent>
          <w:r w:rsidR="0000506A">
            <w:fldChar w:fldCharType="begin"/>
          </w:r>
          <w:r w:rsidR="0000506A">
            <w:instrText xml:space="preserve"> CITATION Kir00 \l 2057 </w:instrText>
          </w:r>
          <w:r w:rsidR="0000506A">
            <w:fldChar w:fldCharType="separate"/>
          </w:r>
          <w:r w:rsidR="0000506A">
            <w:rPr>
              <w:noProof/>
            </w:rPr>
            <w:t xml:space="preserve"> </w:t>
          </w:r>
          <w:r w:rsidR="0000506A" w:rsidRPr="0000506A">
            <w:rPr>
              <w:noProof/>
            </w:rPr>
            <w:t>(Kirsh, 2000)</w:t>
          </w:r>
          <w:r w:rsidR="0000506A">
            <w:fldChar w:fldCharType="end"/>
          </w:r>
        </w:sdtContent>
      </w:sdt>
      <w:r>
        <w:t>. This an issue with increasing demands on teachers</w:t>
      </w:r>
      <w:r w:rsidR="00B1443F">
        <w:t xml:space="preserve"> within the UK,</w:t>
      </w:r>
      <w:r>
        <w:t xml:space="preserve"> with less time to do </w:t>
      </w:r>
      <w:r w:rsidR="00B1443F">
        <w:t>assessments</w:t>
      </w:r>
      <w:sdt>
        <w:sdtPr>
          <w:id w:val="701980763"/>
          <w:citation/>
        </w:sdtPr>
        <w:sdtContent>
          <w:r w:rsidR="00B1443F">
            <w:fldChar w:fldCharType="begin"/>
          </w:r>
          <w:r w:rsidR="00B1443F">
            <w:instrText xml:space="preserve"> CITATION Tow17 \l 2057 </w:instrText>
          </w:r>
          <w:r w:rsidR="00B1443F">
            <w:fldChar w:fldCharType="separate"/>
          </w:r>
          <w:r w:rsidR="00B1443F">
            <w:rPr>
              <w:noProof/>
            </w:rPr>
            <w:t xml:space="preserve"> </w:t>
          </w:r>
          <w:r w:rsidR="00B1443F" w:rsidRPr="00B1443F">
            <w:rPr>
              <w:noProof/>
            </w:rPr>
            <w:t>(Towers, 2017)</w:t>
          </w:r>
          <w:r w:rsidR="00B1443F">
            <w:fldChar w:fldCharType="end"/>
          </w:r>
        </w:sdtContent>
      </w:sdt>
      <w:r>
        <w:t xml:space="preserve"> within the schooling system which impacted our results.</w:t>
      </w:r>
      <w:r w:rsidR="00B1443F">
        <w:t xml:space="preserve"> </w:t>
      </w:r>
      <w:r w:rsidR="0030343E">
        <w:t>Afterwards, we evaluated what we felt went well and what could be even better if we were to do another lesson study. Firstly, the lesson could be improved if the other teacher had not got involved, secondly the teaching methods for the lesson were not appropriate as it encouraged pupils to be o</w:t>
      </w:r>
      <w:r w:rsidR="0000506A">
        <w:t>ff</w:t>
      </w:r>
      <w:r w:rsidR="0030343E">
        <w:t xml:space="preserve"> task</w:t>
      </w:r>
      <w:r w:rsidR="0000506A">
        <w:t>,</w:t>
      </w:r>
      <w:r w:rsidR="0030343E">
        <w:t xml:space="preserve"> especially as too much time was given to them</w:t>
      </w:r>
      <w:r w:rsidR="0000506A">
        <w:t xml:space="preserve"> to complete the tasks</w:t>
      </w:r>
      <w:r w:rsidR="00581F19">
        <w:t xml:space="preserve"> and finally the task itself was deemed too complex for the pupils. However, all pupils had completed the task</w:t>
      </w:r>
      <w:r w:rsidR="0000506A">
        <w:t xml:space="preserve">s but lacked the understanding. </w:t>
      </w:r>
      <w:r w:rsidR="00581F19">
        <w:t>Moreover, two of the Case Pupils were engaged throughout the lesson and were able to develop and expand their answers in the classroom and in the focus group interview after the lesson.</w:t>
      </w:r>
      <w:r w:rsidR="00CE570A">
        <w:t xml:space="preserve"> Additionally, the weaknesses of the previous lesson </w:t>
      </w:r>
      <w:r w:rsidR="0000506A">
        <w:t>were</w:t>
      </w:r>
      <w:r w:rsidR="00CE570A">
        <w:t xml:space="preserve"> acted upon and pupils were clearer as to what an analogy was. This led to the action plan that if we were to do a third lesson on the effect of analogies on understanding that we </w:t>
      </w:r>
      <w:r w:rsidR="00CE570A">
        <w:lastRenderedPageBreak/>
        <w:t>would choose a more appropriate activity for pupils and do a pilot study to ensure the timings and activity were correct. A pilot study is when a study is still in testing phase and can help improve the quality and efficiency of a study</w:t>
      </w:r>
      <w:sdt>
        <w:sdtPr>
          <w:id w:val="921915338"/>
          <w:citation/>
        </w:sdtPr>
        <w:sdtContent>
          <w:r w:rsidR="00CE570A">
            <w:fldChar w:fldCharType="begin"/>
          </w:r>
          <w:r w:rsidR="00CE570A">
            <w:instrText xml:space="preserve"> CITATION InJ17 \l 2057 </w:instrText>
          </w:r>
          <w:r w:rsidR="00CE570A">
            <w:fldChar w:fldCharType="separate"/>
          </w:r>
          <w:r w:rsidR="00CE570A">
            <w:rPr>
              <w:noProof/>
            </w:rPr>
            <w:t xml:space="preserve"> </w:t>
          </w:r>
          <w:r w:rsidR="00CE570A" w:rsidRPr="00CE570A">
            <w:rPr>
              <w:noProof/>
            </w:rPr>
            <w:t>(In, 2017)</w:t>
          </w:r>
          <w:r w:rsidR="00CE570A">
            <w:fldChar w:fldCharType="end"/>
          </w:r>
        </w:sdtContent>
      </w:sdt>
      <w:r w:rsidR="00CE570A">
        <w:t>. Furthermore, it would provide us as the researchers with greater experience of using lesson study</w:t>
      </w:r>
      <w:sdt>
        <w:sdtPr>
          <w:id w:val="-570417641"/>
          <w:citation/>
        </w:sdtPr>
        <w:sdtContent>
          <w:r w:rsidR="00CE570A">
            <w:fldChar w:fldCharType="begin"/>
          </w:r>
          <w:r w:rsidR="00CE570A">
            <w:instrText xml:space="preserve"> CITATION InJ17 \l 2057 </w:instrText>
          </w:r>
          <w:r w:rsidR="00CE570A">
            <w:fldChar w:fldCharType="separate"/>
          </w:r>
          <w:r w:rsidR="00CE570A">
            <w:rPr>
              <w:noProof/>
            </w:rPr>
            <w:t xml:space="preserve"> </w:t>
          </w:r>
          <w:r w:rsidR="00CE570A" w:rsidRPr="00CE570A">
            <w:rPr>
              <w:noProof/>
            </w:rPr>
            <w:t>(In, 2017)</w:t>
          </w:r>
          <w:r w:rsidR="00CE570A">
            <w:fldChar w:fldCharType="end"/>
          </w:r>
        </w:sdtContent>
      </w:sdt>
      <w:r w:rsidR="00CE570A">
        <w:t>.</w:t>
      </w:r>
      <w:r w:rsidR="002F1D1F">
        <w:t xml:space="preserve"> </w:t>
      </w:r>
    </w:p>
    <w:p w14:paraId="15822E30" w14:textId="7500641D" w:rsidR="002F1D1F" w:rsidRDefault="00047049" w:rsidP="004D2FF6">
      <w:pPr>
        <w:spacing w:line="360" w:lineRule="auto"/>
        <w:rPr>
          <w:b/>
          <w:bCs/>
          <w:u w:val="single"/>
        </w:rPr>
      </w:pPr>
      <w:r>
        <w:rPr>
          <w:b/>
          <w:bCs/>
          <w:u w:val="single"/>
        </w:rPr>
        <w:t xml:space="preserve">Figure </w:t>
      </w:r>
      <w:r w:rsidR="00B17F49">
        <w:rPr>
          <w:b/>
          <w:bCs/>
          <w:u w:val="single"/>
        </w:rPr>
        <w:t>One</w:t>
      </w:r>
      <w:r w:rsidR="0000506A">
        <w:rPr>
          <w:b/>
          <w:bCs/>
          <w:u w:val="single"/>
        </w:rPr>
        <w:t>-Type of responses as to whether analogies helped a pupil’s understanding of a topic.</w:t>
      </w:r>
    </w:p>
    <w:p w14:paraId="18461CC1" w14:textId="77777777" w:rsidR="00047049" w:rsidRPr="00047049" w:rsidRDefault="00047049" w:rsidP="004D2FF6">
      <w:pPr>
        <w:spacing w:line="360" w:lineRule="auto"/>
        <w:rPr>
          <w:b/>
          <w:bCs/>
          <w:u w:val="single"/>
        </w:rPr>
      </w:pPr>
    </w:p>
    <w:tbl>
      <w:tblPr>
        <w:tblStyle w:val="TableGrid"/>
        <w:tblW w:w="0" w:type="auto"/>
        <w:tblLook w:val="04A0" w:firstRow="1" w:lastRow="0" w:firstColumn="1" w:lastColumn="0" w:noHBand="0" w:noVBand="1"/>
      </w:tblPr>
      <w:tblGrid>
        <w:gridCol w:w="4505"/>
        <w:gridCol w:w="4505"/>
      </w:tblGrid>
      <w:tr w:rsidR="00047049" w14:paraId="42F4D8B9" w14:textId="77777777" w:rsidTr="00047049">
        <w:tc>
          <w:tcPr>
            <w:tcW w:w="4505" w:type="dxa"/>
          </w:tcPr>
          <w:p w14:paraId="3E8EBB29" w14:textId="66CE21D1" w:rsidR="00047049" w:rsidRDefault="00047049" w:rsidP="004D2FF6">
            <w:pPr>
              <w:spacing w:line="360" w:lineRule="auto"/>
            </w:pPr>
            <w:r>
              <w:t>How did the examples provided help your understanding of the topic?</w:t>
            </w:r>
          </w:p>
        </w:tc>
        <w:tc>
          <w:tcPr>
            <w:tcW w:w="4505" w:type="dxa"/>
          </w:tcPr>
          <w:p w14:paraId="04AEDA2E" w14:textId="36FCD324" w:rsidR="00047049" w:rsidRDefault="00047049" w:rsidP="004D2FF6">
            <w:pPr>
              <w:spacing w:line="360" w:lineRule="auto"/>
            </w:pPr>
            <w:r>
              <w:t>Number</w:t>
            </w:r>
          </w:p>
        </w:tc>
      </w:tr>
      <w:tr w:rsidR="00047049" w14:paraId="484F75E0" w14:textId="77777777" w:rsidTr="00047049">
        <w:tc>
          <w:tcPr>
            <w:tcW w:w="4505" w:type="dxa"/>
          </w:tcPr>
          <w:p w14:paraId="462B0C05" w14:textId="4B502A23" w:rsidR="00047049" w:rsidRDefault="00047049" w:rsidP="004D2FF6">
            <w:pPr>
              <w:spacing w:line="360" w:lineRule="auto"/>
            </w:pPr>
            <w:r>
              <w:t>Positive Answers</w:t>
            </w:r>
          </w:p>
        </w:tc>
        <w:tc>
          <w:tcPr>
            <w:tcW w:w="4505" w:type="dxa"/>
          </w:tcPr>
          <w:p w14:paraId="7C78FB59" w14:textId="1C3CEC37" w:rsidR="00047049" w:rsidRDefault="00047049" w:rsidP="004D2FF6">
            <w:pPr>
              <w:spacing w:line="360" w:lineRule="auto"/>
            </w:pPr>
            <w:r>
              <w:t>3</w:t>
            </w:r>
          </w:p>
        </w:tc>
      </w:tr>
      <w:tr w:rsidR="00047049" w14:paraId="073838AF" w14:textId="77777777" w:rsidTr="00047049">
        <w:tc>
          <w:tcPr>
            <w:tcW w:w="4505" w:type="dxa"/>
          </w:tcPr>
          <w:p w14:paraId="2B69E59F" w14:textId="5DCEF3EA" w:rsidR="00047049" w:rsidRDefault="00047049" w:rsidP="004D2FF6">
            <w:pPr>
              <w:spacing w:line="360" w:lineRule="auto"/>
            </w:pPr>
            <w:r>
              <w:t>Negative Answers</w:t>
            </w:r>
          </w:p>
        </w:tc>
        <w:tc>
          <w:tcPr>
            <w:tcW w:w="4505" w:type="dxa"/>
          </w:tcPr>
          <w:p w14:paraId="189AD709" w14:textId="683EAF2D" w:rsidR="00047049" w:rsidRDefault="00047049" w:rsidP="004D2FF6">
            <w:pPr>
              <w:spacing w:line="360" w:lineRule="auto"/>
            </w:pPr>
            <w:r>
              <w:t>3</w:t>
            </w:r>
          </w:p>
        </w:tc>
      </w:tr>
    </w:tbl>
    <w:p w14:paraId="40D46D3D" w14:textId="77777777" w:rsidR="00047049" w:rsidRDefault="00047049" w:rsidP="004D2FF6">
      <w:pPr>
        <w:spacing w:line="360" w:lineRule="auto"/>
      </w:pPr>
    </w:p>
    <w:p w14:paraId="5C73530E" w14:textId="4F4623D1" w:rsidR="002F1D1F" w:rsidRDefault="002F1D1F" w:rsidP="004D2FF6">
      <w:pPr>
        <w:spacing w:line="360" w:lineRule="auto"/>
      </w:pPr>
    </w:p>
    <w:p w14:paraId="50D8D9B3" w14:textId="3181CF4B" w:rsidR="002F1D1F" w:rsidRDefault="004D2FF6" w:rsidP="004D2FF6">
      <w:pPr>
        <w:spacing w:line="360" w:lineRule="auto"/>
        <w:rPr>
          <w:b/>
          <w:bCs/>
          <w:u w:val="single"/>
        </w:rPr>
      </w:pPr>
      <w:r>
        <w:rPr>
          <w:b/>
          <w:bCs/>
          <w:u w:val="single"/>
        </w:rPr>
        <w:t>7.0-</w:t>
      </w:r>
      <w:r w:rsidR="002F1D1F">
        <w:rPr>
          <w:b/>
          <w:bCs/>
          <w:u w:val="single"/>
        </w:rPr>
        <w:t>Discussion</w:t>
      </w:r>
    </w:p>
    <w:p w14:paraId="4B7C9387" w14:textId="2CA1A30C" w:rsidR="008D6A27" w:rsidRDefault="00047049" w:rsidP="004D2FF6">
      <w:pPr>
        <w:spacing w:line="360" w:lineRule="auto"/>
        <w:rPr>
          <w:noProof/>
        </w:rPr>
      </w:pPr>
      <w:r>
        <w:t xml:space="preserve">This piece of research has provided an inconclusive picture as shown by Figure </w:t>
      </w:r>
      <w:r w:rsidR="00FF63A3">
        <w:t>O</w:t>
      </w:r>
      <w:r w:rsidR="00B17F49">
        <w:t>ne</w:t>
      </w:r>
      <w:r>
        <w:t xml:space="preserve"> as half of the pupils felt that </w:t>
      </w:r>
      <w:r w:rsidR="00B17F49">
        <w:t>analogies did not help their understanding of a topic but then half of the pupils felt that analogies did help their understanding. However, when you look into the results further there is a clear divide between the different schools/classes with Pupils from School X saying that analogies did help their understanding compared to School Y where none of the pupils felt that analogies did not help their understanding of the content. Pupils in School Y seemed to be more confused with the teaching methods and the content taught and the use of analogy seemed to confuse them further. This follows from and can add to what has been suggested previously</w:t>
      </w:r>
      <w:r w:rsidR="00C956F9">
        <w:t>,</w:t>
      </w:r>
      <w:r w:rsidR="00B17F49">
        <w:t xml:space="preserve"> where a </w:t>
      </w:r>
      <w:r w:rsidR="00C956F9">
        <w:t>poor-quality</w:t>
      </w:r>
      <w:r w:rsidR="00B17F49">
        <w:t xml:space="preserve"> analogy can exacerbate the issue of poor under</w:t>
      </w:r>
      <w:r w:rsidR="00C956F9">
        <w:t>standing</w:t>
      </w:r>
      <w:r w:rsidR="00C956F9">
        <w:rPr>
          <w:noProof/>
        </w:rPr>
        <w:t xml:space="preserve"> </w:t>
      </w:r>
      <w:r w:rsidR="00C956F9" w:rsidRPr="00C956F9">
        <w:rPr>
          <w:noProof/>
        </w:rPr>
        <w:t>(Simons, 1984</w:t>
      </w:r>
      <w:r w:rsidR="00C956F9">
        <w:rPr>
          <w:noProof/>
        </w:rPr>
        <w:t xml:space="preserve">; </w:t>
      </w:r>
      <w:r w:rsidR="00C956F9" w:rsidRPr="00C956F9">
        <w:rPr>
          <w:noProof/>
        </w:rPr>
        <w:t>Myson, 2006)</w:t>
      </w:r>
      <w:r w:rsidR="00C956F9">
        <w:rPr>
          <w:noProof/>
        </w:rPr>
        <w:t xml:space="preserve">. The Pupils in School X however, demonstrated </w:t>
      </w:r>
      <w:r w:rsidR="00EA23F6">
        <w:rPr>
          <w:noProof/>
        </w:rPr>
        <w:t>that analogies can add to understanding of a topic for pupils as illustrated in other education systems across the globe</w:t>
      </w:r>
      <w:sdt>
        <w:sdtPr>
          <w:rPr>
            <w:noProof/>
          </w:rPr>
          <w:id w:val="925540841"/>
          <w:citation/>
        </w:sdtPr>
        <w:sdtContent>
          <w:r w:rsidR="00EA23F6">
            <w:rPr>
              <w:noProof/>
            </w:rPr>
            <w:fldChar w:fldCharType="begin"/>
          </w:r>
          <w:r w:rsidR="00EA23F6">
            <w:rPr>
              <w:noProof/>
            </w:rPr>
            <w:instrText xml:space="preserve"> CITATION Gen13 \l 2057 </w:instrText>
          </w:r>
          <w:r w:rsidR="00EA23F6">
            <w:rPr>
              <w:noProof/>
            </w:rPr>
            <w:fldChar w:fldCharType="separate"/>
          </w:r>
          <w:r w:rsidR="00EA23F6">
            <w:rPr>
              <w:noProof/>
            </w:rPr>
            <w:t xml:space="preserve"> </w:t>
          </w:r>
          <w:r w:rsidR="00EA23F6" w:rsidRPr="00EA23F6">
            <w:rPr>
              <w:noProof/>
            </w:rPr>
            <w:t>(Genc, 2013)</w:t>
          </w:r>
          <w:r w:rsidR="00EA23F6">
            <w:rPr>
              <w:noProof/>
            </w:rPr>
            <w:fldChar w:fldCharType="end"/>
          </w:r>
        </w:sdtContent>
      </w:sdt>
      <w:r w:rsidR="00EA23F6">
        <w:rPr>
          <w:noProof/>
        </w:rPr>
        <w:t>. Although, this research does not prove that this increase in understanding for some pupils results in an increase in summative test scores experienced elsewhere</w:t>
      </w:r>
      <w:sdt>
        <w:sdtPr>
          <w:rPr>
            <w:noProof/>
          </w:rPr>
          <w:id w:val="-100179848"/>
          <w:citation/>
        </w:sdtPr>
        <w:sdtContent>
          <w:r w:rsidR="00EA23F6">
            <w:rPr>
              <w:noProof/>
            </w:rPr>
            <w:fldChar w:fldCharType="begin"/>
          </w:r>
          <w:r w:rsidR="00EA23F6">
            <w:rPr>
              <w:noProof/>
            </w:rPr>
            <w:instrText xml:space="preserve"> CITATION Gen13 \l 2057 </w:instrText>
          </w:r>
          <w:r w:rsidR="00EA23F6">
            <w:rPr>
              <w:noProof/>
            </w:rPr>
            <w:fldChar w:fldCharType="separate"/>
          </w:r>
          <w:r w:rsidR="00EA23F6">
            <w:rPr>
              <w:noProof/>
            </w:rPr>
            <w:t xml:space="preserve"> </w:t>
          </w:r>
          <w:r w:rsidR="00EA23F6" w:rsidRPr="00EA23F6">
            <w:rPr>
              <w:noProof/>
            </w:rPr>
            <w:t>(Genc, 2013)</w:t>
          </w:r>
          <w:r w:rsidR="00EA23F6">
            <w:rPr>
              <w:noProof/>
            </w:rPr>
            <w:fldChar w:fldCharType="end"/>
          </w:r>
        </w:sdtContent>
      </w:sdt>
      <w:r w:rsidR="00EA23F6">
        <w:rPr>
          <w:noProof/>
        </w:rPr>
        <w:t>.</w:t>
      </w:r>
      <w:r w:rsidR="00D24782">
        <w:rPr>
          <w:noProof/>
        </w:rPr>
        <w:t xml:space="preserve"> In our classes, this has resulted in us only using analogies if they are good analogies and if pupils at least understand the context the analogies are being used in before they are used. Otherwise, it can lead to pupils becoming confused and adding to poor understanding</w:t>
      </w:r>
      <w:sdt>
        <w:sdtPr>
          <w:rPr>
            <w:noProof/>
          </w:rPr>
          <w:id w:val="-463810750"/>
          <w:citation/>
        </w:sdtPr>
        <w:sdtContent>
          <w:r w:rsidR="008D6A27">
            <w:rPr>
              <w:noProof/>
            </w:rPr>
            <w:fldChar w:fldCharType="begin"/>
          </w:r>
          <w:r w:rsidR="008D6A27">
            <w:rPr>
              <w:noProof/>
            </w:rPr>
            <w:instrText xml:space="preserve"> CITATION Mys06 \l 2057 </w:instrText>
          </w:r>
          <w:r w:rsidR="008D6A27">
            <w:rPr>
              <w:noProof/>
            </w:rPr>
            <w:fldChar w:fldCharType="separate"/>
          </w:r>
          <w:r w:rsidR="008D6A27">
            <w:rPr>
              <w:noProof/>
            </w:rPr>
            <w:t xml:space="preserve"> </w:t>
          </w:r>
          <w:r w:rsidR="008D6A27" w:rsidRPr="008D6A27">
            <w:rPr>
              <w:noProof/>
            </w:rPr>
            <w:t>(Myson, 2006)</w:t>
          </w:r>
          <w:r w:rsidR="008D6A27">
            <w:rPr>
              <w:noProof/>
            </w:rPr>
            <w:fldChar w:fldCharType="end"/>
          </w:r>
        </w:sdtContent>
      </w:sdt>
      <w:r w:rsidR="008D6A27">
        <w:rPr>
          <w:noProof/>
        </w:rPr>
        <w:t>.</w:t>
      </w:r>
      <w:r w:rsidR="00603833">
        <w:rPr>
          <w:noProof/>
        </w:rPr>
        <w:t xml:space="preserve"> This was also </w:t>
      </w:r>
      <w:r w:rsidR="00603833">
        <w:rPr>
          <w:noProof/>
        </w:rPr>
        <w:lastRenderedPageBreak/>
        <w:t>illustrated in School Y where the use of a poor analogy only confused the ‘Case Pupil’s’ in the class further.</w:t>
      </w:r>
    </w:p>
    <w:p w14:paraId="29F78631" w14:textId="0338F787" w:rsidR="00392D32" w:rsidRDefault="00392D32" w:rsidP="004D2FF6">
      <w:pPr>
        <w:spacing w:line="360" w:lineRule="auto"/>
        <w:rPr>
          <w:noProof/>
        </w:rPr>
      </w:pPr>
    </w:p>
    <w:p w14:paraId="3B7CA480" w14:textId="1C193A16" w:rsidR="00392D32" w:rsidRDefault="00650B91" w:rsidP="004D2FF6">
      <w:pPr>
        <w:spacing w:line="360" w:lineRule="auto"/>
        <w:rPr>
          <w:noProof/>
        </w:rPr>
      </w:pPr>
      <w:r>
        <w:rPr>
          <w:noProof/>
        </w:rPr>
        <w:t xml:space="preserve">For our future classes as researches, this research has demonstrated that analogies have the potential to add to pupil’s understanding however, these analogies need to be done properly to add to pupil’s understanding. This is why before </w:t>
      </w:r>
      <w:r w:rsidR="00E878AC">
        <w:rPr>
          <w:noProof/>
        </w:rPr>
        <w:t>using analogies in our practise, we will need to ensure that pupils are ranked at least at the ‘Understanding’ stage of the revised Bloom’s Taxonomy</w:t>
      </w:r>
      <w:sdt>
        <w:sdtPr>
          <w:rPr>
            <w:noProof/>
          </w:rPr>
          <w:id w:val="980888273"/>
          <w:citation/>
        </w:sdtPr>
        <w:sdtContent>
          <w:r w:rsidR="00E878AC">
            <w:rPr>
              <w:noProof/>
            </w:rPr>
            <w:fldChar w:fldCharType="begin"/>
          </w:r>
          <w:r w:rsidR="00E878AC">
            <w:rPr>
              <w:noProof/>
            </w:rPr>
            <w:instrText xml:space="preserve"> CITATION Kra02 \l 2057 </w:instrText>
          </w:r>
          <w:r w:rsidR="00E878AC">
            <w:rPr>
              <w:noProof/>
            </w:rPr>
            <w:fldChar w:fldCharType="separate"/>
          </w:r>
          <w:r w:rsidR="00E878AC">
            <w:rPr>
              <w:noProof/>
            </w:rPr>
            <w:t xml:space="preserve"> </w:t>
          </w:r>
          <w:r w:rsidR="00E878AC" w:rsidRPr="00E878AC">
            <w:rPr>
              <w:noProof/>
            </w:rPr>
            <w:t>(Krathwohl, 2002)</w:t>
          </w:r>
          <w:r w:rsidR="00E878AC">
            <w:rPr>
              <w:noProof/>
            </w:rPr>
            <w:fldChar w:fldCharType="end"/>
          </w:r>
        </w:sdtContent>
      </w:sdt>
      <w:r w:rsidR="00E878AC">
        <w:rPr>
          <w:noProof/>
        </w:rPr>
        <w:t>. Furthermore by using analogies in practise</w:t>
      </w:r>
      <w:r w:rsidR="00FF63A3">
        <w:rPr>
          <w:noProof/>
        </w:rPr>
        <w:t>, it can help elevate pupils from the ‘Understanding’ stage of the revised Bloom’s Taxonomy to the ‘Applying’ stage</w:t>
      </w:r>
      <w:sdt>
        <w:sdtPr>
          <w:rPr>
            <w:noProof/>
          </w:rPr>
          <w:id w:val="-394353939"/>
          <w:citation/>
        </w:sdtPr>
        <w:sdtContent>
          <w:r w:rsidR="00FF63A3">
            <w:rPr>
              <w:noProof/>
            </w:rPr>
            <w:fldChar w:fldCharType="begin"/>
          </w:r>
          <w:r w:rsidR="00FF63A3">
            <w:rPr>
              <w:noProof/>
            </w:rPr>
            <w:instrText xml:space="preserve"> CITATION Kra02 \l 2057 </w:instrText>
          </w:r>
          <w:r w:rsidR="00FF63A3">
            <w:rPr>
              <w:noProof/>
            </w:rPr>
            <w:fldChar w:fldCharType="separate"/>
          </w:r>
          <w:r w:rsidR="00FF63A3">
            <w:rPr>
              <w:noProof/>
            </w:rPr>
            <w:t xml:space="preserve"> </w:t>
          </w:r>
          <w:r w:rsidR="00FF63A3" w:rsidRPr="00FF63A3">
            <w:rPr>
              <w:noProof/>
            </w:rPr>
            <w:t>(Krathwohl, 2002)</w:t>
          </w:r>
          <w:r w:rsidR="00FF63A3">
            <w:rPr>
              <w:noProof/>
            </w:rPr>
            <w:fldChar w:fldCharType="end"/>
          </w:r>
        </w:sdtContent>
      </w:sdt>
      <w:r w:rsidR="00FF63A3">
        <w:rPr>
          <w:noProof/>
        </w:rPr>
        <w:t>. In addition to this, it enables pupils to reach the higher stages of the taxonomy such as the ‘Create’ stage of the revised taxonomy. This was also illustrated in School X where all the ‘Case Pupils’ were able to create their own analogy.</w:t>
      </w:r>
    </w:p>
    <w:p w14:paraId="0C168DC5" w14:textId="77777777" w:rsidR="008D6A27" w:rsidRDefault="008D6A27" w:rsidP="004D2FF6">
      <w:pPr>
        <w:spacing w:line="360" w:lineRule="auto"/>
        <w:rPr>
          <w:noProof/>
        </w:rPr>
      </w:pPr>
    </w:p>
    <w:p w14:paraId="5E202580" w14:textId="048DEDF5" w:rsidR="00D24782" w:rsidRDefault="00D24782" w:rsidP="004D2FF6">
      <w:pPr>
        <w:spacing w:line="360" w:lineRule="auto"/>
      </w:pPr>
    </w:p>
    <w:p w14:paraId="53EE8880" w14:textId="035E09CB" w:rsidR="00792837" w:rsidRDefault="004D2FF6" w:rsidP="004D2FF6">
      <w:pPr>
        <w:spacing w:line="360" w:lineRule="auto"/>
        <w:rPr>
          <w:b/>
          <w:bCs/>
          <w:u w:val="single"/>
        </w:rPr>
      </w:pPr>
      <w:r>
        <w:rPr>
          <w:b/>
          <w:bCs/>
          <w:u w:val="single"/>
        </w:rPr>
        <w:t>8.0-</w:t>
      </w:r>
      <w:r w:rsidR="00792837">
        <w:rPr>
          <w:b/>
          <w:bCs/>
          <w:u w:val="single"/>
        </w:rPr>
        <w:t>Conclusion</w:t>
      </w:r>
    </w:p>
    <w:p w14:paraId="59CE2956" w14:textId="32ECB9D4" w:rsidR="00792837" w:rsidRPr="00792837" w:rsidRDefault="00792837" w:rsidP="004D2FF6">
      <w:pPr>
        <w:spacing w:line="360" w:lineRule="auto"/>
      </w:pPr>
      <w:r>
        <w:t>To conclude, this research has demonstrated that analogies do have the potential to increase pupil’s understanding of a topic, but only if the analogy is of a good standard and can add to pupils learning.</w:t>
      </w:r>
      <w:r w:rsidR="00042A52">
        <w:t xml:space="preserve"> This would enable pupils to reach the further stages of Bloom’s Revised Taxonomy such as ‘Analysing’ and ‘Creating’</w:t>
      </w:r>
      <w:sdt>
        <w:sdtPr>
          <w:id w:val="2097752100"/>
          <w:citation/>
        </w:sdtPr>
        <w:sdtContent>
          <w:r w:rsidR="00042A52">
            <w:fldChar w:fldCharType="begin"/>
          </w:r>
          <w:r w:rsidR="00042A52">
            <w:instrText xml:space="preserve"> CITATION Kra02 \l 2057 </w:instrText>
          </w:r>
          <w:r w:rsidR="00042A52">
            <w:fldChar w:fldCharType="separate"/>
          </w:r>
          <w:r w:rsidR="00042A52">
            <w:rPr>
              <w:noProof/>
            </w:rPr>
            <w:t xml:space="preserve"> </w:t>
          </w:r>
          <w:r w:rsidR="00042A52" w:rsidRPr="00042A52">
            <w:rPr>
              <w:noProof/>
            </w:rPr>
            <w:t>(Krathwohl, 2002)</w:t>
          </w:r>
          <w:r w:rsidR="00042A52">
            <w:fldChar w:fldCharType="end"/>
          </w:r>
        </w:sdtContent>
      </w:sdt>
      <w:r w:rsidR="00EC459A">
        <w:t>.</w:t>
      </w:r>
      <w:r w:rsidR="00042A52">
        <w:t xml:space="preserve"> </w:t>
      </w:r>
      <w:r>
        <w:t>However,</w:t>
      </w:r>
      <w:r w:rsidR="00E12887">
        <w:t xml:space="preserve"> the research has also demonstrated that if analogies are not taught correctly and are not of a high standard, they can in fact decrease understanding and can add to a </w:t>
      </w:r>
      <w:r w:rsidR="00392D32">
        <w:t>pupil’s</w:t>
      </w:r>
      <w:r w:rsidR="00E12887">
        <w:t xml:space="preserve"> poor knowledge of a topic.</w:t>
      </w:r>
      <w:r w:rsidR="00042A52">
        <w:t xml:space="preserve"> This could result in pupils struggling to even reach the ‘Understanding’ stage of the Revised Bloom’s Taxonomy</w:t>
      </w:r>
      <w:sdt>
        <w:sdtPr>
          <w:id w:val="1974093578"/>
          <w:citation/>
        </w:sdtPr>
        <w:sdtContent>
          <w:r w:rsidR="00042A52">
            <w:fldChar w:fldCharType="begin"/>
          </w:r>
          <w:r w:rsidR="00042A52">
            <w:instrText xml:space="preserve"> CITATION Kra02 \l 2057 </w:instrText>
          </w:r>
          <w:r w:rsidR="00042A52">
            <w:fldChar w:fldCharType="separate"/>
          </w:r>
          <w:r w:rsidR="00042A52">
            <w:rPr>
              <w:noProof/>
            </w:rPr>
            <w:t xml:space="preserve"> </w:t>
          </w:r>
          <w:r w:rsidR="00042A52" w:rsidRPr="00042A52">
            <w:rPr>
              <w:noProof/>
            </w:rPr>
            <w:t>(Krathwohl, 2002)</w:t>
          </w:r>
          <w:r w:rsidR="00042A52">
            <w:fldChar w:fldCharType="end"/>
          </w:r>
        </w:sdtContent>
      </w:sdt>
      <w:r w:rsidR="00EC459A">
        <w:t>.</w:t>
      </w:r>
      <w:r w:rsidR="00E12887">
        <w:t xml:space="preserve"> Therefore, this means that this research can be concluded as inconclusive.</w:t>
      </w:r>
      <w:r w:rsidR="00042A52">
        <w:t xml:space="preserve"> Although, it is still important to consider the limitations of Bloom’s Taxono</w:t>
      </w:r>
      <w:r w:rsidR="00B36C4E">
        <w:t>my such as the requirement to achieve each stage to move onto the next stage and</w:t>
      </w:r>
      <w:r w:rsidR="00EC459A">
        <w:t xml:space="preserve"> the suggestion</w:t>
      </w:r>
      <w:r w:rsidR="00B36C4E">
        <w:t xml:space="preserve"> pupils cannot reach the higher stages without achieving the stages below which has been shown to be false</w:t>
      </w:r>
      <w:sdt>
        <w:sdtPr>
          <w:id w:val="602545390"/>
          <w:citation/>
        </w:sdtPr>
        <w:sdtContent>
          <w:r w:rsidR="00B36C4E">
            <w:fldChar w:fldCharType="begin"/>
          </w:r>
          <w:r w:rsidR="00B36C4E">
            <w:instrText xml:space="preserve"> CITATION Cas13 \l 2057 </w:instrText>
          </w:r>
          <w:r w:rsidR="00B36C4E">
            <w:fldChar w:fldCharType="separate"/>
          </w:r>
          <w:r w:rsidR="00B36C4E">
            <w:rPr>
              <w:noProof/>
            </w:rPr>
            <w:t xml:space="preserve"> </w:t>
          </w:r>
          <w:r w:rsidR="00B36C4E" w:rsidRPr="00B36C4E">
            <w:rPr>
              <w:noProof/>
            </w:rPr>
            <w:t>(Case, 2013)</w:t>
          </w:r>
          <w:r w:rsidR="00B36C4E">
            <w:fldChar w:fldCharType="end"/>
          </w:r>
        </w:sdtContent>
      </w:sdt>
      <w:r w:rsidR="00B36C4E">
        <w:t>. Nevertheless, the Revised Taxonomy provides a guide to follow for a pupil’s understanding of a topic</w:t>
      </w:r>
      <w:sdt>
        <w:sdtPr>
          <w:id w:val="-1003970949"/>
          <w:citation/>
        </w:sdtPr>
        <w:sdtContent>
          <w:r w:rsidR="00B36C4E">
            <w:fldChar w:fldCharType="begin"/>
          </w:r>
          <w:r w:rsidR="00B36C4E">
            <w:instrText xml:space="preserve"> CITATION Kra02 \l 2057 </w:instrText>
          </w:r>
          <w:r w:rsidR="00B36C4E">
            <w:fldChar w:fldCharType="separate"/>
          </w:r>
          <w:r w:rsidR="00B36C4E">
            <w:rPr>
              <w:noProof/>
            </w:rPr>
            <w:t xml:space="preserve"> </w:t>
          </w:r>
          <w:r w:rsidR="00B36C4E" w:rsidRPr="00B36C4E">
            <w:rPr>
              <w:noProof/>
            </w:rPr>
            <w:t>(Krathwohl, 2002)</w:t>
          </w:r>
          <w:r w:rsidR="00B36C4E">
            <w:fldChar w:fldCharType="end"/>
          </w:r>
        </w:sdtContent>
      </w:sdt>
      <w:r w:rsidR="00B36C4E">
        <w:t xml:space="preserve"> despite it being over ten years old</w:t>
      </w:r>
      <w:sdt>
        <w:sdtPr>
          <w:id w:val="859935254"/>
          <w:citation/>
        </w:sdtPr>
        <w:sdtContent>
          <w:r w:rsidR="00B36C4E">
            <w:fldChar w:fldCharType="begin"/>
          </w:r>
          <w:r w:rsidR="00B36C4E">
            <w:instrText xml:space="preserve"> CITATION Kra02 \l 2057 </w:instrText>
          </w:r>
          <w:r w:rsidR="00B36C4E">
            <w:fldChar w:fldCharType="separate"/>
          </w:r>
          <w:r w:rsidR="00B36C4E">
            <w:rPr>
              <w:noProof/>
            </w:rPr>
            <w:t xml:space="preserve"> </w:t>
          </w:r>
          <w:r w:rsidR="00B36C4E" w:rsidRPr="00B36C4E">
            <w:rPr>
              <w:noProof/>
            </w:rPr>
            <w:t>(Krathwohl, 2002)</w:t>
          </w:r>
          <w:r w:rsidR="00B36C4E">
            <w:fldChar w:fldCharType="end"/>
          </w:r>
        </w:sdtContent>
      </w:sdt>
      <w:r w:rsidR="00B36C4E">
        <w:t>.</w:t>
      </w:r>
    </w:p>
    <w:p w14:paraId="26861F9D" w14:textId="77777777" w:rsidR="00042A52" w:rsidRDefault="00042A52" w:rsidP="004D2FF6">
      <w:pPr>
        <w:spacing w:line="360" w:lineRule="auto"/>
      </w:pPr>
    </w:p>
    <w:p w14:paraId="4439B41F" w14:textId="3ED52BE0" w:rsidR="00B36C4E" w:rsidRDefault="00392D32" w:rsidP="004D2FF6">
      <w:pPr>
        <w:spacing w:line="360" w:lineRule="auto"/>
        <w:rPr>
          <w:noProof/>
        </w:rPr>
      </w:pPr>
      <w:r>
        <w:rPr>
          <w:noProof/>
        </w:rPr>
        <w:t xml:space="preserve">However, </w:t>
      </w:r>
      <w:r w:rsidR="00042A52">
        <w:rPr>
          <w:noProof/>
        </w:rPr>
        <w:t>our research has shown that the reasoning as to why certain pupils</w:t>
      </w:r>
      <w:r>
        <w:rPr>
          <w:noProof/>
        </w:rPr>
        <w:t xml:space="preserve"> may</w:t>
      </w:r>
      <w:r w:rsidR="00042A52">
        <w:rPr>
          <w:noProof/>
        </w:rPr>
        <w:t xml:space="preserve"> have less of an understanding may</w:t>
      </w:r>
      <w:r>
        <w:rPr>
          <w:noProof/>
        </w:rPr>
        <w:t xml:space="preserve"> be due to the the class teacher getting involved and setting an </w:t>
      </w:r>
      <w:r>
        <w:rPr>
          <w:noProof/>
        </w:rPr>
        <w:lastRenderedPageBreak/>
        <w:t xml:space="preserve">additional task </w:t>
      </w:r>
      <w:r w:rsidR="00042A52">
        <w:rPr>
          <w:noProof/>
        </w:rPr>
        <w:t>to</w:t>
      </w:r>
      <w:r>
        <w:rPr>
          <w:noProof/>
        </w:rPr>
        <w:t xml:space="preserve"> pupils. This could have impacted our results as it can cause something known as cognitive overload due to to much taskation in the lesson</w:t>
      </w:r>
      <w:sdt>
        <w:sdtPr>
          <w:rPr>
            <w:noProof/>
          </w:rPr>
          <w:id w:val="-412002296"/>
          <w:citation/>
        </w:sdtPr>
        <w:sdtContent>
          <w:r>
            <w:rPr>
              <w:noProof/>
            </w:rPr>
            <w:fldChar w:fldCharType="begin"/>
          </w:r>
          <w:r>
            <w:rPr>
              <w:noProof/>
            </w:rPr>
            <w:instrText xml:space="preserve"> CITATION Kir00 \l 2057 </w:instrText>
          </w:r>
          <w:r>
            <w:rPr>
              <w:noProof/>
            </w:rPr>
            <w:fldChar w:fldCharType="separate"/>
          </w:r>
          <w:r>
            <w:rPr>
              <w:noProof/>
            </w:rPr>
            <w:t xml:space="preserve"> </w:t>
          </w:r>
          <w:r w:rsidRPr="0020099B">
            <w:rPr>
              <w:noProof/>
            </w:rPr>
            <w:t>(Kirsh, 2000)</w:t>
          </w:r>
          <w:r>
            <w:rPr>
              <w:noProof/>
            </w:rPr>
            <w:fldChar w:fldCharType="end"/>
          </w:r>
        </w:sdtContent>
      </w:sdt>
      <w:r>
        <w:rPr>
          <w:noProof/>
        </w:rPr>
        <w:t>. However, the potential reasoning for cognitive overload of the pupils may be the constant interruption the carousel task caused instead of the taskation overload</w:t>
      </w:r>
      <w:sdt>
        <w:sdtPr>
          <w:rPr>
            <w:noProof/>
          </w:rPr>
          <w:id w:val="1928928208"/>
          <w:citation/>
        </w:sdtPr>
        <w:sdtContent>
          <w:r>
            <w:rPr>
              <w:noProof/>
            </w:rPr>
            <w:fldChar w:fldCharType="begin"/>
          </w:r>
          <w:r>
            <w:rPr>
              <w:noProof/>
            </w:rPr>
            <w:instrText xml:space="preserve"> CITATION Kir00 \l 2057 </w:instrText>
          </w:r>
          <w:r>
            <w:rPr>
              <w:noProof/>
            </w:rPr>
            <w:fldChar w:fldCharType="separate"/>
          </w:r>
          <w:r>
            <w:rPr>
              <w:noProof/>
            </w:rPr>
            <w:t xml:space="preserve"> </w:t>
          </w:r>
          <w:r w:rsidRPr="002A0E00">
            <w:rPr>
              <w:noProof/>
            </w:rPr>
            <w:t>(Kirsh, 2000)</w:t>
          </w:r>
          <w:r>
            <w:rPr>
              <w:noProof/>
            </w:rPr>
            <w:fldChar w:fldCharType="end"/>
          </w:r>
        </w:sdtContent>
      </w:sdt>
      <w:r>
        <w:rPr>
          <w:noProof/>
        </w:rPr>
        <w:t xml:space="preserve">. Either way, pupils in School Y did appear to be cognitivelly overloaded and both </w:t>
      </w:r>
      <w:r w:rsidR="00042A52">
        <w:rPr>
          <w:noProof/>
        </w:rPr>
        <w:t>too much</w:t>
      </w:r>
      <w:r>
        <w:rPr>
          <w:noProof/>
        </w:rPr>
        <w:t xml:space="preserve"> taskation and interrutption can cause this</w:t>
      </w:r>
      <w:sdt>
        <w:sdtPr>
          <w:rPr>
            <w:noProof/>
          </w:rPr>
          <w:id w:val="1091429430"/>
          <w:citation/>
        </w:sdtPr>
        <w:sdtContent>
          <w:r>
            <w:rPr>
              <w:noProof/>
            </w:rPr>
            <w:fldChar w:fldCharType="begin"/>
          </w:r>
          <w:r>
            <w:rPr>
              <w:noProof/>
            </w:rPr>
            <w:instrText xml:space="preserve"> CITATION Kir00 \l 2057 </w:instrText>
          </w:r>
          <w:r>
            <w:rPr>
              <w:noProof/>
            </w:rPr>
            <w:fldChar w:fldCharType="separate"/>
          </w:r>
          <w:r>
            <w:rPr>
              <w:noProof/>
            </w:rPr>
            <w:t xml:space="preserve"> </w:t>
          </w:r>
          <w:r w:rsidRPr="00A575FA">
            <w:rPr>
              <w:noProof/>
            </w:rPr>
            <w:t>(Kirsh, 2000)</w:t>
          </w:r>
          <w:r>
            <w:rPr>
              <w:noProof/>
            </w:rPr>
            <w:fldChar w:fldCharType="end"/>
          </w:r>
        </w:sdtContent>
      </w:sdt>
      <w:r w:rsidR="00042A52">
        <w:rPr>
          <w:noProof/>
        </w:rPr>
        <w:t>. Especially</w:t>
      </w:r>
      <w:r>
        <w:rPr>
          <w:noProof/>
        </w:rPr>
        <w:t xml:space="preserve"> when compared to Pupils in School X who were not cognitively overloaded and this could have heavily impacted on our results in this research.</w:t>
      </w:r>
      <w:r w:rsidR="00F70EDA">
        <w:rPr>
          <w:noProof/>
        </w:rPr>
        <w:t xml:space="preserve"> This is why if we were to do research again, we would ensure that pupils were not cognitively overloaded to ensure</w:t>
      </w:r>
      <w:r w:rsidR="00014633">
        <w:rPr>
          <w:noProof/>
        </w:rPr>
        <w:t xml:space="preserve"> that they have the best chance of understanding</w:t>
      </w:r>
      <w:r w:rsidR="00042A52">
        <w:rPr>
          <w:noProof/>
        </w:rPr>
        <w:t xml:space="preserve"> and being able to at least reach the ‘Apply’ stage of The Revised Bloom’s Taxonomy</w:t>
      </w:r>
      <w:sdt>
        <w:sdtPr>
          <w:rPr>
            <w:noProof/>
          </w:rPr>
          <w:id w:val="-1057319040"/>
          <w:citation/>
        </w:sdtPr>
        <w:sdtContent>
          <w:r w:rsidR="00B36C4E">
            <w:rPr>
              <w:noProof/>
            </w:rPr>
            <w:fldChar w:fldCharType="begin"/>
          </w:r>
          <w:r w:rsidR="00B36C4E">
            <w:rPr>
              <w:noProof/>
            </w:rPr>
            <w:instrText xml:space="preserve"> CITATION Kra02 \l 2057 </w:instrText>
          </w:r>
          <w:r w:rsidR="00B36C4E">
            <w:rPr>
              <w:noProof/>
            </w:rPr>
            <w:fldChar w:fldCharType="separate"/>
          </w:r>
          <w:r w:rsidR="00B36C4E">
            <w:rPr>
              <w:noProof/>
            </w:rPr>
            <w:t xml:space="preserve"> </w:t>
          </w:r>
          <w:r w:rsidR="00B36C4E" w:rsidRPr="00B36C4E">
            <w:rPr>
              <w:noProof/>
            </w:rPr>
            <w:t>(Krathwohl, 2002)</w:t>
          </w:r>
          <w:r w:rsidR="00B36C4E">
            <w:rPr>
              <w:noProof/>
            </w:rPr>
            <w:fldChar w:fldCharType="end"/>
          </w:r>
        </w:sdtContent>
      </w:sdt>
      <w:r w:rsidR="00014633">
        <w:rPr>
          <w:noProof/>
        </w:rPr>
        <w:t>.</w:t>
      </w:r>
      <w:r w:rsidR="00B36C4E">
        <w:rPr>
          <w:noProof/>
        </w:rPr>
        <w:t xml:space="preserve"> To achieve this, we would have no other member of school staff present within the room whilst we were teaching. However, as PGCE students this would have been impossible.</w:t>
      </w:r>
      <w:r w:rsidR="00F70EDA">
        <w:rPr>
          <w:noProof/>
        </w:rPr>
        <w:t xml:space="preserve"> </w:t>
      </w:r>
      <w:r>
        <w:rPr>
          <w:noProof/>
        </w:rPr>
        <w:t>In addition to this, the research could have been improved further if both lessons taught had been the same and used the same analogies so it could</w:t>
      </w:r>
      <w:r w:rsidR="00B36C4E">
        <w:rPr>
          <w:noProof/>
        </w:rPr>
        <w:t xml:space="preserve"> be consistent and us as researchers would</w:t>
      </w:r>
      <w:r>
        <w:rPr>
          <w:noProof/>
        </w:rPr>
        <w:t xml:space="preserve"> have </w:t>
      </w:r>
      <w:r w:rsidR="00B36C4E">
        <w:rPr>
          <w:noProof/>
        </w:rPr>
        <w:t>had</w:t>
      </w:r>
      <w:r>
        <w:rPr>
          <w:noProof/>
        </w:rPr>
        <w:t xml:space="preserve"> a direct comparison to see if analogies do impact understanding. However, due to time constraints and pressures within schools this was unachievable.</w:t>
      </w:r>
      <w:r w:rsidR="0010245A">
        <w:rPr>
          <w:noProof/>
        </w:rPr>
        <w:t xml:space="preserve"> If we were to do this again, we would ensure we have more time to do the research properly whilst trying to incorporate a pilot study to the research design</w:t>
      </w:r>
      <w:r w:rsidR="00B36C4E">
        <w:rPr>
          <w:noProof/>
        </w:rPr>
        <w:t xml:space="preserve"> in order to give us as researchers more experience of using the method used within this research.</w:t>
      </w:r>
    </w:p>
    <w:p w14:paraId="677AEE19" w14:textId="77777777" w:rsidR="007A15F0" w:rsidRDefault="007A15F0" w:rsidP="004D2FF6">
      <w:pPr>
        <w:tabs>
          <w:tab w:val="left" w:pos="8125"/>
        </w:tabs>
        <w:spacing w:line="360" w:lineRule="auto"/>
      </w:pPr>
    </w:p>
    <w:p w14:paraId="7C7251F5" w14:textId="2C7F9C7E" w:rsidR="00F51A7D" w:rsidRDefault="007A15F0" w:rsidP="004D2FF6">
      <w:pPr>
        <w:tabs>
          <w:tab w:val="left" w:pos="8125"/>
        </w:tabs>
        <w:spacing w:line="360" w:lineRule="auto"/>
      </w:pPr>
      <w:r>
        <w:t>Finally, we felt there was an issue with the sample size of only using two classes within two schools and only six ‘Case Pupils’, of which were in the same Key Stage Group. Despite this providing us with rich qualitative data as a result of using focus group interviews</w:t>
      </w:r>
      <w:sdt>
        <w:sdtPr>
          <w:id w:val="1380980800"/>
          <w:citation/>
        </w:sdtPr>
        <w:sdtContent>
          <w:r>
            <w:fldChar w:fldCharType="begin"/>
          </w:r>
          <w:r>
            <w:instrText xml:space="preserve"> CITATION Nyu18 \l 2057 </w:instrText>
          </w:r>
          <w:r>
            <w:fldChar w:fldCharType="separate"/>
          </w:r>
          <w:r>
            <w:rPr>
              <w:noProof/>
            </w:rPr>
            <w:t xml:space="preserve"> </w:t>
          </w:r>
          <w:r w:rsidRPr="007A15F0">
            <w:rPr>
              <w:noProof/>
            </w:rPr>
            <w:t>(Nyumba, et al., 2018)</w:t>
          </w:r>
          <w:r>
            <w:fldChar w:fldCharType="end"/>
          </w:r>
        </w:sdtContent>
      </w:sdt>
      <w:r>
        <w:t xml:space="preserve">, it may have been also possible to look at a statistical analysis of summative test scores as done by other previous research on </w:t>
      </w:r>
      <w:r w:rsidR="00F61FC3">
        <w:t>the use of analogies in teaching</w:t>
      </w:r>
      <w:sdt>
        <w:sdtPr>
          <w:id w:val="-656148179"/>
          <w:citation/>
        </w:sdtPr>
        <w:sdtContent>
          <w:r w:rsidR="00F61FC3">
            <w:fldChar w:fldCharType="begin"/>
          </w:r>
          <w:r w:rsidR="00F61FC3">
            <w:instrText xml:space="preserve"> CITATION Gen13 \l 2057 </w:instrText>
          </w:r>
          <w:r w:rsidR="00F61FC3">
            <w:fldChar w:fldCharType="separate"/>
          </w:r>
          <w:r w:rsidR="00F61FC3">
            <w:rPr>
              <w:noProof/>
            </w:rPr>
            <w:t xml:space="preserve"> </w:t>
          </w:r>
          <w:r w:rsidR="00F61FC3" w:rsidRPr="00F61FC3">
            <w:rPr>
              <w:noProof/>
            </w:rPr>
            <w:t>(Genc, 2013)</w:t>
          </w:r>
          <w:r w:rsidR="00F61FC3">
            <w:fldChar w:fldCharType="end"/>
          </w:r>
        </w:sdtContent>
      </w:sdt>
      <w:r w:rsidR="00F61FC3">
        <w:t>.</w:t>
      </w:r>
      <w:r>
        <w:t xml:space="preserve"> In order to rectify this for next time, we felt that using Lesson Study on multiple classes across different Key Stages would give us a clearer picture as to whether analogies do impact on understanding within schools.</w:t>
      </w:r>
      <w:r w:rsidR="00F61FC3">
        <w:t xml:space="preserve"> Furthermore, it could be possible of using a mixed-method study of using ‘Lesson Study’ with a statistical analysis over time to gain greater detail,</w:t>
      </w:r>
      <w:r w:rsidR="00EC459A">
        <w:t xml:space="preserve"> but this is</w:t>
      </w:r>
      <w:r w:rsidR="00F61FC3">
        <w:t xml:space="preserve"> subject to time constraints.</w:t>
      </w:r>
      <w:r w:rsidR="0023453E">
        <w:t xml:space="preserve"> This would also mean we would not have to </w:t>
      </w:r>
      <w:r w:rsidR="0023453E">
        <w:lastRenderedPageBreak/>
        <w:t>rely on writing up an interview transcript where vital information can be lost</w:t>
      </w:r>
      <w:sdt>
        <w:sdtPr>
          <w:id w:val="311302763"/>
          <w:citation/>
        </w:sdtPr>
        <w:sdtContent>
          <w:r w:rsidR="0023453E">
            <w:fldChar w:fldCharType="begin"/>
          </w:r>
          <w:r w:rsidR="0023453E">
            <w:instrText xml:space="preserve"> CITATION Dil13 \l 2057 </w:instrText>
          </w:r>
          <w:r w:rsidR="0023453E">
            <w:fldChar w:fldCharType="separate"/>
          </w:r>
          <w:r w:rsidR="0023453E">
            <w:rPr>
              <w:noProof/>
            </w:rPr>
            <w:t xml:space="preserve"> </w:t>
          </w:r>
          <w:r w:rsidR="0023453E" w:rsidRPr="0023453E">
            <w:rPr>
              <w:noProof/>
            </w:rPr>
            <w:t>(Dilshad &amp; Latif, 2013)</w:t>
          </w:r>
          <w:r w:rsidR="0023453E">
            <w:fldChar w:fldCharType="end"/>
          </w:r>
        </w:sdtContent>
      </w:sdt>
      <w:r w:rsidR="0023453E">
        <w:t>.</w:t>
      </w:r>
    </w:p>
    <w:p w14:paraId="67589CF3" w14:textId="77777777" w:rsidR="00F51A7D" w:rsidRDefault="00F51A7D" w:rsidP="004D2FF6">
      <w:pPr>
        <w:tabs>
          <w:tab w:val="left" w:pos="8125"/>
        </w:tabs>
        <w:spacing w:line="360" w:lineRule="auto"/>
      </w:pPr>
    </w:p>
    <w:p w14:paraId="4E30029E" w14:textId="34E238C0" w:rsidR="00F51A7D" w:rsidRDefault="004D2FF6" w:rsidP="004D2FF6">
      <w:pPr>
        <w:tabs>
          <w:tab w:val="left" w:pos="8125"/>
        </w:tabs>
        <w:spacing w:line="360" w:lineRule="auto"/>
        <w:rPr>
          <w:b/>
          <w:bCs/>
          <w:u w:val="single"/>
        </w:rPr>
      </w:pPr>
      <w:r>
        <w:rPr>
          <w:b/>
          <w:bCs/>
          <w:u w:val="single"/>
        </w:rPr>
        <w:t>9.0-</w:t>
      </w:r>
      <w:r w:rsidR="00F51A7D">
        <w:rPr>
          <w:b/>
          <w:bCs/>
          <w:u w:val="single"/>
        </w:rPr>
        <w:t>Recommendations</w:t>
      </w:r>
    </w:p>
    <w:p w14:paraId="1DB035BA" w14:textId="77777777" w:rsidR="003D53BC" w:rsidRDefault="003D53BC" w:rsidP="004D2FF6">
      <w:pPr>
        <w:tabs>
          <w:tab w:val="left" w:pos="8125"/>
        </w:tabs>
        <w:spacing w:line="360" w:lineRule="auto"/>
      </w:pPr>
    </w:p>
    <w:p w14:paraId="01FBFF7C" w14:textId="4955C6B2" w:rsidR="00D5656F" w:rsidRDefault="003D53BC" w:rsidP="004D2FF6">
      <w:pPr>
        <w:tabs>
          <w:tab w:val="left" w:pos="8125"/>
        </w:tabs>
        <w:spacing w:line="360" w:lineRule="auto"/>
      </w:pPr>
      <w:r>
        <w:t>This research will help us move our own teaching practise further as we know that analogies do have the potential to increase understanding of pupils if the analogy is done correctly, despite our inconclusive results.</w:t>
      </w:r>
      <w:r w:rsidR="007543AE">
        <w:t xml:space="preserve"> Furthermore, it has taught us that if the understanding of a topic is poor then to avoid the use of analogies as it made </w:t>
      </w:r>
      <w:r w:rsidR="00EC459A">
        <w:t>a significant</w:t>
      </w:r>
      <w:r w:rsidR="007543AE">
        <w:t xml:space="preserve"> difference in the levels of understanding within the class. If this research were to be conducted again, I would recommend it to be done on a bigger scale, with a larger sample of ‘Case Pupils’ and schools and when the new Welsh curriculum is in place to see if analogies are able to help understanding in that particular curriculum. Additionally, </w:t>
      </w:r>
      <w:r w:rsidR="00EC459A">
        <w:t>we</w:t>
      </w:r>
      <w:r w:rsidR="007543AE">
        <w:t xml:space="preserve"> feel there is requirement for the same lesson to be taught as different teaching styles and methods could be a potential reason why there was a difference in understanding between the two schools. However, it could also be reasons which have not be considered</w:t>
      </w:r>
      <w:r w:rsidR="00EC459A">
        <w:t xml:space="preserve"> and analysed</w:t>
      </w:r>
      <w:r w:rsidR="007543AE">
        <w:t xml:space="preserve"> such as the demographics of the two schools. This is why a nation-wide approach with a larger sample of pupils and schools are required to see if analogies do help understanding of a topic.</w:t>
      </w:r>
      <w:r w:rsidR="00D5656F">
        <w:tab/>
      </w:r>
    </w:p>
    <w:p w14:paraId="7AB47C5E" w14:textId="79141CF4" w:rsidR="00C72145" w:rsidRDefault="00C72145" w:rsidP="00D5656F">
      <w:pPr>
        <w:tabs>
          <w:tab w:val="left" w:pos="8125"/>
        </w:tabs>
      </w:pPr>
    </w:p>
    <w:p w14:paraId="13A7B1C2" w14:textId="235B0F5C" w:rsidR="00C72145" w:rsidRDefault="00C72145" w:rsidP="00D5656F">
      <w:pPr>
        <w:tabs>
          <w:tab w:val="left" w:pos="8125"/>
        </w:tabs>
      </w:pPr>
    </w:p>
    <w:p w14:paraId="7768F284" w14:textId="102CB7B4" w:rsidR="00C72145" w:rsidRDefault="00C72145" w:rsidP="00D5656F">
      <w:pPr>
        <w:tabs>
          <w:tab w:val="left" w:pos="8125"/>
        </w:tabs>
      </w:pPr>
    </w:p>
    <w:p w14:paraId="1E9030B6" w14:textId="1CA97210" w:rsidR="00C72145" w:rsidRDefault="00C72145" w:rsidP="00D5656F">
      <w:pPr>
        <w:tabs>
          <w:tab w:val="left" w:pos="8125"/>
        </w:tabs>
      </w:pPr>
    </w:p>
    <w:p w14:paraId="2B898F47" w14:textId="574A6ADD" w:rsidR="00C72145" w:rsidRDefault="00C72145" w:rsidP="00D5656F">
      <w:pPr>
        <w:tabs>
          <w:tab w:val="left" w:pos="8125"/>
        </w:tabs>
      </w:pPr>
    </w:p>
    <w:p w14:paraId="5CF2727B" w14:textId="5C1EBC7D" w:rsidR="00C72145" w:rsidRDefault="00C72145" w:rsidP="00D5656F">
      <w:pPr>
        <w:tabs>
          <w:tab w:val="left" w:pos="8125"/>
        </w:tabs>
      </w:pPr>
    </w:p>
    <w:p w14:paraId="2231DF27" w14:textId="6E4AA98A" w:rsidR="00C72145" w:rsidRDefault="00C72145" w:rsidP="00D5656F">
      <w:pPr>
        <w:tabs>
          <w:tab w:val="left" w:pos="8125"/>
        </w:tabs>
      </w:pPr>
    </w:p>
    <w:p w14:paraId="4157132F" w14:textId="4487DC3F" w:rsidR="00C72145" w:rsidRDefault="00C72145" w:rsidP="00D5656F">
      <w:pPr>
        <w:tabs>
          <w:tab w:val="left" w:pos="8125"/>
        </w:tabs>
      </w:pPr>
    </w:p>
    <w:p w14:paraId="32F48E3E" w14:textId="6B01B3C4" w:rsidR="00C72145" w:rsidRDefault="00C72145" w:rsidP="00D5656F">
      <w:pPr>
        <w:tabs>
          <w:tab w:val="left" w:pos="8125"/>
        </w:tabs>
      </w:pPr>
    </w:p>
    <w:sdt>
      <w:sdtPr>
        <w:id w:val="2085479304"/>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2C65A458" w14:textId="5C2F46F0" w:rsidR="00C72145" w:rsidRDefault="004D2FF6">
          <w:pPr>
            <w:pStyle w:val="Heading1"/>
          </w:pPr>
          <w:r>
            <w:t>10.0-</w:t>
          </w:r>
          <w:r w:rsidR="00C72145">
            <w:t>Reference List</w:t>
          </w:r>
        </w:p>
        <w:sdt>
          <w:sdtPr>
            <w:id w:val="111145805"/>
            <w:bibliography/>
          </w:sdtPr>
          <w:sdtContent>
            <w:p w14:paraId="4996CC96" w14:textId="77777777" w:rsidR="00C72145" w:rsidRDefault="00C72145" w:rsidP="00C72145">
              <w:pPr>
                <w:pStyle w:val="Bibliography"/>
                <w:rPr>
                  <w:noProof/>
                  <w:lang w:val="en-US"/>
                </w:rPr>
              </w:pPr>
              <w:r>
                <w:fldChar w:fldCharType="begin"/>
              </w:r>
              <w:r>
                <w:instrText xml:space="preserve"> BIBLIOGRAPHY </w:instrText>
              </w:r>
              <w:r>
                <w:fldChar w:fldCharType="separate"/>
              </w:r>
              <w:r>
                <w:rPr>
                  <w:noProof/>
                  <w:lang w:val="en-US"/>
                </w:rPr>
                <w:t xml:space="preserve">Amador, J. &amp; Carter, I., 2018. Audible conversational affordances and constraints of verbalising professional noticing during prospective teacher lesson study.. </w:t>
              </w:r>
              <w:r>
                <w:rPr>
                  <w:i/>
                  <w:iCs/>
                  <w:noProof/>
                  <w:lang w:val="en-US"/>
                </w:rPr>
                <w:t xml:space="preserve">Journal of Mathematics Teacher Education, </w:t>
              </w:r>
              <w:r>
                <w:rPr>
                  <w:noProof/>
                  <w:lang w:val="en-US"/>
                </w:rPr>
                <w:t>Volume 21, pp. 5-34.</w:t>
              </w:r>
            </w:p>
            <w:p w14:paraId="39337C2C" w14:textId="77777777" w:rsidR="00C72145" w:rsidRDefault="00C72145" w:rsidP="00C72145">
              <w:pPr>
                <w:pStyle w:val="Bibliography"/>
                <w:rPr>
                  <w:noProof/>
                  <w:lang w:val="en-US"/>
                </w:rPr>
              </w:pPr>
              <w:r>
                <w:rPr>
                  <w:noProof/>
                  <w:lang w:val="en-US"/>
                </w:rPr>
                <w:t xml:space="preserve">Armstrong, P., 2016. </w:t>
              </w:r>
              <w:r>
                <w:rPr>
                  <w:i/>
                  <w:iCs/>
                  <w:noProof/>
                  <w:lang w:val="en-US"/>
                </w:rPr>
                <w:t xml:space="preserve">Bloom's Taxonomy. </w:t>
              </w:r>
              <w:r>
                <w:rPr>
                  <w:noProof/>
                  <w:lang w:val="en-US"/>
                </w:rPr>
                <w:t xml:space="preserve">[Online] </w:t>
              </w:r>
              <w:r>
                <w:rPr>
                  <w:noProof/>
                  <w:lang w:val="en-US"/>
                </w:rPr>
                <w:br/>
                <w:t xml:space="preserve">Available at: </w:t>
              </w:r>
              <w:r>
                <w:rPr>
                  <w:noProof/>
                  <w:u w:val="single"/>
                  <w:lang w:val="en-US"/>
                </w:rPr>
                <w:t>https://programs.caringsafely.org/wp-content/uploads/2019/05/Caring-Safely-Professional-Program-Course-Development.pdf</w:t>
              </w:r>
              <w:r>
                <w:rPr>
                  <w:noProof/>
                  <w:lang w:val="en-US"/>
                </w:rPr>
                <w:br/>
                <w:t>[Accessed 11 February 2020].</w:t>
              </w:r>
              <w:bookmarkStart w:id="0" w:name="_GoBack"/>
              <w:bookmarkEnd w:id="0"/>
            </w:p>
            <w:p w14:paraId="072F6A1F" w14:textId="77777777" w:rsidR="00C72145" w:rsidRDefault="00C72145" w:rsidP="00C72145">
              <w:pPr>
                <w:pStyle w:val="Bibliography"/>
                <w:rPr>
                  <w:noProof/>
                  <w:lang w:val="en-US"/>
                </w:rPr>
              </w:pPr>
              <w:r>
                <w:rPr>
                  <w:noProof/>
                  <w:lang w:val="en-US"/>
                </w:rPr>
                <w:lastRenderedPageBreak/>
                <w:t xml:space="preserve">Armstrong, P., 2020. </w:t>
              </w:r>
              <w:r>
                <w:rPr>
                  <w:i/>
                  <w:iCs/>
                  <w:noProof/>
                  <w:lang w:val="en-US"/>
                </w:rPr>
                <w:t xml:space="preserve">Bloom's Taxonomy. </w:t>
              </w:r>
              <w:r>
                <w:rPr>
                  <w:noProof/>
                  <w:lang w:val="en-US"/>
                </w:rPr>
                <w:t xml:space="preserve">[Online] </w:t>
              </w:r>
              <w:r>
                <w:rPr>
                  <w:noProof/>
                  <w:lang w:val="en-US"/>
                </w:rPr>
                <w:br/>
                <w:t xml:space="preserve">Available at: </w:t>
              </w:r>
              <w:r>
                <w:rPr>
                  <w:noProof/>
                  <w:u w:val="single"/>
                  <w:lang w:val="en-US"/>
                </w:rPr>
                <w:t>https://cft.vanderbilt.edu/guides-sub-pages/blooms-taxonomy/</w:t>
              </w:r>
              <w:r>
                <w:rPr>
                  <w:noProof/>
                  <w:lang w:val="en-US"/>
                </w:rPr>
                <w:br/>
                <w:t>[Accessed 16 February 2020].</w:t>
              </w:r>
            </w:p>
            <w:p w14:paraId="4106DB56" w14:textId="77777777" w:rsidR="00C72145" w:rsidRDefault="00C72145" w:rsidP="00C72145">
              <w:pPr>
                <w:pStyle w:val="Bibliography"/>
                <w:rPr>
                  <w:noProof/>
                  <w:lang w:val="en-US"/>
                </w:rPr>
              </w:pPr>
              <w:r>
                <w:rPr>
                  <w:noProof/>
                  <w:lang w:val="en-US"/>
                </w:rPr>
                <w:t xml:space="preserve">Blandford, A., Furniss, D. &amp; Makri, S., 2016. </w:t>
              </w:r>
              <w:r>
                <w:rPr>
                  <w:i/>
                  <w:iCs/>
                  <w:noProof/>
                  <w:lang w:val="en-US"/>
                </w:rPr>
                <w:t xml:space="preserve">Qualitative HCI Research. </w:t>
              </w:r>
              <w:r>
                <w:rPr>
                  <w:noProof/>
                  <w:lang w:val="en-US"/>
                </w:rPr>
                <w:t>1st ed. San Rafael: Morgan &amp; Claypool.</w:t>
              </w:r>
            </w:p>
            <w:p w14:paraId="3F19554C" w14:textId="77777777" w:rsidR="00C72145" w:rsidRDefault="00C72145" w:rsidP="00C72145">
              <w:pPr>
                <w:pStyle w:val="Bibliography"/>
                <w:rPr>
                  <w:noProof/>
                  <w:lang w:val="en-US"/>
                </w:rPr>
              </w:pPr>
              <w:r>
                <w:rPr>
                  <w:noProof/>
                  <w:lang w:val="en-US"/>
                </w:rPr>
                <w:t xml:space="preserve">British Educational Research Association, 2018. </w:t>
              </w:r>
              <w:r>
                <w:rPr>
                  <w:i/>
                  <w:iCs/>
                  <w:noProof/>
                  <w:lang w:val="en-US"/>
                </w:rPr>
                <w:t xml:space="preserve">Ethical Guidelines for Educational Research, </w:t>
              </w:r>
              <w:r>
                <w:rPr>
                  <w:noProof/>
                  <w:lang w:val="en-US"/>
                </w:rPr>
                <w:t>London: British Educational Research Association.</w:t>
              </w:r>
            </w:p>
            <w:p w14:paraId="49EA2365" w14:textId="77777777" w:rsidR="00C72145" w:rsidRDefault="00C72145" w:rsidP="00C72145">
              <w:pPr>
                <w:pStyle w:val="Bibliography"/>
                <w:rPr>
                  <w:noProof/>
                  <w:lang w:val="en-US"/>
                </w:rPr>
              </w:pPr>
              <w:r>
                <w:rPr>
                  <w:noProof/>
                  <w:lang w:val="en-US"/>
                </w:rPr>
                <w:t xml:space="preserve">Case, R., 2013. </w:t>
              </w:r>
              <w:r>
                <w:rPr>
                  <w:i/>
                  <w:iCs/>
                  <w:noProof/>
                  <w:lang w:val="en-US"/>
                </w:rPr>
                <w:t xml:space="preserve">The unfortuate consequences of Bloom’s taxonomy. </w:t>
              </w:r>
              <w:r>
                <w:rPr>
                  <w:noProof/>
                  <w:lang w:val="en-US"/>
                </w:rPr>
                <w:t xml:space="preserve">[Online] </w:t>
              </w:r>
              <w:r>
                <w:rPr>
                  <w:noProof/>
                  <w:lang w:val="en-US"/>
                </w:rPr>
                <w:br/>
                <w:t xml:space="preserve">Available at: </w:t>
              </w:r>
              <w:r>
                <w:rPr>
                  <w:noProof/>
                  <w:u w:val="single"/>
                  <w:lang w:val="en-US"/>
                </w:rPr>
                <w:t>https://tc2.ca/uploads/PDFs/Critical%20Discussions/unfortunate_consequences_blooms_taxonomy.pdf</w:t>
              </w:r>
              <w:r>
                <w:rPr>
                  <w:noProof/>
                  <w:lang w:val="en-US"/>
                </w:rPr>
                <w:br/>
                <w:t>[Accessed 16 February 2020].</w:t>
              </w:r>
            </w:p>
            <w:p w14:paraId="365CAAEA" w14:textId="77777777" w:rsidR="00C72145" w:rsidRDefault="00C72145" w:rsidP="00C72145">
              <w:pPr>
                <w:pStyle w:val="Bibliography"/>
                <w:rPr>
                  <w:noProof/>
                  <w:lang w:val="en-US"/>
                </w:rPr>
              </w:pPr>
              <w:r>
                <w:rPr>
                  <w:noProof/>
                  <w:lang w:val="en-US"/>
                </w:rPr>
                <w:t xml:space="preserve">Davies, M. &amp; Hughes, N., 2007. </w:t>
              </w:r>
              <w:r>
                <w:rPr>
                  <w:i/>
                  <w:iCs/>
                  <w:noProof/>
                  <w:lang w:val="en-US"/>
                </w:rPr>
                <w:t xml:space="preserve">Doing a Successful Research Project. </w:t>
              </w:r>
              <w:r>
                <w:rPr>
                  <w:noProof/>
                  <w:lang w:val="en-US"/>
                </w:rPr>
                <w:t>Basingstoke: Palgarve MacMillan.</w:t>
              </w:r>
            </w:p>
            <w:p w14:paraId="1C15A8F4" w14:textId="77777777" w:rsidR="00C72145" w:rsidRDefault="00C72145" w:rsidP="00C72145">
              <w:pPr>
                <w:pStyle w:val="Bibliography"/>
                <w:rPr>
                  <w:noProof/>
                  <w:lang w:val="en-US"/>
                </w:rPr>
              </w:pPr>
              <w:r>
                <w:rPr>
                  <w:noProof/>
                  <w:lang w:val="en-US"/>
                </w:rPr>
                <w:t xml:space="preserve">Dellsen, F., 2017. Understanding without Justification or Belief. </w:t>
              </w:r>
              <w:r>
                <w:rPr>
                  <w:i/>
                  <w:iCs/>
                  <w:noProof/>
                  <w:lang w:val="en-US"/>
                </w:rPr>
                <w:t xml:space="preserve">Ratio, </w:t>
              </w:r>
              <w:r>
                <w:rPr>
                  <w:noProof/>
                  <w:lang w:val="en-US"/>
                </w:rPr>
                <w:t>30(3), pp. 239-254.</w:t>
              </w:r>
            </w:p>
            <w:p w14:paraId="05FF593C" w14:textId="77777777" w:rsidR="00C72145" w:rsidRDefault="00C72145" w:rsidP="00C72145">
              <w:pPr>
                <w:pStyle w:val="Bibliography"/>
                <w:rPr>
                  <w:noProof/>
                  <w:lang w:val="en-US"/>
                </w:rPr>
              </w:pPr>
              <w:r>
                <w:rPr>
                  <w:noProof/>
                  <w:lang w:val="en-US"/>
                </w:rPr>
                <w:t xml:space="preserve">Dilshad, R. M. &amp; Latif, M. I., 2013. Focus Group Interview as a Tool for Qualitative Research: An Analysis. </w:t>
              </w:r>
              <w:r>
                <w:rPr>
                  <w:i/>
                  <w:iCs/>
                  <w:noProof/>
                  <w:lang w:val="en-US"/>
                </w:rPr>
                <w:t xml:space="preserve">Pakistan Journal of Social Sciences, </w:t>
              </w:r>
              <w:r>
                <w:rPr>
                  <w:noProof/>
                  <w:lang w:val="en-US"/>
                </w:rPr>
                <w:t>33(1), pp. 191-198.</w:t>
              </w:r>
            </w:p>
            <w:p w14:paraId="300EF5F1" w14:textId="77777777" w:rsidR="00C72145" w:rsidRDefault="00C72145" w:rsidP="00C72145">
              <w:pPr>
                <w:pStyle w:val="Bibliography"/>
                <w:rPr>
                  <w:noProof/>
                  <w:lang w:val="en-US"/>
                </w:rPr>
              </w:pPr>
              <w:r>
                <w:rPr>
                  <w:noProof/>
                  <w:lang w:val="en-US"/>
                </w:rPr>
                <w:t xml:space="preserve">Donaldson, G., 2015. </w:t>
              </w:r>
              <w:r>
                <w:rPr>
                  <w:i/>
                  <w:iCs/>
                  <w:noProof/>
                  <w:lang w:val="en-US"/>
                </w:rPr>
                <w:t xml:space="preserve">Successful Futures, </w:t>
              </w:r>
              <w:r>
                <w:rPr>
                  <w:noProof/>
                  <w:lang w:val="en-US"/>
                </w:rPr>
                <w:t>Cardiff: Welsh Government.</w:t>
              </w:r>
            </w:p>
            <w:p w14:paraId="48FDD94B" w14:textId="77777777" w:rsidR="00C72145" w:rsidRDefault="00C72145" w:rsidP="00C72145">
              <w:pPr>
                <w:pStyle w:val="Bibliography"/>
                <w:rPr>
                  <w:noProof/>
                  <w:lang w:val="en-US"/>
                </w:rPr>
              </w:pPr>
              <w:r>
                <w:rPr>
                  <w:noProof/>
                  <w:lang w:val="en-US"/>
                </w:rPr>
                <w:t xml:space="preserve">Dudley, P., 2014. </w:t>
              </w:r>
              <w:r>
                <w:rPr>
                  <w:i/>
                  <w:iCs/>
                  <w:noProof/>
                  <w:lang w:val="en-US"/>
                </w:rPr>
                <w:t xml:space="preserve">Lesson Study: A Handbook. </w:t>
              </w:r>
              <w:r>
                <w:rPr>
                  <w:noProof/>
                  <w:lang w:val="en-US"/>
                </w:rPr>
                <w:t>Cambridge: Cambridge University.</w:t>
              </w:r>
            </w:p>
            <w:p w14:paraId="4D85FBAB" w14:textId="77777777" w:rsidR="00C72145" w:rsidRDefault="00C72145" w:rsidP="00C72145">
              <w:pPr>
                <w:pStyle w:val="Bibliography"/>
                <w:rPr>
                  <w:noProof/>
                  <w:lang w:val="en-US"/>
                </w:rPr>
              </w:pPr>
              <w:r>
                <w:rPr>
                  <w:noProof/>
                  <w:lang w:val="en-US"/>
                </w:rPr>
                <w:t xml:space="preserve">Duman, N., 2016. An Example of the Use of Personal Analogy in Teaching Geography: If I Were a Mineral. </w:t>
              </w:r>
              <w:r>
                <w:rPr>
                  <w:i/>
                  <w:iCs/>
                  <w:noProof/>
                  <w:lang w:val="en-US"/>
                </w:rPr>
                <w:t xml:space="preserve">Educational Research and Reviews, </w:t>
              </w:r>
              <w:r>
                <w:rPr>
                  <w:noProof/>
                  <w:lang w:val="en-US"/>
                </w:rPr>
                <w:t>11(8), pp. 721-731.</w:t>
              </w:r>
            </w:p>
            <w:p w14:paraId="2814BEC4" w14:textId="3654ABAF" w:rsidR="00C72145" w:rsidRDefault="00EB3F20" w:rsidP="00C72145">
              <w:pPr>
                <w:pStyle w:val="Bibliography"/>
                <w:rPr>
                  <w:noProof/>
                  <w:lang w:val="en-US"/>
                </w:rPr>
              </w:pPr>
              <w:r>
                <w:rPr>
                  <w:noProof/>
                  <w:lang w:val="en-US"/>
                </w:rPr>
                <mc:AlternateContent>
                  <mc:Choice Requires="wps">
                    <w:drawing>
                      <wp:anchor distT="0" distB="0" distL="114300" distR="114300" simplePos="0" relativeHeight="251663360" behindDoc="0" locked="0" layoutInCell="1" allowOverlap="1" wp14:anchorId="58892CC2" wp14:editId="3C4ACCE3">
                        <wp:simplePos x="0" y="0"/>
                        <wp:positionH relativeFrom="column">
                          <wp:posOffset>814039</wp:posOffset>
                        </wp:positionH>
                        <wp:positionV relativeFrom="paragraph">
                          <wp:posOffset>0</wp:posOffset>
                        </wp:positionV>
                        <wp:extent cx="2966224" cy="334536"/>
                        <wp:effectExtent l="0" t="0" r="18415" b="8890"/>
                        <wp:wrapNone/>
                        <wp:docPr id="3" name="Rectangle 3"/>
                        <wp:cNvGraphicFramePr/>
                        <a:graphic xmlns:a="http://schemas.openxmlformats.org/drawingml/2006/main">
                          <a:graphicData uri="http://schemas.microsoft.com/office/word/2010/wordprocessingShape">
                            <wps:wsp>
                              <wps:cNvSpPr/>
                              <wps:spPr>
                                <a:xfrm>
                                  <a:off x="0" y="0"/>
                                  <a:ext cx="2966224" cy="33453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62FBF5" id="Rectangle 3" o:spid="_x0000_s1026" style="position:absolute;margin-left:64.1pt;margin-top:0;width:233.55pt;height:26.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" fillcolor="#4472c4 [3204]" strokecolor="#1f3763 [1604]" strokeweight="1pt"/>
                    </w:pict>
                  </mc:Fallback>
                </mc:AlternateContent>
              </w:r>
              <w:r w:rsidR="00C72145">
                <w:rPr>
                  <w:noProof/>
                  <w:lang w:val="en-US"/>
                </w:rPr>
                <w:t xml:space="preserve">Estyn, 2017. </w:t>
              </w:r>
              <w:r w:rsidR="00C72145">
                <w:rPr>
                  <w:i/>
                  <w:iCs/>
                  <w:noProof/>
                  <w:lang w:val="en-US"/>
                </w:rPr>
                <w:t xml:space="preserve">A report on Gowerton School, </w:t>
              </w:r>
              <w:r w:rsidR="00C72145">
                <w:rPr>
                  <w:noProof/>
                  <w:lang w:val="en-US"/>
                </w:rPr>
                <w:t>Cardiff: Estyn.</w:t>
              </w:r>
            </w:p>
            <w:p w14:paraId="3EE73168" w14:textId="77777777" w:rsidR="00C72145" w:rsidRDefault="00C72145" w:rsidP="00C72145">
              <w:pPr>
                <w:pStyle w:val="Bibliography"/>
                <w:rPr>
                  <w:noProof/>
                  <w:lang w:val="en-US"/>
                </w:rPr>
              </w:pPr>
              <w:r>
                <w:rPr>
                  <w:noProof/>
                  <w:lang w:val="en-US"/>
                </w:rPr>
                <w:t xml:space="preserve">Estyn, 2018. </w:t>
              </w:r>
              <w:r>
                <w:rPr>
                  <w:i/>
                  <w:iCs/>
                  <w:noProof/>
                  <w:lang w:val="en-US"/>
                </w:rPr>
                <w:t xml:space="preserve">A Report on Olchfa School, </w:t>
              </w:r>
              <w:r>
                <w:rPr>
                  <w:noProof/>
                  <w:lang w:val="en-US"/>
                </w:rPr>
                <w:t>Cardiff: Estyn.</w:t>
              </w:r>
            </w:p>
            <w:p w14:paraId="465F3235" w14:textId="77777777" w:rsidR="00C72145" w:rsidRDefault="00C72145" w:rsidP="00C72145">
              <w:pPr>
                <w:pStyle w:val="Bibliography"/>
                <w:rPr>
                  <w:noProof/>
                  <w:lang w:val="en-US"/>
                </w:rPr>
              </w:pPr>
              <w:r>
                <w:rPr>
                  <w:noProof/>
                  <w:lang w:val="en-US"/>
                </w:rPr>
                <w:t xml:space="preserve">Gagne, R. M., 1985. </w:t>
              </w:r>
              <w:r>
                <w:rPr>
                  <w:i/>
                  <w:iCs/>
                  <w:noProof/>
                  <w:lang w:val="en-US"/>
                </w:rPr>
                <w:t xml:space="preserve">The Conditions of Learning. </w:t>
              </w:r>
              <w:r>
                <w:rPr>
                  <w:noProof/>
                  <w:lang w:val="en-US"/>
                </w:rPr>
                <w:t>4 ed. New York: Holt, Rinehart and Winston.</w:t>
              </w:r>
            </w:p>
            <w:p w14:paraId="4D15E369" w14:textId="77777777" w:rsidR="00C72145" w:rsidRDefault="00C72145" w:rsidP="00C72145">
              <w:pPr>
                <w:pStyle w:val="Bibliography"/>
                <w:rPr>
                  <w:noProof/>
                  <w:lang w:val="en-US"/>
                </w:rPr>
              </w:pPr>
              <w:r>
                <w:rPr>
                  <w:noProof/>
                  <w:lang w:val="en-US"/>
                </w:rPr>
                <w:t xml:space="preserve">Genc, M., 2013. The effect of analogy-based teaching on students' achievement and students' views about analogies. </w:t>
              </w:r>
              <w:r>
                <w:rPr>
                  <w:i/>
                  <w:iCs/>
                  <w:noProof/>
                  <w:lang w:val="en-US"/>
                </w:rPr>
                <w:t xml:space="preserve">Asia-Pacific Forum on Science Learning and Teaching, </w:t>
              </w:r>
              <w:r>
                <w:rPr>
                  <w:noProof/>
                  <w:lang w:val="en-US"/>
                </w:rPr>
                <w:t>14(2), pp. 1-18.</w:t>
              </w:r>
            </w:p>
            <w:p w14:paraId="5BC209E9" w14:textId="77777777" w:rsidR="00C72145" w:rsidRDefault="00C72145" w:rsidP="00C72145">
              <w:pPr>
                <w:pStyle w:val="Bibliography"/>
                <w:rPr>
                  <w:noProof/>
                  <w:lang w:val="en-US"/>
                </w:rPr>
              </w:pPr>
              <w:r>
                <w:rPr>
                  <w:noProof/>
                  <w:lang w:val="en-US"/>
                </w:rPr>
                <w:t xml:space="preserve">Gibbs, C., 1988. </w:t>
              </w:r>
              <w:r>
                <w:rPr>
                  <w:i/>
                  <w:iCs/>
                  <w:noProof/>
                  <w:lang w:val="en-US"/>
                </w:rPr>
                <w:t xml:space="preserve">Learning by Doing: A guide to teaching and learning methods. </w:t>
              </w:r>
              <w:r>
                <w:rPr>
                  <w:noProof/>
                  <w:lang w:val="en-US"/>
                </w:rPr>
                <w:t>Oxford: Oxford Polytechnic.</w:t>
              </w:r>
            </w:p>
            <w:p w14:paraId="3E031686" w14:textId="77777777" w:rsidR="00C72145" w:rsidRDefault="00C72145" w:rsidP="00C72145">
              <w:pPr>
                <w:pStyle w:val="Bibliography"/>
                <w:rPr>
                  <w:noProof/>
                  <w:lang w:val="en-US"/>
                </w:rPr>
              </w:pPr>
              <w:r>
                <w:rPr>
                  <w:noProof/>
                  <w:lang w:val="en-US"/>
                </w:rPr>
                <w:t xml:space="preserve">In, J., 2017. Introduction of a Pilot Study. </w:t>
              </w:r>
              <w:r>
                <w:rPr>
                  <w:i/>
                  <w:iCs/>
                  <w:noProof/>
                  <w:lang w:val="en-US"/>
                </w:rPr>
                <w:t xml:space="preserve">Korean Journal of Anesthesiology, </w:t>
              </w:r>
              <w:r>
                <w:rPr>
                  <w:noProof/>
                  <w:lang w:val="en-US"/>
                </w:rPr>
                <w:t>70(6), pp. 601-605.</w:t>
              </w:r>
            </w:p>
            <w:p w14:paraId="1783D538" w14:textId="77777777" w:rsidR="00C72145" w:rsidRDefault="00C72145" w:rsidP="00C72145">
              <w:pPr>
                <w:pStyle w:val="Bibliography"/>
                <w:rPr>
                  <w:noProof/>
                  <w:lang w:val="en-US"/>
                </w:rPr>
              </w:pPr>
              <w:r>
                <w:rPr>
                  <w:noProof/>
                  <w:lang w:val="en-US"/>
                </w:rPr>
                <w:t xml:space="preserve">Kirsh, D., 2000. A Few Thoughts on Cognitive Overload. </w:t>
              </w:r>
              <w:r>
                <w:rPr>
                  <w:i/>
                  <w:iCs/>
                  <w:noProof/>
                  <w:lang w:val="en-US"/>
                </w:rPr>
                <w:t xml:space="preserve">Intellectica, </w:t>
              </w:r>
              <w:r>
                <w:rPr>
                  <w:noProof/>
                  <w:lang w:val="en-US"/>
                </w:rPr>
                <w:t>1(30), pp. 19-51.</w:t>
              </w:r>
            </w:p>
            <w:p w14:paraId="37978436" w14:textId="77777777" w:rsidR="00C72145" w:rsidRDefault="00C72145" w:rsidP="00C72145">
              <w:pPr>
                <w:pStyle w:val="Bibliography"/>
                <w:rPr>
                  <w:noProof/>
                  <w:lang w:val="en-US"/>
                </w:rPr>
              </w:pPr>
              <w:r>
                <w:rPr>
                  <w:noProof/>
                  <w:lang w:val="en-US"/>
                </w:rPr>
                <w:t xml:space="preserve">Kolb, D. A., 1984. </w:t>
              </w:r>
              <w:r>
                <w:rPr>
                  <w:i/>
                  <w:iCs/>
                  <w:noProof/>
                  <w:lang w:val="en-US"/>
                </w:rPr>
                <w:t xml:space="preserve">Experiental Learning: experience as a source of learning or development.. </w:t>
              </w:r>
              <w:r>
                <w:rPr>
                  <w:noProof/>
                  <w:lang w:val="en-US"/>
                </w:rPr>
                <w:t>Englewood Cliffs: Prentice Hall.</w:t>
              </w:r>
            </w:p>
            <w:p w14:paraId="4AB7CE4E" w14:textId="77777777" w:rsidR="00C72145" w:rsidRDefault="00C72145" w:rsidP="00C72145">
              <w:pPr>
                <w:pStyle w:val="Bibliography"/>
                <w:rPr>
                  <w:noProof/>
                  <w:lang w:val="en-US"/>
                </w:rPr>
              </w:pPr>
              <w:r>
                <w:rPr>
                  <w:noProof/>
                  <w:lang w:val="en-US"/>
                </w:rPr>
                <w:t xml:space="preserve">Korhasan, N. D. &amp; Hidir, M., 2019. How should textbook analogies be used in teaching physics?. </w:t>
              </w:r>
              <w:r>
                <w:rPr>
                  <w:i/>
                  <w:iCs/>
                  <w:noProof/>
                  <w:lang w:val="en-US"/>
                </w:rPr>
                <w:t xml:space="preserve">Physical Review Physics Education Research, </w:t>
              </w:r>
              <w:r>
                <w:rPr>
                  <w:noProof/>
                  <w:lang w:val="en-US"/>
                </w:rPr>
                <w:t>Volume 15, pp. 1-8.</w:t>
              </w:r>
            </w:p>
            <w:p w14:paraId="08725324" w14:textId="77777777" w:rsidR="00C72145" w:rsidRDefault="00C72145" w:rsidP="00C72145">
              <w:pPr>
                <w:pStyle w:val="Bibliography"/>
                <w:rPr>
                  <w:noProof/>
                  <w:lang w:val="en-US"/>
                </w:rPr>
              </w:pPr>
              <w:r>
                <w:rPr>
                  <w:noProof/>
                  <w:lang w:val="en-US"/>
                </w:rPr>
                <w:t xml:space="preserve">Krathwohl, D. R., 2002. A Revision of Bloom's Taxonomy: An Overview,. </w:t>
              </w:r>
              <w:r>
                <w:rPr>
                  <w:i/>
                  <w:iCs/>
                  <w:noProof/>
                  <w:lang w:val="en-US"/>
                </w:rPr>
                <w:t xml:space="preserve">Theory into Practise, </w:t>
              </w:r>
              <w:r>
                <w:rPr>
                  <w:noProof/>
                  <w:lang w:val="en-US"/>
                </w:rPr>
                <w:t>41(4), pp. 212-218.</w:t>
              </w:r>
            </w:p>
            <w:p w14:paraId="24EC4686" w14:textId="77777777" w:rsidR="00C72145" w:rsidRDefault="00C72145" w:rsidP="00C72145">
              <w:pPr>
                <w:pStyle w:val="Bibliography"/>
                <w:rPr>
                  <w:noProof/>
                  <w:lang w:val="en-US"/>
                </w:rPr>
              </w:pPr>
              <w:r>
                <w:rPr>
                  <w:noProof/>
                  <w:lang w:val="en-US"/>
                </w:rPr>
                <w:t xml:space="preserve">Mann, C. J., 2003. Observational research methods. Research design II: cohort, cross sectional, and case-control studies. </w:t>
              </w:r>
              <w:r>
                <w:rPr>
                  <w:i/>
                  <w:iCs/>
                  <w:noProof/>
                  <w:lang w:val="en-US"/>
                </w:rPr>
                <w:t xml:space="preserve">Emergency Medicine Journal, </w:t>
              </w:r>
              <w:r>
                <w:rPr>
                  <w:noProof/>
                  <w:lang w:val="en-US"/>
                </w:rPr>
                <w:t>20(1), pp. 54-60.</w:t>
              </w:r>
            </w:p>
            <w:p w14:paraId="175A503C" w14:textId="231E8C3E" w:rsidR="00C72145" w:rsidRDefault="00C72145" w:rsidP="00C72145">
              <w:pPr>
                <w:pStyle w:val="Bibliography"/>
                <w:rPr>
                  <w:noProof/>
                  <w:lang w:val="en-US"/>
                </w:rPr>
              </w:pPr>
              <w:r>
                <w:rPr>
                  <w:noProof/>
                  <w:lang w:val="en-US"/>
                </w:rPr>
                <w:t xml:space="preserve">Murphy, R., Weinhardt, F., Wyness, G. &amp; Rolfe, H., 2017. </w:t>
              </w:r>
              <w:r>
                <w:rPr>
                  <w:i/>
                  <w:iCs/>
                  <w:noProof/>
                  <w:lang w:val="en-US"/>
                </w:rPr>
                <w:t xml:space="preserve">Lesson Study: Evaluation Report and Executive Summary, </w:t>
              </w:r>
              <w:r>
                <w:rPr>
                  <w:noProof/>
                  <w:lang w:val="en-US"/>
                </w:rPr>
                <w:t>London: Education Endowment Foundation.</w:t>
              </w:r>
            </w:p>
            <w:p w14:paraId="7EC4C132" w14:textId="65F6F412" w:rsidR="00C72145" w:rsidRDefault="00EB3F20" w:rsidP="00C72145">
              <w:pPr>
                <w:pStyle w:val="Bibliography"/>
                <w:rPr>
                  <w:noProof/>
                  <w:lang w:val="en-US"/>
                </w:rPr>
              </w:pPr>
              <w:r>
                <w:rPr>
                  <w:noProof/>
                  <w:lang w:val="en-US"/>
                </w:rPr>
                <mc:AlternateContent>
                  <mc:Choice Requires="wps">
                    <w:drawing>
                      <wp:anchor distT="0" distB="0" distL="114300" distR="114300" simplePos="0" relativeHeight="251659264" behindDoc="0" locked="0" layoutInCell="1" allowOverlap="1" wp14:anchorId="0EF8D7CE" wp14:editId="70FACF76">
                        <wp:simplePos x="0" y="0"/>
                        <wp:positionH relativeFrom="column">
                          <wp:posOffset>1449070</wp:posOffset>
                        </wp:positionH>
                        <wp:positionV relativeFrom="paragraph">
                          <wp:posOffset>5204</wp:posOffset>
                        </wp:positionV>
                        <wp:extent cx="2966224" cy="334536"/>
                        <wp:effectExtent l="0" t="0" r="18415" b="8890"/>
                        <wp:wrapNone/>
                        <wp:docPr id="1" name="Rectangle 1"/>
                        <wp:cNvGraphicFramePr/>
                        <a:graphic xmlns:a="http://schemas.openxmlformats.org/drawingml/2006/main">
                          <a:graphicData uri="http://schemas.microsoft.com/office/word/2010/wordprocessingShape">
                            <wps:wsp>
                              <wps:cNvSpPr/>
                              <wps:spPr>
                                <a:xfrm>
                                  <a:off x="0" y="0"/>
                                  <a:ext cx="2966224" cy="33453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14B084" id="Rectangle 1" o:spid="_x0000_s1026" style="position:absolute;margin-left:114.1pt;margin-top:.4pt;width:233.55pt;height:26.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" fillcolor="#4472c4 [3204]" strokecolor="#1f3763 [1604]" strokeweight="1pt"/>
                    </w:pict>
                  </mc:Fallback>
                </mc:AlternateContent>
              </w:r>
              <w:r w:rsidR="00C72145">
                <w:rPr>
                  <w:noProof/>
                  <w:lang w:val="en-US"/>
                </w:rPr>
                <w:t xml:space="preserve">My Local School, 2019. </w:t>
              </w:r>
              <w:r w:rsidR="00C72145">
                <w:rPr>
                  <w:i/>
                  <w:iCs/>
                  <w:noProof/>
                  <w:lang w:val="en-US"/>
                </w:rPr>
                <w:t xml:space="preserve">Gowerton. </w:t>
              </w:r>
              <w:r w:rsidR="00C72145">
                <w:rPr>
                  <w:noProof/>
                  <w:lang w:val="en-US"/>
                </w:rPr>
                <w:t xml:space="preserve">[Online] </w:t>
              </w:r>
              <w:r w:rsidR="00C72145">
                <w:rPr>
                  <w:noProof/>
                  <w:lang w:val="en-US"/>
                </w:rPr>
                <w:br/>
                <w:t xml:space="preserve">Available at: </w:t>
              </w:r>
              <w:r w:rsidR="00C72145">
                <w:rPr>
                  <w:noProof/>
                  <w:u w:val="single"/>
                  <w:lang w:val="en-US"/>
                </w:rPr>
                <w:t>http://mylocalschool.gov.wales/School/6704063?lang=en</w:t>
              </w:r>
              <w:r w:rsidR="00C72145">
                <w:rPr>
                  <w:noProof/>
                  <w:lang w:val="en-US"/>
                </w:rPr>
                <w:br/>
                <w:t>[Accessed 12 February 2020].</w:t>
              </w:r>
            </w:p>
            <w:p w14:paraId="5D348C3B" w14:textId="7670A484" w:rsidR="00C72145" w:rsidRDefault="00EB3F20" w:rsidP="00C72145">
              <w:pPr>
                <w:pStyle w:val="Bibliography"/>
                <w:rPr>
                  <w:noProof/>
                  <w:lang w:val="en-US"/>
                </w:rPr>
              </w:pPr>
              <w:r>
                <w:rPr>
                  <w:noProof/>
                  <w:lang w:val="en-US"/>
                </w:rPr>
                <w:lastRenderedPageBreak/>
                <mc:AlternateContent>
                  <mc:Choice Requires="wps">
                    <w:drawing>
                      <wp:anchor distT="0" distB="0" distL="114300" distR="114300" simplePos="0" relativeHeight="251661312" behindDoc="0" locked="0" layoutInCell="1" allowOverlap="1" wp14:anchorId="72311278" wp14:editId="064F6C30">
                        <wp:simplePos x="0" y="0"/>
                        <wp:positionH relativeFrom="column">
                          <wp:posOffset>1449659</wp:posOffset>
                        </wp:positionH>
                        <wp:positionV relativeFrom="paragraph">
                          <wp:posOffset>21668</wp:posOffset>
                        </wp:positionV>
                        <wp:extent cx="2966224" cy="334536"/>
                        <wp:effectExtent l="0" t="0" r="18415" b="8890"/>
                        <wp:wrapNone/>
                        <wp:docPr id="2" name="Rectangle 2"/>
                        <wp:cNvGraphicFramePr/>
                        <a:graphic xmlns:a="http://schemas.openxmlformats.org/drawingml/2006/main">
                          <a:graphicData uri="http://schemas.microsoft.com/office/word/2010/wordprocessingShape">
                            <wps:wsp>
                              <wps:cNvSpPr/>
                              <wps:spPr>
                                <a:xfrm>
                                  <a:off x="0" y="0"/>
                                  <a:ext cx="2966224" cy="33453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D4A1C5" id="Rectangle 2" o:spid="_x0000_s1026" style="position:absolute;margin-left:114.15pt;margin-top:1.7pt;width:233.55pt;height:26.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" fillcolor="#4472c4 [3204]" strokecolor="#1f3763 [1604]" strokeweight="1pt"/>
                    </w:pict>
                  </mc:Fallback>
                </mc:AlternateContent>
              </w:r>
              <w:r w:rsidR="00C72145">
                <w:rPr>
                  <w:noProof/>
                  <w:lang w:val="en-US"/>
                </w:rPr>
                <w:t xml:space="preserve">My Local School, 2019. </w:t>
              </w:r>
              <w:r w:rsidR="00C72145">
                <w:rPr>
                  <w:i/>
                  <w:iCs/>
                  <w:noProof/>
                  <w:lang w:val="en-US"/>
                </w:rPr>
                <w:t xml:space="preserve">Olchfa School. </w:t>
              </w:r>
              <w:r w:rsidR="00C72145">
                <w:rPr>
                  <w:noProof/>
                  <w:lang w:val="en-US"/>
                </w:rPr>
                <w:t xml:space="preserve">[Online] </w:t>
              </w:r>
              <w:r w:rsidR="00C72145">
                <w:rPr>
                  <w:noProof/>
                  <w:lang w:val="en-US"/>
                </w:rPr>
                <w:br/>
                <w:t xml:space="preserve">Available at: </w:t>
              </w:r>
              <w:r w:rsidR="00C72145">
                <w:rPr>
                  <w:noProof/>
                  <w:u w:val="single"/>
                  <w:lang w:val="en-US"/>
                </w:rPr>
                <w:t>http://mylocalschool.gov.wales/School/6704032?lang=en</w:t>
              </w:r>
              <w:r w:rsidR="00C72145">
                <w:rPr>
                  <w:noProof/>
                  <w:lang w:val="en-US"/>
                </w:rPr>
                <w:br/>
                <w:t>[Accessed 12 February 2020].</w:t>
              </w:r>
            </w:p>
            <w:p w14:paraId="43F49105" w14:textId="77777777" w:rsidR="00C72145" w:rsidRDefault="00C72145" w:rsidP="00C72145">
              <w:pPr>
                <w:pStyle w:val="Bibliography"/>
                <w:rPr>
                  <w:noProof/>
                  <w:lang w:val="en-US"/>
                </w:rPr>
              </w:pPr>
              <w:r>
                <w:rPr>
                  <w:noProof/>
                  <w:lang w:val="en-US"/>
                </w:rPr>
                <w:t xml:space="preserve">Myson, I., 2006. Helping students put shape on the past; systematic use of analogies to accelerate understanding. </w:t>
              </w:r>
              <w:r>
                <w:rPr>
                  <w:i/>
                  <w:iCs/>
                  <w:noProof/>
                  <w:lang w:val="en-US"/>
                </w:rPr>
                <w:t xml:space="preserve">Teaching History, </w:t>
              </w:r>
              <w:r>
                <w:rPr>
                  <w:noProof/>
                  <w:lang w:val="en-US"/>
                </w:rPr>
                <w:t>Volume 122, pp. 26-32.</w:t>
              </w:r>
            </w:p>
            <w:p w14:paraId="186C41A3" w14:textId="77777777" w:rsidR="00C72145" w:rsidRDefault="00C72145" w:rsidP="00C72145">
              <w:pPr>
                <w:pStyle w:val="Bibliography"/>
                <w:rPr>
                  <w:noProof/>
                  <w:lang w:val="en-US"/>
                </w:rPr>
              </w:pPr>
              <w:r>
                <w:rPr>
                  <w:noProof/>
                  <w:lang w:val="en-US"/>
                </w:rPr>
                <w:t xml:space="preserve">National Institute for Health and Care Excellence, 2020. </w:t>
              </w:r>
              <w:r>
                <w:rPr>
                  <w:i/>
                  <w:iCs/>
                  <w:noProof/>
                  <w:lang w:val="en-US"/>
                </w:rPr>
                <w:t xml:space="preserve">Glossary. </w:t>
              </w:r>
              <w:r>
                <w:rPr>
                  <w:noProof/>
                  <w:lang w:val="en-US"/>
                </w:rPr>
                <w:t xml:space="preserve">[Online] </w:t>
              </w:r>
              <w:r>
                <w:rPr>
                  <w:noProof/>
                  <w:lang w:val="en-US"/>
                </w:rPr>
                <w:br/>
                <w:t xml:space="preserve">Available at: </w:t>
              </w:r>
              <w:r>
                <w:rPr>
                  <w:noProof/>
                  <w:u w:val="single"/>
                  <w:lang w:val="en-US"/>
                </w:rPr>
                <w:t>https://www.nice.org.uk/glossary?letter=o</w:t>
              </w:r>
              <w:r>
                <w:rPr>
                  <w:noProof/>
                  <w:lang w:val="en-US"/>
                </w:rPr>
                <w:br/>
                <w:t>[Accessed 17 February 2020].</w:t>
              </w:r>
            </w:p>
            <w:p w14:paraId="0C1ED55F" w14:textId="77777777" w:rsidR="00C72145" w:rsidRDefault="00C72145" w:rsidP="00C72145">
              <w:pPr>
                <w:pStyle w:val="Bibliography"/>
                <w:rPr>
                  <w:noProof/>
                  <w:lang w:val="en-US"/>
                </w:rPr>
              </w:pPr>
              <w:r>
                <w:rPr>
                  <w:noProof/>
                  <w:lang w:val="en-US"/>
                </w:rPr>
                <w:t xml:space="preserve">Nayak, B. K., 2010. Understanding the Relevance of Sample Size Calculation. </w:t>
              </w:r>
              <w:r>
                <w:rPr>
                  <w:i/>
                  <w:iCs/>
                  <w:noProof/>
                  <w:lang w:val="en-US"/>
                </w:rPr>
                <w:t xml:space="preserve">Indian Journal of Ophthalmology, </w:t>
              </w:r>
              <w:r>
                <w:rPr>
                  <w:noProof/>
                  <w:lang w:val="en-US"/>
                </w:rPr>
                <w:t>58(6), pp. 469-470.</w:t>
              </w:r>
            </w:p>
            <w:p w14:paraId="15EC581C" w14:textId="77777777" w:rsidR="00C72145" w:rsidRDefault="00C72145" w:rsidP="00C72145">
              <w:pPr>
                <w:pStyle w:val="Bibliography"/>
                <w:rPr>
                  <w:noProof/>
                  <w:lang w:val="en-US"/>
                </w:rPr>
              </w:pPr>
              <w:r>
                <w:rPr>
                  <w:noProof/>
                  <w:lang w:val="en-US"/>
                </w:rPr>
                <w:t xml:space="preserve">Nyumba, T. O., Wilson, K., Derrick, C. J. &amp; Mukherjee, N., 2018. The use of focus group discussion methodology: Insights from two decades of application in conservation. </w:t>
              </w:r>
              <w:r>
                <w:rPr>
                  <w:i/>
                  <w:iCs/>
                  <w:noProof/>
                  <w:lang w:val="en-US"/>
                </w:rPr>
                <w:t xml:space="preserve">QUALITATIVE METHODS FOR ELICITING JUDGEMENTS FOR DECISION MAKING , </w:t>
              </w:r>
              <w:r>
                <w:rPr>
                  <w:noProof/>
                  <w:lang w:val="en-US"/>
                </w:rPr>
                <w:t>9(1), pp. 20-32.</w:t>
              </w:r>
            </w:p>
            <w:p w14:paraId="26FCDF4C" w14:textId="77777777" w:rsidR="00C72145" w:rsidRDefault="00C72145" w:rsidP="00C72145">
              <w:pPr>
                <w:pStyle w:val="Bibliography"/>
                <w:rPr>
                  <w:noProof/>
                  <w:lang w:val="en-US"/>
                </w:rPr>
              </w:pPr>
              <w:r>
                <w:rPr>
                  <w:noProof/>
                  <w:lang w:val="en-US"/>
                </w:rPr>
                <w:t xml:space="preserve">OECD, 2018. </w:t>
              </w:r>
              <w:r>
                <w:rPr>
                  <w:i/>
                  <w:iCs/>
                  <w:noProof/>
                  <w:lang w:val="en-US"/>
                </w:rPr>
                <w:t xml:space="preserve">PISA Test Scores. </w:t>
              </w:r>
              <w:r>
                <w:rPr>
                  <w:noProof/>
                  <w:lang w:val="en-US"/>
                </w:rPr>
                <w:t xml:space="preserve">[Online] </w:t>
              </w:r>
              <w:r>
                <w:rPr>
                  <w:noProof/>
                  <w:lang w:val="en-US"/>
                </w:rPr>
                <w:br/>
                <w:t xml:space="preserve">Available at: </w:t>
              </w:r>
              <w:r>
                <w:rPr>
                  <w:noProof/>
                  <w:u w:val="single"/>
                  <w:lang w:val="en-US"/>
                </w:rPr>
                <w:t>https://www.oecd.org/pisa/PISA-results_ENGLISH.png</w:t>
              </w:r>
              <w:r>
                <w:rPr>
                  <w:noProof/>
                  <w:lang w:val="en-US"/>
                </w:rPr>
                <w:br/>
                <w:t>[Accessed 16 February 2020].</w:t>
              </w:r>
            </w:p>
            <w:p w14:paraId="4E0F3821" w14:textId="77777777" w:rsidR="00C72145" w:rsidRDefault="00C72145" w:rsidP="00C72145">
              <w:pPr>
                <w:pStyle w:val="Bibliography"/>
                <w:rPr>
                  <w:noProof/>
                  <w:lang w:val="en-US"/>
                </w:rPr>
              </w:pPr>
              <w:r>
                <w:rPr>
                  <w:noProof/>
                  <w:lang w:val="en-US"/>
                </w:rPr>
                <w:t xml:space="preserve">Richland Community College, 2020. </w:t>
              </w:r>
              <w:r>
                <w:rPr>
                  <w:i/>
                  <w:iCs/>
                  <w:noProof/>
                  <w:lang w:val="en-US"/>
                </w:rPr>
                <w:t xml:space="preserve">Statistics Introduction. </w:t>
              </w:r>
              <w:r>
                <w:rPr>
                  <w:noProof/>
                  <w:lang w:val="en-US"/>
                </w:rPr>
                <w:t xml:space="preserve">[Online] </w:t>
              </w:r>
              <w:r>
                <w:rPr>
                  <w:noProof/>
                  <w:lang w:val="en-US"/>
                </w:rPr>
                <w:br/>
                <w:t xml:space="preserve">Available at: </w:t>
              </w:r>
              <w:r>
                <w:rPr>
                  <w:noProof/>
                  <w:u w:val="single"/>
                  <w:lang w:val="en-US"/>
                </w:rPr>
                <w:t>https://people.richland.edu/james/lecture/m170/ch01-not.html</w:t>
              </w:r>
              <w:r>
                <w:rPr>
                  <w:noProof/>
                  <w:lang w:val="en-US"/>
                </w:rPr>
                <w:br/>
                <w:t>[Accessed 17 February 2020].</w:t>
              </w:r>
            </w:p>
            <w:p w14:paraId="38E93BCE" w14:textId="77777777" w:rsidR="00C72145" w:rsidRDefault="00C72145" w:rsidP="00C72145">
              <w:pPr>
                <w:pStyle w:val="Bibliography"/>
                <w:rPr>
                  <w:noProof/>
                  <w:lang w:val="en-US"/>
                </w:rPr>
              </w:pPr>
              <w:r>
                <w:rPr>
                  <w:noProof/>
                  <w:lang w:val="en-US"/>
                </w:rPr>
                <w:t xml:space="preserve">Saito, E., Murase, M., Tsukui, A. &amp; Yeo, J., 2014. </w:t>
              </w:r>
              <w:r>
                <w:rPr>
                  <w:i/>
                  <w:iCs/>
                  <w:noProof/>
                  <w:lang w:val="en-US"/>
                </w:rPr>
                <w:t xml:space="preserve">Lesson Study for Learning Community. </w:t>
              </w:r>
              <w:r>
                <w:rPr>
                  <w:noProof/>
                  <w:lang w:val="en-US"/>
                </w:rPr>
                <w:t>New York: Routledge.</w:t>
              </w:r>
            </w:p>
            <w:p w14:paraId="66A8244D" w14:textId="77777777" w:rsidR="00C72145" w:rsidRDefault="00C72145" w:rsidP="00C72145">
              <w:pPr>
                <w:pStyle w:val="Bibliography"/>
                <w:rPr>
                  <w:noProof/>
                  <w:lang w:val="en-US"/>
                </w:rPr>
              </w:pPr>
              <w:r>
                <w:rPr>
                  <w:noProof/>
                  <w:lang w:val="en-US"/>
                </w:rPr>
                <w:t xml:space="preserve">Simons, P. R., 1984. Instructing with Analogies. </w:t>
              </w:r>
              <w:r>
                <w:rPr>
                  <w:i/>
                  <w:iCs/>
                  <w:noProof/>
                  <w:lang w:val="en-US"/>
                </w:rPr>
                <w:t xml:space="preserve">Journal of Educational Psychology, </w:t>
              </w:r>
              <w:r>
                <w:rPr>
                  <w:noProof/>
                  <w:lang w:val="en-US"/>
                </w:rPr>
                <w:t>Volume 76, pp. 513-527.</w:t>
              </w:r>
            </w:p>
            <w:p w14:paraId="5B858F56" w14:textId="77777777" w:rsidR="00C72145" w:rsidRDefault="00C72145" w:rsidP="00C72145">
              <w:pPr>
                <w:pStyle w:val="Bibliography"/>
                <w:rPr>
                  <w:noProof/>
                  <w:lang w:val="en-US"/>
                </w:rPr>
              </w:pPr>
              <w:r>
                <w:rPr>
                  <w:noProof/>
                  <w:lang w:val="en-US"/>
                </w:rPr>
                <w:t xml:space="preserve">Social Research Methods, 2020. </w:t>
              </w:r>
              <w:r>
                <w:rPr>
                  <w:i/>
                  <w:iCs/>
                  <w:noProof/>
                  <w:lang w:val="en-US"/>
                </w:rPr>
                <w:t xml:space="preserve">Table of Contents. </w:t>
              </w:r>
              <w:r>
                <w:rPr>
                  <w:noProof/>
                  <w:lang w:val="en-US"/>
                </w:rPr>
                <w:t xml:space="preserve">[Online] </w:t>
              </w:r>
              <w:r>
                <w:rPr>
                  <w:noProof/>
                  <w:lang w:val="en-US"/>
                </w:rPr>
                <w:br/>
                <w:t xml:space="preserve">Available at: </w:t>
              </w:r>
              <w:r>
                <w:rPr>
                  <w:noProof/>
                  <w:u w:val="single"/>
                  <w:lang w:val="en-US"/>
                </w:rPr>
                <w:t>http://www.socialresearchmethods.net/kb/contents.php</w:t>
              </w:r>
              <w:r>
                <w:rPr>
                  <w:noProof/>
                  <w:lang w:val="en-US"/>
                </w:rPr>
                <w:br/>
                <w:t>[Accessed 17 February 2020].</w:t>
              </w:r>
            </w:p>
            <w:p w14:paraId="2DD8CFA1" w14:textId="77777777" w:rsidR="00C72145" w:rsidRDefault="00C72145" w:rsidP="00C72145">
              <w:pPr>
                <w:pStyle w:val="Bibliography"/>
                <w:rPr>
                  <w:noProof/>
                  <w:lang w:val="en-US"/>
                </w:rPr>
              </w:pPr>
              <w:r>
                <w:rPr>
                  <w:noProof/>
                  <w:lang w:val="en-US"/>
                </w:rPr>
                <w:t xml:space="preserve">Soozandehfar, S. &amp; Adeli, M., 2016. A Critical Appraisal of Bloom’s Taxonomy. </w:t>
              </w:r>
              <w:r>
                <w:rPr>
                  <w:i/>
                  <w:iCs/>
                  <w:noProof/>
                  <w:lang w:val="en-US"/>
                </w:rPr>
                <w:t xml:space="preserve">American Research Journal of English and Literature, </w:t>
              </w:r>
              <w:r>
                <w:rPr>
                  <w:noProof/>
                  <w:lang w:val="en-US"/>
                </w:rPr>
                <w:t>Volume 2, pp. 1-9.</w:t>
              </w:r>
            </w:p>
            <w:p w14:paraId="71A210DA" w14:textId="77777777" w:rsidR="00C72145" w:rsidRDefault="00C72145" w:rsidP="00C72145">
              <w:pPr>
                <w:pStyle w:val="Bibliography"/>
                <w:rPr>
                  <w:noProof/>
                  <w:lang w:val="en-US"/>
                </w:rPr>
              </w:pPr>
              <w:r>
                <w:rPr>
                  <w:noProof/>
                  <w:lang w:val="en-US"/>
                </w:rPr>
                <w:t xml:space="preserve">Teacher Development Trust, 2017. </w:t>
              </w:r>
              <w:r>
                <w:rPr>
                  <w:i/>
                  <w:iCs/>
                  <w:noProof/>
                  <w:lang w:val="en-US"/>
                </w:rPr>
                <w:t xml:space="preserve">Can Lesson Study Work in the UK?. </w:t>
              </w:r>
              <w:r>
                <w:rPr>
                  <w:noProof/>
                  <w:lang w:val="en-US"/>
                </w:rPr>
                <w:t xml:space="preserve">[Online] </w:t>
              </w:r>
              <w:r>
                <w:rPr>
                  <w:noProof/>
                  <w:lang w:val="en-US"/>
                </w:rPr>
                <w:br/>
                <w:t xml:space="preserve">Available at: </w:t>
              </w:r>
              <w:r>
                <w:rPr>
                  <w:noProof/>
                  <w:u w:val="single"/>
                  <w:lang w:val="en-US"/>
                </w:rPr>
                <w:t>https://tdtrust.org/lessonstudyintheuk</w:t>
              </w:r>
              <w:r>
                <w:rPr>
                  <w:noProof/>
                  <w:lang w:val="en-US"/>
                </w:rPr>
                <w:br/>
                <w:t>[Accessed 17 February 2020].</w:t>
              </w:r>
            </w:p>
            <w:p w14:paraId="716D7254" w14:textId="77777777" w:rsidR="00C72145" w:rsidRDefault="00C72145" w:rsidP="00C72145">
              <w:pPr>
                <w:pStyle w:val="Bibliography"/>
                <w:rPr>
                  <w:noProof/>
                  <w:lang w:val="en-US"/>
                </w:rPr>
              </w:pPr>
              <w:r>
                <w:rPr>
                  <w:noProof/>
                  <w:lang w:val="en-US"/>
                </w:rPr>
                <w:t xml:space="preserve">Teacher Development Trust, 2020. </w:t>
              </w:r>
              <w:r>
                <w:rPr>
                  <w:i/>
                  <w:iCs/>
                  <w:noProof/>
                  <w:lang w:val="en-US"/>
                </w:rPr>
                <w:t xml:space="preserve">What we do. </w:t>
              </w:r>
              <w:r>
                <w:rPr>
                  <w:noProof/>
                  <w:lang w:val="en-US"/>
                </w:rPr>
                <w:t xml:space="preserve">[Online] </w:t>
              </w:r>
              <w:r>
                <w:rPr>
                  <w:noProof/>
                  <w:lang w:val="en-US"/>
                </w:rPr>
                <w:br/>
                <w:t xml:space="preserve">Available at: </w:t>
              </w:r>
              <w:r>
                <w:rPr>
                  <w:noProof/>
                  <w:u w:val="single"/>
                  <w:lang w:val="en-US"/>
                </w:rPr>
                <w:t>https://tdtrust.org</w:t>
              </w:r>
              <w:r>
                <w:rPr>
                  <w:noProof/>
                  <w:lang w:val="en-US"/>
                </w:rPr>
                <w:br/>
                <w:t>[Accessed 17 February 2020].</w:t>
              </w:r>
            </w:p>
            <w:p w14:paraId="0EC7F987" w14:textId="77777777" w:rsidR="00C72145" w:rsidRDefault="00C72145" w:rsidP="00C72145">
              <w:pPr>
                <w:pStyle w:val="Bibliography"/>
                <w:rPr>
                  <w:noProof/>
                  <w:lang w:val="en-US"/>
                </w:rPr>
              </w:pPr>
              <w:r>
                <w:rPr>
                  <w:noProof/>
                  <w:lang w:val="en-US"/>
                </w:rPr>
                <w:t xml:space="preserve">Towers, E., 2017. Leaving or staying in teaching: a ‘vignette’ of an experienced urban teacher ‘leaver’ of a London primary school. </w:t>
              </w:r>
              <w:r>
                <w:rPr>
                  <w:i/>
                  <w:iCs/>
                  <w:noProof/>
                  <w:lang w:val="en-US"/>
                </w:rPr>
                <w:t xml:space="preserve">Teachers and Teaching, </w:t>
              </w:r>
              <w:r>
                <w:rPr>
                  <w:noProof/>
                  <w:lang w:val="en-US"/>
                </w:rPr>
                <w:t>23(8), pp. 946-960.</w:t>
              </w:r>
            </w:p>
            <w:p w14:paraId="28BC7102" w14:textId="77777777" w:rsidR="00C72145" w:rsidRDefault="00C72145" w:rsidP="00C72145">
              <w:pPr>
                <w:pStyle w:val="Bibliography"/>
                <w:rPr>
                  <w:noProof/>
                  <w:lang w:val="en-US"/>
                </w:rPr>
              </w:pPr>
              <w:r>
                <w:rPr>
                  <w:noProof/>
                  <w:lang w:val="en-US"/>
                </w:rPr>
                <w:t xml:space="preserve">Ustuk, O. &amp; Comoglu, I., 2019. Lesson Study for Professional Development of English Language Teachers: Key Takeaways from International Practises. </w:t>
              </w:r>
              <w:r>
                <w:rPr>
                  <w:i/>
                  <w:iCs/>
                  <w:noProof/>
                  <w:lang w:val="en-US"/>
                </w:rPr>
                <w:t xml:space="preserve">Journal of Efficiency and Responsibility in Education and Science, </w:t>
              </w:r>
              <w:r>
                <w:rPr>
                  <w:noProof/>
                  <w:lang w:val="en-US"/>
                </w:rPr>
                <w:t>12(2), pp. 41-50.</w:t>
              </w:r>
            </w:p>
            <w:p w14:paraId="525E7BCA" w14:textId="63E279B2" w:rsidR="00C72145" w:rsidRDefault="00C72145" w:rsidP="00C72145">
              <w:r>
                <w:rPr>
                  <w:b/>
                  <w:bCs/>
                  <w:noProof/>
                </w:rPr>
                <w:fldChar w:fldCharType="end"/>
              </w:r>
            </w:p>
          </w:sdtContent>
        </w:sdt>
      </w:sdtContent>
    </w:sdt>
    <w:p w14:paraId="3B5A5ED7" w14:textId="1E7969BE" w:rsidR="00C72145" w:rsidRPr="00C72145" w:rsidRDefault="00C72145" w:rsidP="00D5656F">
      <w:pPr>
        <w:tabs>
          <w:tab w:val="left" w:pos="8125"/>
        </w:tabs>
        <w:rPr>
          <w:b/>
          <w:bCs/>
          <w:u w:val="single"/>
        </w:rPr>
      </w:pPr>
    </w:p>
    <w:sectPr w:rsidR="00C72145" w:rsidRPr="00C72145" w:rsidSect="00643B7C">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CE0FEA" w14:textId="77777777" w:rsidR="005725E7" w:rsidRDefault="005725E7" w:rsidP="00F07849">
      <w:r>
        <w:separator/>
      </w:r>
    </w:p>
  </w:endnote>
  <w:endnote w:type="continuationSeparator" w:id="0">
    <w:p w14:paraId="03684AF6" w14:textId="77777777" w:rsidR="005725E7" w:rsidRDefault="005725E7" w:rsidP="00F07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DE08C" w14:textId="77777777" w:rsidR="005725E7" w:rsidRDefault="005725E7" w:rsidP="00F07849">
      <w:r>
        <w:separator/>
      </w:r>
    </w:p>
  </w:footnote>
  <w:footnote w:type="continuationSeparator" w:id="0">
    <w:p w14:paraId="365D2321" w14:textId="77777777" w:rsidR="005725E7" w:rsidRDefault="005725E7" w:rsidP="00F078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794D2E"/>
    <w:multiLevelType w:val="hybridMultilevel"/>
    <w:tmpl w:val="47DC5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EA412B"/>
    <w:multiLevelType w:val="hybridMultilevel"/>
    <w:tmpl w:val="9830DE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1A049B"/>
    <w:multiLevelType w:val="hybridMultilevel"/>
    <w:tmpl w:val="7E283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042911"/>
    <w:multiLevelType w:val="hybridMultilevel"/>
    <w:tmpl w:val="50D68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586"/>
    <w:rsid w:val="0000506A"/>
    <w:rsid w:val="0001225F"/>
    <w:rsid w:val="00014633"/>
    <w:rsid w:val="00033677"/>
    <w:rsid w:val="00042A52"/>
    <w:rsid w:val="00047049"/>
    <w:rsid w:val="00055E0D"/>
    <w:rsid w:val="0005636F"/>
    <w:rsid w:val="00067C7F"/>
    <w:rsid w:val="00070844"/>
    <w:rsid w:val="000818B4"/>
    <w:rsid w:val="00095966"/>
    <w:rsid w:val="000A1586"/>
    <w:rsid w:val="000C6631"/>
    <w:rsid w:val="0010245A"/>
    <w:rsid w:val="00115DB3"/>
    <w:rsid w:val="001311D3"/>
    <w:rsid w:val="00161996"/>
    <w:rsid w:val="00172813"/>
    <w:rsid w:val="00183638"/>
    <w:rsid w:val="001A4E7D"/>
    <w:rsid w:val="001B5392"/>
    <w:rsid w:val="001E2B60"/>
    <w:rsid w:val="0020099B"/>
    <w:rsid w:val="0023453E"/>
    <w:rsid w:val="002511E8"/>
    <w:rsid w:val="00273FCF"/>
    <w:rsid w:val="00283043"/>
    <w:rsid w:val="002A0E00"/>
    <w:rsid w:val="002F1D1F"/>
    <w:rsid w:val="00301A6A"/>
    <w:rsid w:val="0030343E"/>
    <w:rsid w:val="00323220"/>
    <w:rsid w:val="00327932"/>
    <w:rsid w:val="00353378"/>
    <w:rsid w:val="00365BC5"/>
    <w:rsid w:val="00375088"/>
    <w:rsid w:val="00392D32"/>
    <w:rsid w:val="00396B4A"/>
    <w:rsid w:val="003B7464"/>
    <w:rsid w:val="003D258C"/>
    <w:rsid w:val="003D53BC"/>
    <w:rsid w:val="003F5A9F"/>
    <w:rsid w:val="0042109D"/>
    <w:rsid w:val="00422BB1"/>
    <w:rsid w:val="00432705"/>
    <w:rsid w:val="00435CB4"/>
    <w:rsid w:val="004505D7"/>
    <w:rsid w:val="00484D57"/>
    <w:rsid w:val="004A25DC"/>
    <w:rsid w:val="004A4884"/>
    <w:rsid w:val="004B407B"/>
    <w:rsid w:val="004C22C7"/>
    <w:rsid w:val="004D2FF6"/>
    <w:rsid w:val="00502601"/>
    <w:rsid w:val="005105F4"/>
    <w:rsid w:val="00523B7A"/>
    <w:rsid w:val="00525D1C"/>
    <w:rsid w:val="0053156C"/>
    <w:rsid w:val="00562AEC"/>
    <w:rsid w:val="005725E7"/>
    <w:rsid w:val="00577802"/>
    <w:rsid w:val="00581F19"/>
    <w:rsid w:val="005834EA"/>
    <w:rsid w:val="0059136D"/>
    <w:rsid w:val="005A497F"/>
    <w:rsid w:val="00603833"/>
    <w:rsid w:val="006040FB"/>
    <w:rsid w:val="00642A0C"/>
    <w:rsid w:val="00643B7C"/>
    <w:rsid w:val="00647E44"/>
    <w:rsid w:val="00650B91"/>
    <w:rsid w:val="00653208"/>
    <w:rsid w:val="006969D0"/>
    <w:rsid w:val="006B1E79"/>
    <w:rsid w:val="006B207C"/>
    <w:rsid w:val="006E75AF"/>
    <w:rsid w:val="006F7100"/>
    <w:rsid w:val="007269B1"/>
    <w:rsid w:val="007543AE"/>
    <w:rsid w:val="00792837"/>
    <w:rsid w:val="007A15F0"/>
    <w:rsid w:val="007D3671"/>
    <w:rsid w:val="007E4736"/>
    <w:rsid w:val="007F0D55"/>
    <w:rsid w:val="007F0F86"/>
    <w:rsid w:val="00823E37"/>
    <w:rsid w:val="00831CD9"/>
    <w:rsid w:val="00837AB2"/>
    <w:rsid w:val="008A4FAA"/>
    <w:rsid w:val="008A579E"/>
    <w:rsid w:val="008A6E1E"/>
    <w:rsid w:val="008B6312"/>
    <w:rsid w:val="008C33B1"/>
    <w:rsid w:val="008C6E5C"/>
    <w:rsid w:val="008D6A27"/>
    <w:rsid w:val="00913DF4"/>
    <w:rsid w:val="009179E5"/>
    <w:rsid w:val="0093711B"/>
    <w:rsid w:val="009B15FD"/>
    <w:rsid w:val="009D2F06"/>
    <w:rsid w:val="00A055E1"/>
    <w:rsid w:val="00A3232A"/>
    <w:rsid w:val="00A42EB1"/>
    <w:rsid w:val="00A44897"/>
    <w:rsid w:val="00A575FA"/>
    <w:rsid w:val="00A85F6E"/>
    <w:rsid w:val="00AC27BD"/>
    <w:rsid w:val="00AF429B"/>
    <w:rsid w:val="00B1443F"/>
    <w:rsid w:val="00B149FD"/>
    <w:rsid w:val="00B16BF7"/>
    <w:rsid w:val="00B17F49"/>
    <w:rsid w:val="00B36C4E"/>
    <w:rsid w:val="00B412A4"/>
    <w:rsid w:val="00B46BBC"/>
    <w:rsid w:val="00B52148"/>
    <w:rsid w:val="00B91981"/>
    <w:rsid w:val="00B96423"/>
    <w:rsid w:val="00BD7D8F"/>
    <w:rsid w:val="00C10682"/>
    <w:rsid w:val="00C37017"/>
    <w:rsid w:val="00C72145"/>
    <w:rsid w:val="00C91D5A"/>
    <w:rsid w:val="00C956F9"/>
    <w:rsid w:val="00CD0DCD"/>
    <w:rsid w:val="00CD2E14"/>
    <w:rsid w:val="00CE570A"/>
    <w:rsid w:val="00CF276F"/>
    <w:rsid w:val="00D04B13"/>
    <w:rsid w:val="00D05A72"/>
    <w:rsid w:val="00D24782"/>
    <w:rsid w:val="00D5656F"/>
    <w:rsid w:val="00D62ADB"/>
    <w:rsid w:val="00D70608"/>
    <w:rsid w:val="00D711B2"/>
    <w:rsid w:val="00D77AA5"/>
    <w:rsid w:val="00DD4C37"/>
    <w:rsid w:val="00E021A9"/>
    <w:rsid w:val="00E05D65"/>
    <w:rsid w:val="00E12887"/>
    <w:rsid w:val="00E12EC4"/>
    <w:rsid w:val="00E23E6E"/>
    <w:rsid w:val="00E32E9F"/>
    <w:rsid w:val="00E44AC8"/>
    <w:rsid w:val="00E63A9B"/>
    <w:rsid w:val="00E64A40"/>
    <w:rsid w:val="00E878AC"/>
    <w:rsid w:val="00E93A92"/>
    <w:rsid w:val="00EA23F6"/>
    <w:rsid w:val="00EA31FC"/>
    <w:rsid w:val="00EB3F20"/>
    <w:rsid w:val="00EC459A"/>
    <w:rsid w:val="00ED6F84"/>
    <w:rsid w:val="00F07849"/>
    <w:rsid w:val="00F51A7D"/>
    <w:rsid w:val="00F61FC3"/>
    <w:rsid w:val="00F70EDA"/>
    <w:rsid w:val="00FA5D88"/>
    <w:rsid w:val="00FC38E5"/>
    <w:rsid w:val="00FD11D9"/>
    <w:rsid w:val="00FD77E8"/>
    <w:rsid w:val="00FF6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B25A4"/>
  <w15:chartTrackingRefBased/>
  <w15:docId w15:val="{92F052C0-8559-7541-933E-18ADB8967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214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0FB"/>
    <w:pPr>
      <w:ind w:left="720"/>
      <w:contextualSpacing/>
    </w:pPr>
  </w:style>
  <w:style w:type="paragraph" w:styleId="Header">
    <w:name w:val="header"/>
    <w:basedOn w:val="Normal"/>
    <w:link w:val="HeaderChar"/>
    <w:uiPriority w:val="99"/>
    <w:unhideWhenUsed/>
    <w:rsid w:val="00F07849"/>
    <w:pPr>
      <w:tabs>
        <w:tab w:val="center" w:pos="4680"/>
        <w:tab w:val="right" w:pos="9360"/>
      </w:tabs>
    </w:pPr>
  </w:style>
  <w:style w:type="character" w:customStyle="1" w:styleId="HeaderChar">
    <w:name w:val="Header Char"/>
    <w:basedOn w:val="DefaultParagraphFont"/>
    <w:link w:val="Header"/>
    <w:uiPriority w:val="99"/>
    <w:rsid w:val="00F07849"/>
  </w:style>
  <w:style w:type="paragraph" w:styleId="Footer">
    <w:name w:val="footer"/>
    <w:basedOn w:val="Normal"/>
    <w:link w:val="FooterChar"/>
    <w:uiPriority w:val="99"/>
    <w:unhideWhenUsed/>
    <w:rsid w:val="00F07849"/>
    <w:pPr>
      <w:tabs>
        <w:tab w:val="center" w:pos="4680"/>
        <w:tab w:val="right" w:pos="9360"/>
      </w:tabs>
    </w:pPr>
  </w:style>
  <w:style w:type="character" w:customStyle="1" w:styleId="FooterChar">
    <w:name w:val="Footer Char"/>
    <w:basedOn w:val="DefaultParagraphFont"/>
    <w:link w:val="Footer"/>
    <w:uiPriority w:val="99"/>
    <w:rsid w:val="00F07849"/>
  </w:style>
  <w:style w:type="table" w:styleId="TableGrid">
    <w:name w:val="Table Grid"/>
    <w:basedOn w:val="TableNormal"/>
    <w:uiPriority w:val="39"/>
    <w:rsid w:val="00047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7214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721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4456">
      <w:bodyDiv w:val="1"/>
      <w:marLeft w:val="0"/>
      <w:marRight w:val="0"/>
      <w:marTop w:val="0"/>
      <w:marBottom w:val="0"/>
      <w:divBdr>
        <w:top w:val="none" w:sz="0" w:space="0" w:color="auto"/>
        <w:left w:val="none" w:sz="0" w:space="0" w:color="auto"/>
        <w:bottom w:val="none" w:sz="0" w:space="0" w:color="auto"/>
        <w:right w:val="none" w:sz="0" w:space="0" w:color="auto"/>
      </w:divBdr>
    </w:div>
    <w:div w:id="54546804">
      <w:bodyDiv w:val="1"/>
      <w:marLeft w:val="0"/>
      <w:marRight w:val="0"/>
      <w:marTop w:val="0"/>
      <w:marBottom w:val="0"/>
      <w:divBdr>
        <w:top w:val="none" w:sz="0" w:space="0" w:color="auto"/>
        <w:left w:val="none" w:sz="0" w:space="0" w:color="auto"/>
        <w:bottom w:val="none" w:sz="0" w:space="0" w:color="auto"/>
        <w:right w:val="none" w:sz="0" w:space="0" w:color="auto"/>
      </w:divBdr>
    </w:div>
    <w:div w:id="60914020">
      <w:bodyDiv w:val="1"/>
      <w:marLeft w:val="0"/>
      <w:marRight w:val="0"/>
      <w:marTop w:val="0"/>
      <w:marBottom w:val="0"/>
      <w:divBdr>
        <w:top w:val="none" w:sz="0" w:space="0" w:color="auto"/>
        <w:left w:val="none" w:sz="0" w:space="0" w:color="auto"/>
        <w:bottom w:val="none" w:sz="0" w:space="0" w:color="auto"/>
        <w:right w:val="none" w:sz="0" w:space="0" w:color="auto"/>
      </w:divBdr>
    </w:div>
    <w:div w:id="68696855">
      <w:bodyDiv w:val="1"/>
      <w:marLeft w:val="0"/>
      <w:marRight w:val="0"/>
      <w:marTop w:val="0"/>
      <w:marBottom w:val="0"/>
      <w:divBdr>
        <w:top w:val="none" w:sz="0" w:space="0" w:color="auto"/>
        <w:left w:val="none" w:sz="0" w:space="0" w:color="auto"/>
        <w:bottom w:val="none" w:sz="0" w:space="0" w:color="auto"/>
        <w:right w:val="none" w:sz="0" w:space="0" w:color="auto"/>
      </w:divBdr>
    </w:div>
    <w:div w:id="86266935">
      <w:bodyDiv w:val="1"/>
      <w:marLeft w:val="0"/>
      <w:marRight w:val="0"/>
      <w:marTop w:val="0"/>
      <w:marBottom w:val="0"/>
      <w:divBdr>
        <w:top w:val="none" w:sz="0" w:space="0" w:color="auto"/>
        <w:left w:val="none" w:sz="0" w:space="0" w:color="auto"/>
        <w:bottom w:val="none" w:sz="0" w:space="0" w:color="auto"/>
        <w:right w:val="none" w:sz="0" w:space="0" w:color="auto"/>
      </w:divBdr>
    </w:div>
    <w:div w:id="91778230">
      <w:bodyDiv w:val="1"/>
      <w:marLeft w:val="0"/>
      <w:marRight w:val="0"/>
      <w:marTop w:val="0"/>
      <w:marBottom w:val="0"/>
      <w:divBdr>
        <w:top w:val="none" w:sz="0" w:space="0" w:color="auto"/>
        <w:left w:val="none" w:sz="0" w:space="0" w:color="auto"/>
        <w:bottom w:val="none" w:sz="0" w:space="0" w:color="auto"/>
        <w:right w:val="none" w:sz="0" w:space="0" w:color="auto"/>
      </w:divBdr>
    </w:div>
    <w:div w:id="105277985">
      <w:bodyDiv w:val="1"/>
      <w:marLeft w:val="0"/>
      <w:marRight w:val="0"/>
      <w:marTop w:val="0"/>
      <w:marBottom w:val="0"/>
      <w:divBdr>
        <w:top w:val="none" w:sz="0" w:space="0" w:color="auto"/>
        <w:left w:val="none" w:sz="0" w:space="0" w:color="auto"/>
        <w:bottom w:val="none" w:sz="0" w:space="0" w:color="auto"/>
        <w:right w:val="none" w:sz="0" w:space="0" w:color="auto"/>
      </w:divBdr>
    </w:div>
    <w:div w:id="149954004">
      <w:bodyDiv w:val="1"/>
      <w:marLeft w:val="0"/>
      <w:marRight w:val="0"/>
      <w:marTop w:val="0"/>
      <w:marBottom w:val="0"/>
      <w:divBdr>
        <w:top w:val="none" w:sz="0" w:space="0" w:color="auto"/>
        <w:left w:val="none" w:sz="0" w:space="0" w:color="auto"/>
        <w:bottom w:val="none" w:sz="0" w:space="0" w:color="auto"/>
        <w:right w:val="none" w:sz="0" w:space="0" w:color="auto"/>
      </w:divBdr>
    </w:div>
    <w:div w:id="212736519">
      <w:bodyDiv w:val="1"/>
      <w:marLeft w:val="0"/>
      <w:marRight w:val="0"/>
      <w:marTop w:val="0"/>
      <w:marBottom w:val="0"/>
      <w:divBdr>
        <w:top w:val="none" w:sz="0" w:space="0" w:color="auto"/>
        <w:left w:val="none" w:sz="0" w:space="0" w:color="auto"/>
        <w:bottom w:val="none" w:sz="0" w:space="0" w:color="auto"/>
        <w:right w:val="none" w:sz="0" w:space="0" w:color="auto"/>
      </w:divBdr>
    </w:div>
    <w:div w:id="216824221">
      <w:bodyDiv w:val="1"/>
      <w:marLeft w:val="0"/>
      <w:marRight w:val="0"/>
      <w:marTop w:val="0"/>
      <w:marBottom w:val="0"/>
      <w:divBdr>
        <w:top w:val="none" w:sz="0" w:space="0" w:color="auto"/>
        <w:left w:val="none" w:sz="0" w:space="0" w:color="auto"/>
        <w:bottom w:val="none" w:sz="0" w:space="0" w:color="auto"/>
        <w:right w:val="none" w:sz="0" w:space="0" w:color="auto"/>
      </w:divBdr>
    </w:div>
    <w:div w:id="224028217">
      <w:bodyDiv w:val="1"/>
      <w:marLeft w:val="0"/>
      <w:marRight w:val="0"/>
      <w:marTop w:val="0"/>
      <w:marBottom w:val="0"/>
      <w:divBdr>
        <w:top w:val="none" w:sz="0" w:space="0" w:color="auto"/>
        <w:left w:val="none" w:sz="0" w:space="0" w:color="auto"/>
        <w:bottom w:val="none" w:sz="0" w:space="0" w:color="auto"/>
        <w:right w:val="none" w:sz="0" w:space="0" w:color="auto"/>
      </w:divBdr>
    </w:div>
    <w:div w:id="230626354">
      <w:bodyDiv w:val="1"/>
      <w:marLeft w:val="0"/>
      <w:marRight w:val="0"/>
      <w:marTop w:val="0"/>
      <w:marBottom w:val="0"/>
      <w:divBdr>
        <w:top w:val="none" w:sz="0" w:space="0" w:color="auto"/>
        <w:left w:val="none" w:sz="0" w:space="0" w:color="auto"/>
        <w:bottom w:val="none" w:sz="0" w:space="0" w:color="auto"/>
        <w:right w:val="none" w:sz="0" w:space="0" w:color="auto"/>
      </w:divBdr>
    </w:div>
    <w:div w:id="243733152">
      <w:bodyDiv w:val="1"/>
      <w:marLeft w:val="0"/>
      <w:marRight w:val="0"/>
      <w:marTop w:val="0"/>
      <w:marBottom w:val="0"/>
      <w:divBdr>
        <w:top w:val="none" w:sz="0" w:space="0" w:color="auto"/>
        <w:left w:val="none" w:sz="0" w:space="0" w:color="auto"/>
        <w:bottom w:val="none" w:sz="0" w:space="0" w:color="auto"/>
        <w:right w:val="none" w:sz="0" w:space="0" w:color="auto"/>
      </w:divBdr>
    </w:div>
    <w:div w:id="244581926">
      <w:bodyDiv w:val="1"/>
      <w:marLeft w:val="0"/>
      <w:marRight w:val="0"/>
      <w:marTop w:val="0"/>
      <w:marBottom w:val="0"/>
      <w:divBdr>
        <w:top w:val="none" w:sz="0" w:space="0" w:color="auto"/>
        <w:left w:val="none" w:sz="0" w:space="0" w:color="auto"/>
        <w:bottom w:val="none" w:sz="0" w:space="0" w:color="auto"/>
        <w:right w:val="none" w:sz="0" w:space="0" w:color="auto"/>
      </w:divBdr>
    </w:div>
    <w:div w:id="255016621">
      <w:bodyDiv w:val="1"/>
      <w:marLeft w:val="0"/>
      <w:marRight w:val="0"/>
      <w:marTop w:val="0"/>
      <w:marBottom w:val="0"/>
      <w:divBdr>
        <w:top w:val="none" w:sz="0" w:space="0" w:color="auto"/>
        <w:left w:val="none" w:sz="0" w:space="0" w:color="auto"/>
        <w:bottom w:val="none" w:sz="0" w:space="0" w:color="auto"/>
        <w:right w:val="none" w:sz="0" w:space="0" w:color="auto"/>
      </w:divBdr>
    </w:div>
    <w:div w:id="267979167">
      <w:bodyDiv w:val="1"/>
      <w:marLeft w:val="0"/>
      <w:marRight w:val="0"/>
      <w:marTop w:val="0"/>
      <w:marBottom w:val="0"/>
      <w:divBdr>
        <w:top w:val="none" w:sz="0" w:space="0" w:color="auto"/>
        <w:left w:val="none" w:sz="0" w:space="0" w:color="auto"/>
        <w:bottom w:val="none" w:sz="0" w:space="0" w:color="auto"/>
        <w:right w:val="none" w:sz="0" w:space="0" w:color="auto"/>
      </w:divBdr>
    </w:div>
    <w:div w:id="299580584">
      <w:bodyDiv w:val="1"/>
      <w:marLeft w:val="0"/>
      <w:marRight w:val="0"/>
      <w:marTop w:val="0"/>
      <w:marBottom w:val="0"/>
      <w:divBdr>
        <w:top w:val="none" w:sz="0" w:space="0" w:color="auto"/>
        <w:left w:val="none" w:sz="0" w:space="0" w:color="auto"/>
        <w:bottom w:val="none" w:sz="0" w:space="0" w:color="auto"/>
        <w:right w:val="none" w:sz="0" w:space="0" w:color="auto"/>
      </w:divBdr>
    </w:div>
    <w:div w:id="301810539">
      <w:bodyDiv w:val="1"/>
      <w:marLeft w:val="0"/>
      <w:marRight w:val="0"/>
      <w:marTop w:val="0"/>
      <w:marBottom w:val="0"/>
      <w:divBdr>
        <w:top w:val="none" w:sz="0" w:space="0" w:color="auto"/>
        <w:left w:val="none" w:sz="0" w:space="0" w:color="auto"/>
        <w:bottom w:val="none" w:sz="0" w:space="0" w:color="auto"/>
        <w:right w:val="none" w:sz="0" w:space="0" w:color="auto"/>
      </w:divBdr>
    </w:div>
    <w:div w:id="320043357">
      <w:bodyDiv w:val="1"/>
      <w:marLeft w:val="0"/>
      <w:marRight w:val="0"/>
      <w:marTop w:val="0"/>
      <w:marBottom w:val="0"/>
      <w:divBdr>
        <w:top w:val="none" w:sz="0" w:space="0" w:color="auto"/>
        <w:left w:val="none" w:sz="0" w:space="0" w:color="auto"/>
        <w:bottom w:val="none" w:sz="0" w:space="0" w:color="auto"/>
        <w:right w:val="none" w:sz="0" w:space="0" w:color="auto"/>
      </w:divBdr>
    </w:div>
    <w:div w:id="334504992">
      <w:bodyDiv w:val="1"/>
      <w:marLeft w:val="0"/>
      <w:marRight w:val="0"/>
      <w:marTop w:val="0"/>
      <w:marBottom w:val="0"/>
      <w:divBdr>
        <w:top w:val="none" w:sz="0" w:space="0" w:color="auto"/>
        <w:left w:val="none" w:sz="0" w:space="0" w:color="auto"/>
        <w:bottom w:val="none" w:sz="0" w:space="0" w:color="auto"/>
        <w:right w:val="none" w:sz="0" w:space="0" w:color="auto"/>
      </w:divBdr>
    </w:div>
    <w:div w:id="362555512">
      <w:bodyDiv w:val="1"/>
      <w:marLeft w:val="0"/>
      <w:marRight w:val="0"/>
      <w:marTop w:val="0"/>
      <w:marBottom w:val="0"/>
      <w:divBdr>
        <w:top w:val="none" w:sz="0" w:space="0" w:color="auto"/>
        <w:left w:val="none" w:sz="0" w:space="0" w:color="auto"/>
        <w:bottom w:val="none" w:sz="0" w:space="0" w:color="auto"/>
        <w:right w:val="none" w:sz="0" w:space="0" w:color="auto"/>
      </w:divBdr>
    </w:div>
    <w:div w:id="364257580">
      <w:bodyDiv w:val="1"/>
      <w:marLeft w:val="0"/>
      <w:marRight w:val="0"/>
      <w:marTop w:val="0"/>
      <w:marBottom w:val="0"/>
      <w:divBdr>
        <w:top w:val="none" w:sz="0" w:space="0" w:color="auto"/>
        <w:left w:val="none" w:sz="0" w:space="0" w:color="auto"/>
        <w:bottom w:val="none" w:sz="0" w:space="0" w:color="auto"/>
        <w:right w:val="none" w:sz="0" w:space="0" w:color="auto"/>
      </w:divBdr>
    </w:div>
    <w:div w:id="401411204">
      <w:bodyDiv w:val="1"/>
      <w:marLeft w:val="0"/>
      <w:marRight w:val="0"/>
      <w:marTop w:val="0"/>
      <w:marBottom w:val="0"/>
      <w:divBdr>
        <w:top w:val="none" w:sz="0" w:space="0" w:color="auto"/>
        <w:left w:val="none" w:sz="0" w:space="0" w:color="auto"/>
        <w:bottom w:val="none" w:sz="0" w:space="0" w:color="auto"/>
        <w:right w:val="none" w:sz="0" w:space="0" w:color="auto"/>
      </w:divBdr>
    </w:div>
    <w:div w:id="439758566">
      <w:bodyDiv w:val="1"/>
      <w:marLeft w:val="0"/>
      <w:marRight w:val="0"/>
      <w:marTop w:val="0"/>
      <w:marBottom w:val="0"/>
      <w:divBdr>
        <w:top w:val="none" w:sz="0" w:space="0" w:color="auto"/>
        <w:left w:val="none" w:sz="0" w:space="0" w:color="auto"/>
        <w:bottom w:val="none" w:sz="0" w:space="0" w:color="auto"/>
        <w:right w:val="none" w:sz="0" w:space="0" w:color="auto"/>
      </w:divBdr>
    </w:div>
    <w:div w:id="443620973">
      <w:bodyDiv w:val="1"/>
      <w:marLeft w:val="0"/>
      <w:marRight w:val="0"/>
      <w:marTop w:val="0"/>
      <w:marBottom w:val="0"/>
      <w:divBdr>
        <w:top w:val="none" w:sz="0" w:space="0" w:color="auto"/>
        <w:left w:val="none" w:sz="0" w:space="0" w:color="auto"/>
        <w:bottom w:val="none" w:sz="0" w:space="0" w:color="auto"/>
        <w:right w:val="none" w:sz="0" w:space="0" w:color="auto"/>
      </w:divBdr>
    </w:div>
    <w:div w:id="459034043">
      <w:bodyDiv w:val="1"/>
      <w:marLeft w:val="0"/>
      <w:marRight w:val="0"/>
      <w:marTop w:val="0"/>
      <w:marBottom w:val="0"/>
      <w:divBdr>
        <w:top w:val="none" w:sz="0" w:space="0" w:color="auto"/>
        <w:left w:val="none" w:sz="0" w:space="0" w:color="auto"/>
        <w:bottom w:val="none" w:sz="0" w:space="0" w:color="auto"/>
        <w:right w:val="none" w:sz="0" w:space="0" w:color="auto"/>
      </w:divBdr>
    </w:div>
    <w:div w:id="526407182">
      <w:bodyDiv w:val="1"/>
      <w:marLeft w:val="0"/>
      <w:marRight w:val="0"/>
      <w:marTop w:val="0"/>
      <w:marBottom w:val="0"/>
      <w:divBdr>
        <w:top w:val="none" w:sz="0" w:space="0" w:color="auto"/>
        <w:left w:val="none" w:sz="0" w:space="0" w:color="auto"/>
        <w:bottom w:val="none" w:sz="0" w:space="0" w:color="auto"/>
        <w:right w:val="none" w:sz="0" w:space="0" w:color="auto"/>
      </w:divBdr>
    </w:div>
    <w:div w:id="527914315">
      <w:bodyDiv w:val="1"/>
      <w:marLeft w:val="0"/>
      <w:marRight w:val="0"/>
      <w:marTop w:val="0"/>
      <w:marBottom w:val="0"/>
      <w:divBdr>
        <w:top w:val="none" w:sz="0" w:space="0" w:color="auto"/>
        <w:left w:val="none" w:sz="0" w:space="0" w:color="auto"/>
        <w:bottom w:val="none" w:sz="0" w:space="0" w:color="auto"/>
        <w:right w:val="none" w:sz="0" w:space="0" w:color="auto"/>
      </w:divBdr>
    </w:div>
    <w:div w:id="534662919">
      <w:bodyDiv w:val="1"/>
      <w:marLeft w:val="0"/>
      <w:marRight w:val="0"/>
      <w:marTop w:val="0"/>
      <w:marBottom w:val="0"/>
      <w:divBdr>
        <w:top w:val="none" w:sz="0" w:space="0" w:color="auto"/>
        <w:left w:val="none" w:sz="0" w:space="0" w:color="auto"/>
        <w:bottom w:val="none" w:sz="0" w:space="0" w:color="auto"/>
        <w:right w:val="none" w:sz="0" w:space="0" w:color="auto"/>
      </w:divBdr>
    </w:div>
    <w:div w:id="557782429">
      <w:bodyDiv w:val="1"/>
      <w:marLeft w:val="0"/>
      <w:marRight w:val="0"/>
      <w:marTop w:val="0"/>
      <w:marBottom w:val="0"/>
      <w:divBdr>
        <w:top w:val="none" w:sz="0" w:space="0" w:color="auto"/>
        <w:left w:val="none" w:sz="0" w:space="0" w:color="auto"/>
        <w:bottom w:val="none" w:sz="0" w:space="0" w:color="auto"/>
        <w:right w:val="none" w:sz="0" w:space="0" w:color="auto"/>
      </w:divBdr>
    </w:div>
    <w:div w:id="572083967">
      <w:bodyDiv w:val="1"/>
      <w:marLeft w:val="0"/>
      <w:marRight w:val="0"/>
      <w:marTop w:val="0"/>
      <w:marBottom w:val="0"/>
      <w:divBdr>
        <w:top w:val="none" w:sz="0" w:space="0" w:color="auto"/>
        <w:left w:val="none" w:sz="0" w:space="0" w:color="auto"/>
        <w:bottom w:val="none" w:sz="0" w:space="0" w:color="auto"/>
        <w:right w:val="none" w:sz="0" w:space="0" w:color="auto"/>
      </w:divBdr>
    </w:div>
    <w:div w:id="581334535">
      <w:bodyDiv w:val="1"/>
      <w:marLeft w:val="0"/>
      <w:marRight w:val="0"/>
      <w:marTop w:val="0"/>
      <w:marBottom w:val="0"/>
      <w:divBdr>
        <w:top w:val="none" w:sz="0" w:space="0" w:color="auto"/>
        <w:left w:val="none" w:sz="0" w:space="0" w:color="auto"/>
        <w:bottom w:val="none" w:sz="0" w:space="0" w:color="auto"/>
        <w:right w:val="none" w:sz="0" w:space="0" w:color="auto"/>
      </w:divBdr>
    </w:div>
    <w:div w:id="615408509">
      <w:bodyDiv w:val="1"/>
      <w:marLeft w:val="0"/>
      <w:marRight w:val="0"/>
      <w:marTop w:val="0"/>
      <w:marBottom w:val="0"/>
      <w:divBdr>
        <w:top w:val="none" w:sz="0" w:space="0" w:color="auto"/>
        <w:left w:val="none" w:sz="0" w:space="0" w:color="auto"/>
        <w:bottom w:val="none" w:sz="0" w:space="0" w:color="auto"/>
        <w:right w:val="none" w:sz="0" w:space="0" w:color="auto"/>
      </w:divBdr>
    </w:div>
    <w:div w:id="623081409">
      <w:bodyDiv w:val="1"/>
      <w:marLeft w:val="0"/>
      <w:marRight w:val="0"/>
      <w:marTop w:val="0"/>
      <w:marBottom w:val="0"/>
      <w:divBdr>
        <w:top w:val="none" w:sz="0" w:space="0" w:color="auto"/>
        <w:left w:val="none" w:sz="0" w:space="0" w:color="auto"/>
        <w:bottom w:val="none" w:sz="0" w:space="0" w:color="auto"/>
        <w:right w:val="none" w:sz="0" w:space="0" w:color="auto"/>
      </w:divBdr>
    </w:div>
    <w:div w:id="624698720">
      <w:bodyDiv w:val="1"/>
      <w:marLeft w:val="0"/>
      <w:marRight w:val="0"/>
      <w:marTop w:val="0"/>
      <w:marBottom w:val="0"/>
      <w:divBdr>
        <w:top w:val="none" w:sz="0" w:space="0" w:color="auto"/>
        <w:left w:val="none" w:sz="0" w:space="0" w:color="auto"/>
        <w:bottom w:val="none" w:sz="0" w:space="0" w:color="auto"/>
        <w:right w:val="none" w:sz="0" w:space="0" w:color="auto"/>
      </w:divBdr>
    </w:div>
    <w:div w:id="638267080">
      <w:bodyDiv w:val="1"/>
      <w:marLeft w:val="0"/>
      <w:marRight w:val="0"/>
      <w:marTop w:val="0"/>
      <w:marBottom w:val="0"/>
      <w:divBdr>
        <w:top w:val="none" w:sz="0" w:space="0" w:color="auto"/>
        <w:left w:val="none" w:sz="0" w:space="0" w:color="auto"/>
        <w:bottom w:val="none" w:sz="0" w:space="0" w:color="auto"/>
        <w:right w:val="none" w:sz="0" w:space="0" w:color="auto"/>
      </w:divBdr>
    </w:div>
    <w:div w:id="671613833">
      <w:bodyDiv w:val="1"/>
      <w:marLeft w:val="0"/>
      <w:marRight w:val="0"/>
      <w:marTop w:val="0"/>
      <w:marBottom w:val="0"/>
      <w:divBdr>
        <w:top w:val="none" w:sz="0" w:space="0" w:color="auto"/>
        <w:left w:val="none" w:sz="0" w:space="0" w:color="auto"/>
        <w:bottom w:val="none" w:sz="0" w:space="0" w:color="auto"/>
        <w:right w:val="none" w:sz="0" w:space="0" w:color="auto"/>
      </w:divBdr>
    </w:div>
    <w:div w:id="674841457">
      <w:bodyDiv w:val="1"/>
      <w:marLeft w:val="0"/>
      <w:marRight w:val="0"/>
      <w:marTop w:val="0"/>
      <w:marBottom w:val="0"/>
      <w:divBdr>
        <w:top w:val="none" w:sz="0" w:space="0" w:color="auto"/>
        <w:left w:val="none" w:sz="0" w:space="0" w:color="auto"/>
        <w:bottom w:val="none" w:sz="0" w:space="0" w:color="auto"/>
        <w:right w:val="none" w:sz="0" w:space="0" w:color="auto"/>
      </w:divBdr>
    </w:div>
    <w:div w:id="710039192">
      <w:bodyDiv w:val="1"/>
      <w:marLeft w:val="0"/>
      <w:marRight w:val="0"/>
      <w:marTop w:val="0"/>
      <w:marBottom w:val="0"/>
      <w:divBdr>
        <w:top w:val="none" w:sz="0" w:space="0" w:color="auto"/>
        <w:left w:val="none" w:sz="0" w:space="0" w:color="auto"/>
        <w:bottom w:val="none" w:sz="0" w:space="0" w:color="auto"/>
        <w:right w:val="none" w:sz="0" w:space="0" w:color="auto"/>
      </w:divBdr>
    </w:div>
    <w:div w:id="741483961">
      <w:bodyDiv w:val="1"/>
      <w:marLeft w:val="0"/>
      <w:marRight w:val="0"/>
      <w:marTop w:val="0"/>
      <w:marBottom w:val="0"/>
      <w:divBdr>
        <w:top w:val="none" w:sz="0" w:space="0" w:color="auto"/>
        <w:left w:val="none" w:sz="0" w:space="0" w:color="auto"/>
        <w:bottom w:val="none" w:sz="0" w:space="0" w:color="auto"/>
        <w:right w:val="none" w:sz="0" w:space="0" w:color="auto"/>
      </w:divBdr>
    </w:div>
    <w:div w:id="742338646">
      <w:bodyDiv w:val="1"/>
      <w:marLeft w:val="0"/>
      <w:marRight w:val="0"/>
      <w:marTop w:val="0"/>
      <w:marBottom w:val="0"/>
      <w:divBdr>
        <w:top w:val="none" w:sz="0" w:space="0" w:color="auto"/>
        <w:left w:val="none" w:sz="0" w:space="0" w:color="auto"/>
        <w:bottom w:val="none" w:sz="0" w:space="0" w:color="auto"/>
        <w:right w:val="none" w:sz="0" w:space="0" w:color="auto"/>
      </w:divBdr>
    </w:div>
    <w:div w:id="751004296">
      <w:bodyDiv w:val="1"/>
      <w:marLeft w:val="0"/>
      <w:marRight w:val="0"/>
      <w:marTop w:val="0"/>
      <w:marBottom w:val="0"/>
      <w:divBdr>
        <w:top w:val="none" w:sz="0" w:space="0" w:color="auto"/>
        <w:left w:val="none" w:sz="0" w:space="0" w:color="auto"/>
        <w:bottom w:val="none" w:sz="0" w:space="0" w:color="auto"/>
        <w:right w:val="none" w:sz="0" w:space="0" w:color="auto"/>
      </w:divBdr>
    </w:div>
    <w:div w:id="752974579">
      <w:bodyDiv w:val="1"/>
      <w:marLeft w:val="0"/>
      <w:marRight w:val="0"/>
      <w:marTop w:val="0"/>
      <w:marBottom w:val="0"/>
      <w:divBdr>
        <w:top w:val="none" w:sz="0" w:space="0" w:color="auto"/>
        <w:left w:val="none" w:sz="0" w:space="0" w:color="auto"/>
        <w:bottom w:val="none" w:sz="0" w:space="0" w:color="auto"/>
        <w:right w:val="none" w:sz="0" w:space="0" w:color="auto"/>
      </w:divBdr>
    </w:div>
    <w:div w:id="770853647">
      <w:bodyDiv w:val="1"/>
      <w:marLeft w:val="0"/>
      <w:marRight w:val="0"/>
      <w:marTop w:val="0"/>
      <w:marBottom w:val="0"/>
      <w:divBdr>
        <w:top w:val="none" w:sz="0" w:space="0" w:color="auto"/>
        <w:left w:val="none" w:sz="0" w:space="0" w:color="auto"/>
        <w:bottom w:val="none" w:sz="0" w:space="0" w:color="auto"/>
        <w:right w:val="none" w:sz="0" w:space="0" w:color="auto"/>
      </w:divBdr>
    </w:div>
    <w:div w:id="775711957">
      <w:bodyDiv w:val="1"/>
      <w:marLeft w:val="0"/>
      <w:marRight w:val="0"/>
      <w:marTop w:val="0"/>
      <w:marBottom w:val="0"/>
      <w:divBdr>
        <w:top w:val="none" w:sz="0" w:space="0" w:color="auto"/>
        <w:left w:val="none" w:sz="0" w:space="0" w:color="auto"/>
        <w:bottom w:val="none" w:sz="0" w:space="0" w:color="auto"/>
        <w:right w:val="none" w:sz="0" w:space="0" w:color="auto"/>
      </w:divBdr>
    </w:div>
    <w:div w:id="787578349">
      <w:bodyDiv w:val="1"/>
      <w:marLeft w:val="0"/>
      <w:marRight w:val="0"/>
      <w:marTop w:val="0"/>
      <w:marBottom w:val="0"/>
      <w:divBdr>
        <w:top w:val="none" w:sz="0" w:space="0" w:color="auto"/>
        <w:left w:val="none" w:sz="0" w:space="0" w:color="auto"/>
        <w:bottom w:val="none" w:sz="0" w:space="0" w:color="auto"/>
        <w:right w:val="none" w:sz="0" w:space="0" w:color="auto"/>
      </w:divBdr>
    </w:div>
    <w:div w:id="826752790">
      <w:bodyDiv w:val="1"/>
      <w:marLeft w:val="0"/>
      <w:marRight w:val="0"/>
      <w:marTop w:val="0"/>
      <w:marBottom w:val="0"/>
      <w:divBdr>
        <w:top w:val="none" w:sz="0" w:space="0" w:color="auto"/>
        <w:left w:val="none" w:sz="0" w:space="0" w:color="auto"/>
        <w:bottom w:val="none" w:sz="0" w:space="0" w:color="auto"/>
        <w:right w:val="none" w:sz="0" w:space="0" w:color="auto"/>
      </w:divBdr>
    </w:div>
    <w:div w:id="828864478">
      <w:bodyDiv w:val="1"/>
      <w:marLeft w:val="0"/>
      <w:marRight w:val="0"/>
      <w:marTop w:val="0"/>
      <w:marBottom w:val="0"/>
      <w:divBdr>
        <w:top w:val="none" w:sz="0" w:space="0" w:color="auto"/>
        <w:left w:val="none" w:sz="0" w:space="0" w:color="auto"/>
        <w:bottom w:val="none" w:sz="0" w:space="0" w:color="auto"/>
        <w:right w:val="none" w:sz="0" w:space="0" w:color="auto"/>
      </w:divBdr>
    </w:div>
    <w:div w:id="904560235">
      <w:bodyDiv w:val="1"/>
      <w:marLeft w:val="0"/>
      <w:marRight w:val="0"/>
      <w:marTop w:val="0"/>
      <w:marBottom w:val="0"/>
      <w:divBdr>
        <w:top w:val="none" w:sz="0" w:space="0" w:color="auto"/>
        <w:left w:val="none" w:sz="0" w:space="0" w:color="auto"/>
        <w:bottom w:val="none" w:sz="0" w:space="0" w:color="auto"/>
        <w:right w:val="none" w:sz="0" w:space="0" w:color="auto"/>
      </w:divBdr>
    </w:div>
    <w:div w:id="955211279">
      <w:bodyDiv w:val="1"/>
      <w:marLeft w:val="0"/>
      <w:marRight w:val="0"/>
      <w:marTop w:val="0"/>
      <w:marBottom w:val="0"/>
      <w:divBdr>
        <w:top w:val="none" w:sz="0" w:space="0" w:color="auto"/>
        <w:left w:val="none" w:sz="0" w:space="0" w:color="auto"/>
        <w:bottom w:val="none" w:sz="0" w:space="0" w:color="auto"/>
        <w:right w:val="none" w:sz="0" w:space="0" w:color="auto"/>
      </w:divBdr>
    </w:div>
    <w:div w:id="959801554">
      <w:bodyDiv w:val="1"/>
      <w:marLeft w:val="0"/>
      <w:marRight w:val="0"/>
      <w:marTop w:val="0"/>
      <w:marBottom w:val="0"/>
      <w:divBdr>
        <w:top w:val="none" w:sz="0" w:space="0" w:color="auto"/>
        <w:left w:val="none" w:sz="0" w:space="0" w:color="auto"/>
        <w:bottom w:val="none" w:sz="0" w:space="0" w:color="auto"/>
        <w:right w:val="none" w:sz="0" w:space="0" w:color="auto"/>
      </w:divBdr>
    </w:div>
    <w:div w:id="967735049">
      <w:bodyDiv w:val="1"/>
      <w:marLeft w:val="0"/>
      <w:marRight w:val="0"/>
      <w:marTop w:val="0"/>
      <w:marBottom w:val="0"/>
      <w:divBdr>
        <w:top w:val="none" w:sz="0" w:space="0" w:color="auto"/>
        <w:left w:val="none" w:sz="0" w:space="0" w:color="auto"/>
        <w:bottom w:val="none" w:sz="0" w:space="0" w:color="auto"/>
        <w:right w:val="none" w:sz="0" w:space="0" w:color="auto"/>
      </w:divBdr>
    </w:div>
    <w:div w:id="1132362517">
      <w:bodyDiv w:val="1"/>
      <w:marLeft w:val="0"/>
      <w:marRight w:val="0"/>
      <w:marTop w:val="0"/>
      <w:marBottom w:val="0"/>
      <w:divBdr>
        <w:top w:val="none" w:sz="0" w:space="0" w:color="auto"/>
        <w:left w:val="none" w:sz="0" w:space="0" w:color="auto"/>
        <w:bottom w:val="none" w:sz="0" w:space="0" w:color="auto"/>
        <w:right w:val="none" w:sz="0" w:space="0" w:color="auto"/>
      </w:divBdr>
    </w:div>
    <w:div w:id="1158963203">
      <w:bodyDiv w:val="1"/>
      <w:marLeft w:val="0"/>
      <w:marRight w:val="0"/>
      <w:marTop w:val="0"/>
      <w:marBottom w:val="0"/>
      <w:divBdr>
        <w:top w:val="none" w:sz="0" w:space="0" w:color="auto"/>
        <w:left w:val="none" w:sz="0" w:space="0" w:color="auto"/>
        <w:bottom w:val="none" w:sz="0" w:space="0" w:color="auto"/>
        <w:right w:val="none" w:sz="0" w:space="0" w:color="auto"/>
      </w:divBdr>
    </w:div>
    <w:div w:id="1193835506">
      <w:bodyDiv w:val="1"/>
      <w:marLeft w:val="0"/>
      <w:marRight w:val="0"/>
      <w:marTop w:val="0"/>
      <w:marBottom w:val="0"/>
      <w:divBdr>
        <w:top w:val="none" w:sz="0" w:space="0" w:color="auto"/>
        <w:left w:val="none" w:sz="0" w:space="0" w:color="auto"/>
        <w:bottom w:val="none" w:sz="0" w:space="0" w:color="auto"/>
        <w:right w:val="none" w:sz="0" w:space="0" w:color="auto"/>
      </w:divBdr>
    </w:div>
    <w:div w:id="1223709167">
      <w:bodyDiv w:val="1"/>
      <w:marLeft w:val="0"/>
      <w:marRight w:val="0"/>
      <w:marTop w:val="0"/>
      <w:marBottom w:val="0"/>
      <w:divBdr>
        <w:top w:val="none" w:sz="0" w:space="0" w:color="auto"/>
        <w:left w:val="none" w:sz="0" w:space="0" w:color="auto"/>
        <w:bottom w:val="none" w:sz="0" w:space="0" w:color="auto"/>
        <w:right w:val="none" w:sz="0" w:space="0" w:color="auto"/>
      </w:divBdr>
    </w:div>
    <w:div w:id="1249313405">
      <w:bodyDiv w:val="1"/>
      <w:marLeft w:val="0"/>
      <w:marRight w:val="0"/>
      <w:marTop w:val="0"/>
      <w:marBottom w:val="0"/>
      <w:divBdr>
        <w:top w:val="none" w:sz="0" w:space="0" w:color="auto"/>
        <w:left w:val="none" w:sz="0" w:space="0" w:color="auto"/>
        <w:bottom w:val="none" w:sz="0" w:space="0" w:color="auto"/>
        <w:right w:val="none" w:sz="0" w:space="0" w:color="auto"/>
      </w:divBdr>
    </w:div>
    <w:div w:id="1264922054">
      <w:bodyDiv w:val="1"/>
      <w:marLeft w:val="0"/>
      <w:marRight w:val="0"/>
      <w:marTop w:val="0"/>
      <w:marBottom w:val="0"/>
      <w:divBdr>
        <w:top w:val="none" w:sz="0" w:space="0" w:color="auto"/>
        <w:left w:val="none" w:sz="0" w:space="0" w:color="auto"/>
        <w:bottom w:val="none" w:sz="0" w:space="0" w:color="auto"/>
        <w:right w:val="none" w:sz="0" w:space="0" w:color="auto"/>
      </w:divBdr>
    </w:div>
    <w:div w:id="1282032927">
      <w:bodyDiv w:val="1"/>
      <w:marLeft w:val="0"/>
      <w:marRight w:val="0"/>
      <w:marTop w:val="0"/>
      <w:marBottom w:val="0"/>
      <w:divBdr>
        <w:top w:val="none" w:sz="0" w:space="0" w:color="auto"/>
        <w:left w:val="none" w:sz="0" w:space="0" w:color="auto"/>
        <w:bottom w:val="none" w:sz="0" w:space="0" w:color="auto"/>
        <w:right w:val="none" w:sz="0" w:space="0" w:color="auto"/>
      </w:divBdr>
    </w:div>
    <w:div w:id="1299873360">
      <w:bodyDiv w:val="1"/>
      <w:marLeft w:val="0"/>
      <w:marRight w:val="0"/>
      <w:marTop w:val="0"/>
      <w:marBottom w:val="0"/>
      <w:divBdr>
        <w:top w:val="none" w:sz="0" w:space="0" w:color="auto"/>
        <w:left w:val="none" w:sz="0" w:space="0" w:color="auto"/>
        <w:bottom w:val="none" w:sz="0" w:space="0" w:color="auto"/>
        <w:right w:val="none" w:sz="0" w:space="0" w:color="auto"/>
      </w:divBdr>
    </w:div>
    <w:div w:id="1323125777">
      <w:bodyDiv w:val="1"/>
      <w:marLeft w:val="0"/>
      <w:marRight w:val="0"/>
      <w:marTop w:val="0"/>
      <w:marBottom w:val="0"/>
      <w:divBdr>
        <w:top w:val="none" w:sz="0" w:space="0" w:color="auto"/>
        <w:left w:val="none" w:sz="0" w:space="0" w:color="auto"/>
        <w:bottom w:val="none" w:sz="0" w:space="0" w:color="auto"/>
        <w:right w:val="none" w:sz="0" w:space="0" w:color="auto"/>
      </w:divBdr>
    </w:div>
    <w:div w:id="1329602651">
      <w:bodyDiv w:val="1"/>
      <w:marLeft w:val="0"/>
      <w:marRight w:val="0"/>
      <w:marTop w:val="0"/>
      <w:marBottom w:val="0"/>
      <w:divBdr>
        <w:top w:val="none" w:sz="0" w:space="0" w:color="auto"/>
        <w:left w:val="none" w:sz="0" w:space="0" w:color="auto"/>
        <w:bottom w:val="none" w:sz="0" w:space="0" w:color="auto"/>
        <w:right w:val="none" w:sz="0" w:space="0" w:color="auto"/>
      </w:divBdr>
    </w:div>
    <w:div w:id="1346443376">
      <w:bodyDiv w:val="1"/>
      <w:marLeft w:val="0"/>
      <w:marRight w:val="0"/>
      <w:marTop w:val="0"/>
      <w:marBottom w:val="0"/>
      <w:divBdr>
        <w:top w:val="none" w:sz="0" w:space="0" w:color="auto"/>
        <w:left w:val="none" w:sz="0" w:space="0" w:color="auto"/>
        <w:bottom w:val="none" w:sz="0" w:space="0" w:color="auto"/>
        <w:right w:val="none" w:sz="0" w:space="0" w:color="auto"/>
      </w:divBdr>
    </w:div>
    <w:div w:id="1347095491">
      <w:bodyDiv w:val="1"/>
      <w:marLeft w:val="0"/>
      <w:marRight w:val="0"/>
      <w:marTop w:val="0"/>
      <w:marBottom w:val="0"/>
      <w:divBdr>
        <w:top w:val="none" w:sz="0" w:space="0" w:color="auto"/>
        <w:left w:val="none" w:sz="0" w:space="0" w:color="auto"/>
        <w:bottom w:val="none" w:sz="0" w:space="0" w:color="auto"/>
        <w:right w:val="none" w:sz="0" w:space="0" w:color="auto"/>
      </w:divBdr>
    </w:div>
    <w:div w:id="1356930096">
      <w:bodyDiv w:val="1"/>
      <w:marLeft w:val="0"/>
      <w:marRight w:val="0"/>
      <w:marTop w:val="0"/>
      <w:marBottom w:val="0"/>
      <w:divBdr>
        <w:top w:val="none" w:sz="0" w:space="0" w:color="auto"/>
        <w:left w:val="none" w:sz="0" w:space="0" w:color="auto"/>
        <w:bottom w:val="none" w:sz="0" w:space="0" w:color="auto"/>
        <w:right w:val="none" w:sz="0" w:space="0" w:color="auto"/>
      </w:divBdr>
    </w:div>
    <w:div w:id="1358121151">
      <w:bodyDiv w:val="1"/>
      <w:marLeft w:val="0"/>
      <w:marRight w:val="0"/>
      <w:marTop w:val="0"/>
      <w:marBottom w:val="0"/>
      <w:divBdr>
        <w:top w:val="none" w:sz="0" w:space="0" w:color="auto"/>
        <w:left w:val="none" w:sz="0" w:space="0" w:color="auto"/>
        <w:bottom w:val="none" w:sz="0" w:space="0" w:color="auto"/>
        <w:right w:val="none" w:sz="0" w:space="0" w:color="auto"/>
      </w:divBdr>
    </w:div>
    <w:div w:id="1369255764">
      <w:bodyDiv w:val="1"/>
      <w:marLeft w:val="0"/>
      <w:marRight w:val="0"/>
      <w:marTop w:val="0"/>
      <w:marBottom w:val="0"/>
      <w:divBdr>
        <w:top w:val="none" w:sz="0" w:space="0" w:color="auto"/>
        <w:left w:val="none" w:sz="0" w:space="0" w:color="auto"/>
        <w:bottom w:val="none" w:sz="0" w:space="0" w:color="auto"/>
        <w:right w:val="none" w:sz="0" w:space="0" w:color="auto"/>
      </w:divBdr>
    </w:div>
    <w:div w:id="1370103830">
      <w:bodyDiv w:val="1"/>
      <w:marLeft w:val="0"/>
      <w:marRight w:val="0"/>
      <w:marTop w:val="0"/>
      <w:marBottom w:val="0"/>
      <w:divBdr>
        <w:top w:val="none" w:sz="0" w:space="0" w:color="auto"/>
        <w:left w:val="none" w:sz="0" w:space="0" w:color="auto"/>
        <w:bottom w:val="none" w:sz="0" w:space="0" w:color="auto"/>
        <w:right w:val="none" w:sz="0" w:space="0" w:color="auto"/>
      </w:divBdr>
    </w:div>
    <w:div w:id="1386492760">
      <w:bodyDiv w:val="1"/>
      <w:marLeft w:val="0"/>
      <w:marRight w:val="0"/>
      <w:marTop w:val="0"/>
      <w:marBottom w:val="0"/>
      <w:divBdr>
        <w:top w:val="none" w:sz="0" w:space="0" w:color="auto"/>
        <w:left w:val="none" w:sz="0" w:space="0" w:color="auto"/>
        <w:bottom w:val="none" w:sz="0" w:space="0" w:color="auto"/>
        <w:right w:val="none" w:sz="0" w:space="0" w:color="auto"/>
      </w:divBdr>
    </w:div>
    <w:div w:id="1402479934">
      <w:bodyDiv w:val="1"/>
      <w:marLeft w:val="0"/>
      <w:marRight w:val="0"/>
      <w:marTop w:val="0"/>
      <w:marBottom w:val="0"/>
      <w:divBdr>
        <w:top w:val="none" w:sz="0" w:space="0" w:color="auto"/>
        <w:left w:val="none" w:sz="0" w:space="0" w:color="auto"/>
        <w:bottom w:val="none" w:sz="0" w:space="0" w:color="auto"/>
        <w:right w:val="none" w:sz="0" w:space="0" w:color="auto"/>
      </w:divBdr>
    </w:div>
    <w:div w:id="1403603283">
      <w:bodyDiv w:val="1"/>
      <w:marLeft w:val="0"/>
      <w:marRight w:val="0"/>
      <w:marTop w:val="0"/>
      <w:marBottom w:val="0"/>
      <w:divBdr>
        <w:top w:val="none" w:sz="0" w:space="0" w:color="auto"/>
        <w:left w:val="none" w:sz="0" w:space="0" w:color="auto"/>
        <w:bottom w:val="none" w:sz="0" w:space="0" w:color="auto"/>
        <w:right w:val="none" w:sz="0" w:space="0" w:color="auto"/>
      </w:divBdr>
    </w:div>
    <w:div w:id="1478644697">
      <w:bodyDiv w:val="1"/>
      <w:marLeft w:val="0"/>
      <w:marRight w:val="0"/>
      <w:marTop w:val="0"/>
      <w:marBottom w:val="0"/>
      <w:divBdr>
        <w:top w:val="none" w:sz="0" w:space="0" w:color="auto"/>
        <w:left w:val="none" w:sz="0" w:space="0" w:color="auto"/>
        <w:bottom w:val="none" w:sz="0" w:space="0" w:color="auto"/>
        <w:right w:val="none" w:sz="0" w:space="0" w:color="auto"/>
      </w:divBdr>
    </w:div>
    <w:div w:id="1504739019">
      <w:bodyDiv w:val="1"/>
      <w:marLeft w:val="0"/>
      <w:marRight w:val="0"/>
      <w:marTop w:val="0"/>
      <w:marBottom w:val="0"/>
      <w:divBdr>
        <w:top w:val="none" w:sz="0" w:space="0" w:color="auto"/>
        <w:left w:val="none" w:sz="0" w:space="0" w:color="auto"/>
        <w:bottom w:val="none" w:sz="0" w:space="0" w:color="auto"/>
        <w:right w:val="none" w:sz="0" w:space="0" w:color="auto"/>
      </w:divBdr>
    </w:div>
    <w:div w:id="1505439186">
      <w:bodyDiv w:val="1"/>
      <w:marLeft w:val="0"/>
      <w:marRight w:val="0"/>
      <w:marTop w:val="0"/>
      <w:marBottom w:val="0"/>
      <w:divBdr>
        <w:top w:val="none" w:sz="0" w:space="0" w:color="auto"/>
        <w:left w:val="none" w:sz="0" w:space="0" w:color="auto"/>
        <w:bottom w:val="none" w:sz="0" w:space="0" w:color="auto"/>
        <w:right w:val="none" w:sz="0" w:space="0" w:color="auto"/>
      </w:divBdr>
    </w:div>
    <w:div w:id="1535654171">
      <w:bodyDiv w:val="1"/>
      <w:marLeft w:val="0"/>
      <w:marRight w:val="0"/>
      <w:marTop w:val="0"/>
      <w:marBottom w:val="0"/>
      <w:divBdr>
        <w:top w:val="none" w:sz="0" w:space="0" w:color="auto"/>
        <w:left w:val="none" w:sz="0" w:space="0" w:color="auto"/>
        <w:bottom w:val="none" w:sz="0" w:space="0" w:color="auto"/>
        <w:right w:val="none" w:sz="0" w:space="0" w:color="auto"/>
      </w:divBdr>
    </w:div>
    <w:div w:id="1557201045">
      <w:bodyDiv w:val="1"/>
      <w:marLeft w:val="0"/>
      <w:marRight w:val="0"/>
      <w:marTop w:val="0"/>
      <w:marBottom w:val="0"/>
      <w:divBdr>
        <w:top w:val="none" w:sz="0" w:space="0" w:color="auto"/>
        <w:left w:val="none" w:sz="0" w:space="0" w:color="auto"/>
        <w:bottom w:val="none" w:sz="0" w:space="0" w:color="auto"/>
        <w:right w:val="none" w:sz="0" w:space="0" w:color="auto"/>
      </w:divBdr>
    </w:div>
    <w:div w:id="1591545473">
      <w:bodyDiv w:val="1"/>
      <w:marLeft w:val="0"/>
      <w:marRight w:val="0"/>
      <w:marTop w:val="0"/>
      <w:marBottom w:val="0"/>
      <w:divBdr>
        <w:top w:val="none" w:sz="0" w:space="0" w:color="auto"/>
        <w:left w:val="none" w:sz="0" w:space="0" w:color="auto"/>
        <w:bottom w:val="none" w:sz="0" w:space="0" w:color="auto"/>
        <w:right w:val="none" w:sz="0" w:space="0" w:color="auto"/>
      </w:divBdr>
    </w:div>
    <w:div w:id="1626690613">
      <w:bodyDiv w:val="1"/>
      <w:marLeft w:val="0"/>
      <w:marRight w:val="0"/>
      <w:marTop w:val="0"/>
      <w:marBottom w:val="0"/>
      <w:divBdr>
        <w:top w:val="none" w:sz="0" w:space="0" w:color="auto"/>
        <w:left w:val="none" w:sz="0" w:space="0" w:color="auto"/>
        <w:bottom w:val="none" w:sz="0" w:space="0" w:color="auto"/>
        <w:right w:val="none" w:sz="0" w:space="0" w:color="auto"/>
      </w:divBdr>
    </w:div>
    <w:div w:id="1627469918">
      <w:bodyDiv w:val="1"/>
      <w:marLeft w:val="0"/>
      <w:marRight w:val="0"/>
      <w:marTop w:val="0"/>
      <w:marBottom w:val="0"/>
      <w:divBdr>
        <w:top w:val="none" w:sz="0" w:space="0" w:color="auto"/>
        <w:left w:val="none" w:sz="0" w:space="0" w:color="auto"/>
        <w:bottom w:val="none" w:sz="0" w:space="0" w:color="auto"/>
        <w:right w:val="none" w:sz="0" w:space="0" w:color="auto"/>
      </w:divBdr>
    </w:div>
    <w:div w:id="1648970348">
      <w:bodyDiv w:val="1"/>
      <w:marLeft w:val="0"/>
      <w:marRight w:val="0"/>
      <w:marTop w:val="0"/>
      <w:marBottom w:val="0"/>
      <w:divBdr>
        <w:top w:val="none" w:sz="0" w:space="0" w:color="auto"/>
        <w:left w:val="none" w:sz="0" w:space="0" w:color="auto"/>
        <w:bottom w:val="none" w:sz="0" w:space="0" w:color="auto"/>
        <w:right w:val="none" w:sz="0" w:space="0" w:color="auto"/>
      </w:divBdr>
    </w:div>
    <w:div w:id="1652707535">
      <w:bodyDiv w:val="1"/>
      <w:marLeft w:val="0"/>
      <w:marRight w:val="0"/>
      <w:marTop w:val="0"/>
      <w:marBottom w:val="0"/>
      <w:divBdr>
        <w:top w:val="none" w:sz="0" w:space="0" w:color="auto"/>
        <w:left w:val="none" w:sz="0" w:space="0" w:color="auto"/>
        <w:bottom w:val="none" w:sz="0" w:space="0" w:color="auto"/>
        <w:right w:val="none" w:sz="0" w:space="0" w:color="auto"/>
      </w:divBdr>
    </w:div>
    <w:div w:id="1677927101">
      <w:bodyDiv w:val="1"/>
      <w:marLeft w:val="0"/>
      <w:marRight w:val="0"/>
      <w:marTop w:val="0"/>
      <w:marBottom w:val="0"/>
      <w:divBdr>
        <w:top w:val="none" w:sz="0" w:space="0" w:color="auto"/>
        <w:left w:val="none" w:sz="0" w:space="0" w:color="auto"/>
        <w:bottom w:val="none" w:sz="0" w:space="0" w:color="auto"/>
        <w:right w:val="none" w:sz="0" w:space="0" w:color="auto"/>
      </w:divBdr>
    </w:div>
    <w:div w:id="1714043014">
      <w:bodyDiv w:val="1"/>
      <w:marLeft w:val="0"/>
      <w:marRight w:val="0"/>
      <w:marTop w:val="0"/>
      <w:marBottom w:val="0"/>
      <w:divBdr>
        <w:top w:val="none" w:sz="0" w:space="0" w:color="auto"/>
        <w:left w:val="none" w:sz="0" w:space="0" w:color="auto"/>
        <w:bottom w:val="none" w:sz="0" w:space="0" w:color="auto"/>
        <w:right w:val="none" w:sz="0" w:space="0" w:color="auto"/>
      </w:divBdr>
    </w:div>
    <w:div w:id="1776168427">
      <w:bodyDiv w:val="1"/>
      <w:marLeft w:val="0"/>
      <w:marRight w:val="0"/>
      <w:marTop w:val="0"/>
      <w:marBottom w:val="0"/>
      <w:divBdr>
        <w:top w:val="none" w:sz="0" w:space="0" w:color="auto"/>
        <w:left w:val="none" w:sz="0" w:space="0" w:color="auto"/>
        <w:bottom w:val="none" w:sz="0" w:space="0" w:color="auto"/>
        <w:right w:val="none" w:sz="0" w:space="0" w:color="auto"/>
      </w:divBdr>
    </w:div>
    <w:div w:id="1813131171">
      <w:bodyDiv w:val="1"/>
      <w:marLeft w:val="0"/>
      <w:marRight w:val="0"/>
      <w:marTop w:val="0"/>
      <w:marBottom w:val="0"/>
      <w:divBdr>
        <w:top w:val="none" w:sz="0" w:space="0" w:color="auto"/>
        <w:left w:val="none" w:sz="0" w:space="0" w:color="auto"/>
        <w:bottom w:val="none" w:sz="0" w:space="0" w:color="auto"/>
        <w:right w:val="none" w:sz="0" w:space="0" w:color="auto"/>
      </w:divBdr>
    </w:div>
    <w:div w:id="1845971680">
      <w:bodyDiv w:val="1"/>
      <w:marLeft w:val="0"/>
      <w:marRight w:val="0"/>
      <w:marTop w:val="0"/>
      <w:marBottom w:val="0"/>
      <w:divBdr>
        <w:top w:val="none" w:sz="0" w:space="0" w:color="auto"/>
        <w:left w:val="none" w:sz="0" w:space="0" w:color="auto"/>
        <w:bottom w:val="none" w:sz="0" w:space="0" w:color="auto"/>
        <w:right w:val="none" w:sz="0" w:space="0" w:color="auto"/>
      </w:divBdr>
    </w:div>
    <w:div w:id="1846164229">
      <w:bodyDiv w:val="1"/>
      <w:marLeft w:val="0"/>
      <w:marRight w:val="0"/>
      <w:marTop w:val="0"/>
      <w:marBottom w:val="0"/>
      <w:divBdr>
        <w:top w:val="none" w:sz="0" w:space="0" w:color="auto"/>
        <w:left w:val="none" w:sz="0" w:space="0" w:color="auto"/>
        <w:bottom w:val="none" w:sz="0" w:space="0" w:color="auto"/>
        <w:right w:val="none" w:sz="0" w:space="0" w:color="auto"/>
      </w:divBdr>
    </w:div>
    <w:div w:id="1868256960">
      <w:bodyDiv w:val="1"/>
      <w:marLeft w:val="0"/>
      <w:marRight w:val="0"/>
      <w:marTop w:val="0"/>
      <w:marBottom w:val="0"/>
      <w:divBdr>
        <w:top w:val="none" w:sz="0" w:space="0" w:color="auto"/>
        <w:left w:val="none" w:sz="0" w:space="0" w:color="auto"/>
        <w:bottom w:val="none" w:sz="0" w:space="0" w:color="auto"/>
        <w:right w:val="none" w:sz="0" w:space="0" w:color="auto"/>
      </w:divBdr>
    </w:div>
    <w:div w:id="1869099689">
      <w:bodyDiv w:val="1"/>
      <w:marLeft w:val="0"/>
      <w:marRight w:val="0"/>
      <w:marTop w:val="0"/>
      <w:marBottom w:val="0"/>
      <w:divBdr>
        <w:top w:val="none" w:sz="0" w:space="0" w:color="auto"/>
        <w:left w:val="none" w:sz="0" w:space="0" w:color="auto"/>
        <w:bottom w:val="none" w:sz="0" w:space="0" w:color="auto"/>
        <w:right w:val="none" w:sz="0" w:space="0" w:color="auto"/>
      </w:divBdr>
    </w:div>
    <w:div w:id="1885829161">
      <w:bodyDiv w:val="1"/>
      <w:marLeft w:val="0"/>
      <w:marRight w:val="0"/>
      <w:marTop w:val="0"/>
      <w:marBottom w:val="0"/>
      <w:divBdr>
        <w:top w:val="none" w:sz="0" w:space="0" w:color="auto"/>
        <w:left w:val="none" w:sz="0" w:space="0" w:color="auto"/>
        <w:bottom w:val="none" w:sz="0" w:space="0" w:color="auto"/>
        <w:right w:val="none" w:sz="0" w:space="0" w:color="auto"/>
      </w:divBdr>
    </w:div>
    <w:div w:id="1889224828">
      <w:bodyDiv w:val="1"/>
      <w:marLeft w:val="0"/>
      <w:marRight w:val="0"/>
      <w:marTop w:val="0"/>
      <w:marBottom w:val="0"/>
      <w:divBdr>
        <w:top w:val="none" w:sz="0" w:space="0" w:color="auto"/>
        <w:left w:val="none" w:sz="0" w:space="0" w:color="auto"/>
        <w:bottom w:val="none" w:sz="0" w:space="0" w:color="auto"/>
        <w:right w:val="none" w:sz="0" w:space="0" w:color="auto"/>
      </w:divBdr>
    </w:div>
    <w:div w:id="1892615551">
      <w:bodyDiv w:val="1"/>
      <w:marLeft w:val="0"/>
      <w:marRight w:val="0"/>
      <w:marTop w:val="0"/>
      <w:marBottom w:val="0"/>
      <w:divBdr>
        <w:top w:val="none" w:sz="0" w:space="0" w:color="auto"/>
        <w:left w:val="none" w:sz="0" w:space="0" w:color="auto"/>
        <w:bottom w:val="none" w:sz="0" w:space="0" w:color="auto"/>
        <w:right w:val="none" w:sz="0" w:space="0" w:color="auto"/>
      </w:divBdr>
    </w:div>
    <w:div w:id="1911960373">
      <w:bodyDiv w:val="1"/>
      <w:marLeft w:val="0"/>
      <w:marRight w:val="0"/>
      <w:marTop w:val="0"/>
      <w:marBottom w:val="0"/>
      <w:divBdr>
        <w:top w:val="none" w:sz="0" w:space="0" w:color="auto"/>
        <w:left w:val="none" w:sz="0" w:space="0" w:color="auto"/>
        <w:bottom w:val="none" w:sz="0" w:space="0" w:color="auto"/>
        <w:right w:val="none" w:sz="0" w:space="0" w:color="auto"/>
      </w:divBdr>
    </w:div>
    <w:div w:id="1942519661">
      <w:bodyDiv w:val="1"/>
      <w:marLeft w:val="0"/>
      <w:marRight w:val="0"/>
      <w:marTop w:val="0"/>
      <w:marBottom w:val="0"/>
      <w:divBdr>
        <w:top w:val="none" w:sz="0" w:space="0" w:color="auto"/>
        <w:left w:val="none" w:sz="0" w:space="0" w:color="auto"/>
        <w:bottom w:val="none" w:sz="0" w:space="0" w:color="auto"/>
        <w:right w:val="none" w:sz="0" w:space="0" w:color="auto"/>
      </w:divBdr>
    </w:div>
    <w:div w:id="1993440123">
      <w:bodyDiv w:val="1"/>
      <w:marLeft w:val="0"/>
      <w:marRight w:val="0"/>
      <w:marTop w:val="0"/>
      <w:marBottom w:val="0"/>
      <w:divBdr>
        <w:top w:val="none" w:sz="0" w:space="0" w:color="auto"/>
        <w:left w:val="none" w:sz="0" w:space="0" w:color="auto"/>
        <w:bottom w:val="none" w:sz="0" w:space="0" w:color="auto"/>
        <w:right w:val="none" w:sz="0" w:space="0" w:color="auto"/>
      </w:divBdr>
    </w:div>
    <w:div w:id="2000425213">
      <w:bodyDiv w:val="1"/>
      <w:marLeft w:val="0"/>
      <w:marRight w:val="0"/>
      <w:marTop w:val="0"/>
      <w:marBottom w:val="0"/>
      <w:divBdr>
        <w:top w:val="none" w:sz="0" w:space="0" w:color="auto"/>
        <w:left w:val="none" w:sz="0" w:space="0" w:color="auto"/>
        <w:bottom w:val="none" w:sz="0" w:space="0" w:color="auto"/>
        <w:right w:val="none" w:sz="0" w:space="0" w:color="auto"/>
      </w:divBdr>
    </w:div>
    <w:div w:id="2029213352">
      <w:bodyDiv w:val="1"/>
      <w:marLeft w:val="0"/>
      <w:marRight w:val="0"/>
      <w:marTop w:val="0"/>
      <w:marBottom w:val="0"/>
      <w:divBdr>
        <w:top w:val="none" w:sz="0" w:space="0" w:color="auto"/>
        <w:left w:val="none" w:sz="0" w:space="0" w:color="auto"/>
        <w:bottom w:val="none" w:sz="0" w:space="0" w:color="auto"/>
        <w:right w:val="none" w:sz="0" w:space="0" w:color="auto"/>
      </w:divBdr>
    </w:div>
    <w:div w:id="2035954888">
      <w:bodyDiv w:val="1"/>
      <w:marLeft w:val="0"/>
      <w:marRight w:val="0"/>
      <w:marTop w:val="0"/>
      <w:marBottom w:val="0"/>
      <w:divBdr>
        <w:top w:val="none" w:sz="0" w:space="0" w:color="auto"/>
        <w:left w:val="none" w:sz="0" w:space="0" w:color="auto"/>
        <w:bottom w:val="none" w:sz="0" w:space="0" w:color="auto"/>
        <w:right w:val="none" w:sz="0" w:space="0" w:color="auto"/>
      </w:divBdr>
    </w:div>
    <w:div w:id="2072118041">
      <w:bodyDiv w:val="1"/>
      <w:marLeft w:val="0"/>
      <w:marRight w:val="0"/>
      <w:marTop w:val="0"/>
      <w:marBottom w:val="0"/>
      <w:divBdr>
        <w:top w:val="none" w:sz="0" w:space="0" w:color="auto"/>
        <w:left w:val="none" w:sz="0" w:space="0" w:color="auto"/>
        <w:bottom w:val="none" w:sz="0" w:space="0" w:color="auto"/>
        <w:right w:val="none" w:sz="0" w:space="0" w:color="auto"/>
      </w:divBdr>
    </w:div>
    <w:div w:id="2074427849">
      <w:bodyDiv w:val="1"/>
      <w:marLeft w:val="0"/>
      <w:marRight w:val="0"/>
      <w:marTop w:val="0"/>
      <w:marBottom w:val="0"/>
      <w:divBdr>
        <w:top w:val="none" w:sz="0" w:space="0" w:color="auto"/>
        <w:left w:val="none" w:sz="0" w:space="0" w:color="auto"/>
        <w:bottom w:val="none" w:sz="0" w:space="0" w:color="auto"/>
        <w:right w:val="none" w:sz="0" w:space="0" w:color="auto"/>
      </w:divBdr>
    </w:div>
    <w:div w:id="2101296121">
      <w:bodyDiv w:val="1"/>
      <w:marLeft w:val="0"/>
      <w:marRight w:val="0"/>
      <w:marTop w:val="0"/>
      <w:marBottom w:val="0"/>
      <w:divBdr>
        <w:top w:val="none" w:sz="0" w:space="0" w:color="auto"/>
        <w:left w:val="none" w:sz="0" w:space="0" w:color="auto"/>
        <w:bottom w:val="none" w:sz="0" w:space="0" w:color="auto"/>
        <w:right w:val="none" w:sz="0" w:space="0" w:color="auto"/>
      </w:divBdr>
    </w:div>
    <w:div w:id="2133090598">
      <w:bodyDiv w:val="1"/>
      <w:marLeft w:val="0"/>
      <w:marRight w:val="0"/>
      <w:marTop w:val="0"/>
      <w:marBottom w:val="0"/>
      <w:divBdr>
        <w:top w:val="none" w:sz="0" w:space="0" w:color="auto"/>
        <w:left w:val="none" w:sz="0" w:space="0" w:color="auto"/>
        <w:bottom w:val="none" w:sz="0" w:space="0" w:color="auto"/>
        <w:right w:val="none" w:sz="0" w:space="0" w:color="auto"/>
      </w:divBdr>
    </w:div>
    <w:div w:id="213760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Kor19</b:Tag>
    <b:SourceType>JournalArticle</b:SourceType>
    <b:Guid>{BFC92D14-A151-3E4D-90B6-3B6418BB7ABB}</b:Guid>
    <b:Title>How should textbook analogies be used in teaching physics?</b:Title>
    <b:Year>2019</b:Year>
    <b:JournalName>Physical Review Physics Education Research</b:JournalName>
    <b:Volume>15</b:Volume>
    <b:Pages>1-8</b:Pages>
    <b:Author>
      <b:Author>
        <b:NameList>
          <b:Person>
            <b:Last>Korhasan</b:Last>
            <b:Middle>D.</b:Middle>
            <b:First>N</b:First>
          </b:Person>
          <b:Person>
            <b:Last>Hidir</b:Last>
            <b:First>Mustafa</b:First>
          </b:Person>
        </b:NameList>
      </b:Author>
    </b:Author>
    <b:RefOrder>1</b:RefOrder>
  </b:Source>
  <b:Source>
    <b:Tag>Dum16</b:Tag>
    <b:SourceType>JournalArticle</b:SourceType>
    <b:Guid>{FBF031E9-4769-124F-ADA3-D09A57B1EC27}</b:Guid>
    <b:Title>An Example of the Use of Personal Analogy in Teaching Geography: If I Were a Mineral</b:Title>
    <b:JournalName>Educational Research and Reviews</b:JournalName>
    <b:Year>2016</b:Year>
    <b:Volume>11</b:Volume>
    <b:Issue>8</b:Issue>
    <b:Pages>721-731</b:Pages>
    <b:Author>
      <b:Author>
        <b:NameList>
          <b:Person>
            <b:Last>Duman</b:Last>
            <b:First>Nese</b:First>
          </b:Person>
        </b:NameList>
      </b:Author>
    </b:Author>
    <b:RefOrder>2</b:RefOrder>
  </b:Source>
  <b:Source>
    <b:Tag>Arm16</b:Tag>
    <b:SourceType>DocumentFromInternetSite</b:SourceType>
    <b:Guid>{A1ABC965-6919-E54E-A2F2-0A260CABDA87}</b:Guid>
    <b:Title>Bloom's Taxonomy</b:Title>
    <b:Year>2016</b:Year>
    <b:URL>https://programs.caringsafely.org/wp-content/uploads/2019/05/Caring-Safely-Professional-Program-Course-Development.pdf</b:URL>
    <b:YearAccessed>2020</b:YearAccessed>
    <b:MonthAccessed>February</b:MonthAccessed>
    <b:DayAccessed>11</b:DayAccessed>
    <b:Author>
      <b:Author>
        <b:NameList>
          <b:Person>
            <b:Last>Armstrong</b:Last>
            <b:First>Patricia</b:First>
          </b:Person>
        </b:NameList>
      </b:Author>
    </b:Author>
    <b:RefOrder>3</b:RefOrder>
  </b:Source>
  <b:Source>
    <b:Tag>MyL19</b:Tag>
    <b:SourceType>InternetSite</b:SourceType>
    <b:Guid>{3DCEA25C-FB79-8C43-A4E4-846ED3C4263B}</b:Guid>
    <b:Title>Olchfa School</b:Title>
    <b:URL>http://mylocalschool.gov.wales/School/6704032?lang=en</b:URL>
    <b:Year>2019</b:Year>
    <b:YearAccessed>2020</b:YearAccessed>
    <b:MonthAccessed>February</b:MonthAccessed>
    <b:DayAccessed>12</b:DayAccessed>
    <b:Author>
      <b:Author>
        <b:NameList>
          <b:Person>
            <b:Last>My Local School</b:Last>
          </b:Person>
        </b:NameList>
      </b:Author>
    </b:Author>
    <b:RefOrder>4</b:RefOrder>
  </b:Source>
  <b:Source>
    <b:Tag>Est182</b:Tag>
    <b:SourceType>Report</b:SourceType>
    <b:Guid>{5DBA4BF0-E4A7-F047-AB4A-1D508899BDD9}</b:Guid>
    <b:Title>A Report on Olchfa School</b:Title>
    <b:Year>2018</b:Year>
    <b:Publisher>Estyn</b:Publisher>
    <b:City>Cardiff</b:City>
    <b:Author>
      <b:Author>
        <b:NameList>
          <b:Person>
            <b:Last>Estyn</b:Last>
          </b:Person>
        </b:NameList>
      </b:Author>
    </b:Author>
    <b:RefOrder>5</b:RefOrder>
  </b:Source>
  <b:Source>
    <b:Tag>MyL191</b:Tag>
    <b:SourceType>InternetSite</b:SourceType>
    <b:Guid>{5B47274E-6065-D348-BF2D-8720CC118639}</b:Guid>
    <b:Title>Gowerton</b:Title>
    <b:Year>2019</b:Year>
    <b:URL>http://mylocalschool.gov.wales/School/6704063?lang=en</b:URL>
    <b:YearAccessed>2020</b:YearAccessed>
    <b:MonthAccessed>February</b:MonthAccessed>
    <b:DayAccessed>12</b:DayAccessed>
    <b:Author>
      <b:Author>
        <b:NameList>
          <b:Person>
            <b:Last>My Local School</b:Last>
          </b:Person>
        </b:NameList>
      </b:Author>
    </b:Author>
    <b:RefOrder>6</b:RefOrder>
  </b:Source>
  <b:Source>
    <b:Tag>Est17</b:Tag>
    <b:SourceType>Report</b:SourceType>
    <b:Guid>{3D65E786-A91E-DC42-AD0A-015457517E96}</b:Guid>
    <b:Title>A report on Gowerton School</b:Title>
    <b:Year>2017</b:Year>
    <b:Publisher>Estyn</b:Publisher>
    <b:City>Cardiff</b:City>
    <b:Author>
      <b:Author>
        <b:NameList>
          <b:Person>
            <b:Last>Estyn</b:Last>
          </b:Person>
        </b:NameList>
      </b:Author>
    </b:Author>
    <b:RefOrder>7</b:RefOrder>
  </b:Source>
  <b:Source>
    <b:Tag>Gag85</b:Tag>
    <b:SourceType>Book</b:SourceType>
    <b:Guid>{F3985C5F-CFB5-AB47-A9E3-52E0B4C946BF}</b:Guid>
    <b:Title>The Conditions of Learning</b:Title>
    <b:Publisher>Holt, Rinehart and Winston</b:Publisher>
    <b:City>New York</b:City>
    <b:Year>1985</b:Year>
    <b:Edition>4</b:Edition>
    <b:Author>
      <b:Author>
        <b:NameList>
          <b:Person>
            <b:Last>Gagne</b:Last>
            <b:Middle>M</b:Middle>
            <b:First>R</b:First>
          </b:Person>
        </b:NameList>
      </b:Author>
    </b:Author>
    <b:RefOrder>8</b:RefOrder>
  </b:Source>
  <b:Source>
    <b:Tag>Gen13</b:Tag>
    <b:SourceType>JournalArticle</b:SourceType>
    <b:Guid>{8D91EA5D-C502-6245-8C6A-8CF0AE8F6AE4}</b:Guid>
    <b:Title>The effect of analogy-based teaching on students' achievement and students' views about analogies</b:Title>
    <b:Year>2013</b:Year>
    <b:JournalName>Asia-Pacific Forum on Science Learning and Teaching</b:JournalName>
    <b:Volume>14</b:Volume>
    <b:Issue>2</b:Issue>
    <b:Pages>1-18</b:Pages>
    <b:Author>
      <b:Author>
        <b:NameList>
          <b:Person>
            <b:Last>Genc</b:Last>
            <b:First>Murat</b:First>
          </b:Person>
        </b:NameList>
      </b:Author>
    </b:Author>
    <b:RefOrder>9</b:RefOrder>
  </b:Source>
  <b:Source>
    <b:Tag>OEC18</b:Tag>
    <b:SourceType>InternetSite</b:SourceType>
    <b:Guid>{89F4130A-FA14-EE48-8FD8-490DB88A7508}</b:Guid>
    <b:Title>PISA Test Scores</b:Title>
    <b:Year>2018</b:Year>
    <b:URL>https://www.oecd.org/pisa/PISA-results_ENGLISH.png</b:URL>
    <b:YearAccessed>2020</b:YearAccessed>
    <b:MonthAccessed>February</b:MonthAccessed>
    <b:DayAccessed>16</b:DayAccessed>
    <b:Author>
      <b:Author>
        <b:NameList>
          <b:Person>
            <b:Last>OECD</b:Last>
          </b:Person>
        </b:NameList>
      </b:Author>
    </b:Author>
    <b:RefOrder>10</b:RefOrder>
  </b:Source>
  <b:Source>
    <b:Tag>Mys06</b:Tag>
    <b:SourceType>JournalArticle</b:SourceType>
    <b:Guid>{636EFFDB-99F3-3949-911F-05E9C0EEFF36}</b:Guid>
    <b:Title>Helping students put shape on the past; systematic use of analogies to accelerate understanding</b:Title>
    <b:Year>2006</b:Year>
    <b:JournalName>Teaching History</b:JournalName>
    <b:Volume>122</b:Volume>
    <b:Pages>26-32</b:Pages>
    <b:Author>
      <b:Author>
        <b:NameList>
          <b:Person>
            <b:Last>Myson</b:Last>
            <b:First>Ian</b:First>
          </b:Person>
        </b:NameList>
      </b:Author>
    </b:Author>
    <b:RefOrder>11</b:RefOrder>
  </b:Source>
  <b:Source>
    <b:Tag>Don152</b:Tag>
    <b:SourceType>Report</b:SourceType>
    <b:Guid>{176D59E7-4989-424A-8203-B3B2D7595936}</b:Guid>
    <b:Title>Successful Futures</b:Title>
    <b:Year>2015</b:Year>
    <b:Publisher>Welsh Government</b:Publisher>
    <b:City>Cardiff</b:City>
    <b:Author>
      <b:Author>
        <b:NameList>
          <b:Person>
            <b:Last>Donaldson</b:Last>
            <b:First>Graham</b:First>
          </b:Person>
        </b:NameList>
      </b:Author>
    </b:Author>
    <b:RefOrder>12</b:RefOrder>
  </b:Source>
  <b:Source>
    <b:Tag>Del17</b:Tag>
    <b:SourceType>JournalArticle</b:SourceType>
    <b:Guid>{A9484FB4-492C-6847-AFAB-9A4017B9B86E}</b:Guid>
    <b:Title>Understanding without Justification or Belief</b:Title>
    <b:JournalName>Ratio</b:JournalName>
    <b:Year>2017</b:Year>
    <b:Volume>30</b:Volume>
    <b:Issue>3</b:Issue>
    <b:Pages>239-254</b:Pages>
    <b:Author>
      <b:Author>
        <b:NameList>
          <b:Person>
            <b:Last>Dellsen</b:Last>
            <b:First>Finnur</b:First>
          </b:Person>
        </b:NameList>
      </b:Author>
    </b:Author>
    <b:RefOrder>14</b:RefOrder>
  </b:Source>
  <b:Source>
    <b:Tag>Kra02</b:Tag>
    <b:SourceType>JournalArticle</b:SourceType>
    <b:Guid>{CCFCABCC-B049-EE49-AF1F-787A7E5A33EA}</b:Guid>
    <b:Title>A Revision of Bloom's Taxonomy: An Overview,</b:Title>
    <b:JournalName>Theory into Practise</b:JournalName>
    <b:Year>2002</b:Year>
    <b:Volume>41</b:Volume>
    <b:Issue>4</b:Issue>
    <b:Pages>212-218</b:Pages>
    <b:Author>
      <b:Author>
        <b:NameList>
          <b:Person>
            <b:Last>Krathwohl</b:Last>
            <b:Middle>R</b:Middle>
            <b:First>David</b:First>
          </b:Person>
        </b:NameList>
      </b:Author>
    </b:Author>
    <b:RefOrder>15</b:RefOrder>
  </b:Source>
  <b:Source>
    <b:Tag>Arm20</b:Tag>
    <b:SourceType>InternetSite</b:SourceType>
    <b:Guid>{F574812D-0B86-DB4C-9891-E4338A9DBF14}</b:Guid>
    <b:Title>Bloom's Taxonomy</b:Title>
    <b:Year>2020</b:Year>
    <b:URL>https://cft.vanderbilt.edu/guides-sub-pages/blooms-taxonomy/</b:URL>
    <b:YearAccessed>2020</b:YearAccessed>
    <b:MonthAccessed>February</b:MonthAccessed>
    <b:DayAccessed>16</b:DayAccessed>
    <b:Author>
      <b:Author>
        <b:NameList>
          <b:Person>
            <b:Last>Armstrong</b:Last>
            <b:First>Patricia</b:First>
          </b:Person>
        </b:NameList>
      </b:Author>
    </b:Author>
    <b:RefOrder>17</b:RefOrder>
  </b:Source>
  <b:Source>
    <b:Tag>Cas13</b:Tag>
    <b:SourceType>DocumentFromInternetSite</b:SourceType>
    <b:Guid>{CFD0C0AB-7799-7840-B767-AFAEC479DC76}</b:Guid>
    <b:Title>The unfortuate consequences of Bloom’s taxonomy</b:Title>
    <b:URL>https://tc2.ca/uploads/PDFs/Critical%20Discussions/unfortunate_consequences_blooms_taxonomy.pdf</b:URL>
    <b:Year>2013</b:Year>
    <b:YearAccessed>2020</b:YearAccessed>
    <b:MonthAccessed>February</b:MonthAccessed>
    <b:DayAccessed>16</b:DayAccessed>
    <b:Author>
      <b:Author>
        <b:NameList>
          <b:Person>
            <b:Last>Case</b:Last>
            <b:First>Roland</b:First>
          </b:Person>
        </b:NameList>
      </b:Author>
    </b:Author>
    <b:RefOrder>18</b:RefOrder>
  </b:Source>
  <b:Source>
    <b:Tag>ACr16</b:Tag>
    <b:SourceType>JournalArticle</b:SourceType>
    <b:Guid>{DE6F99DE-F643-9240-9C3F-54760F1B0ED9}</b:Guid>
    <b:Title>A Critical Appraisal of Bloom’s Taxonomy</b:Title>
    <b:Year>2016</b:Year>
    <b:JournalName>American Research Journal of English and Literature</b:JournalName>
    <b:Volume>2</b:Volume>
    <b:Pages>1-9</b:Pages>
    <b:Author>
      <b:Author>
        <b:NameList>
          <b:Person>
            <b:Last>Soozandehfar</b:Last>
            <b:First>Seyyed</b:First>
          </b:Person>
          <b:Person>
            <b:Last>Adeli</b:Last>
            <b:First>Mohammad</b:First>
          </b:Person>
        </b:NameList>
      </b:Author>
    </b:Author>
    <b:RefOrder>16</b:RefOrder>
  </b:Source>
  <b:Source>
    <b:Tag>Ust19</b:Tag>
    <b:SourceType>JournalArticle</b:SourceType>
    <b:Guid>{8221415E-09EF-3246-BB37-4A34A4C6BFBC}</b:Guid>
    <b:Title>Lesson Study for Professional Development of English Language Teachers: Key Takeaways from International Practises</b:Title>
    <b:JournalName>Journal of Efficiency and Responsibility in Education and Science</b:JournalName>
    <b:Year>2019</b:Year>
    <b:Volume>12</b:Volume>
    <b:Issue>2</b:Issue>
    <b:Pages>41-50</b:Pages>
    <b:Author>
      <b:Author>
        <b:NameList>
          <b:Person>
            <b:Last>Ustuk</b:Last>
            <b:First>O</b:First>
          </b:Person>
          <b:Person>
            <b:Last>Comoglu</b:Last>
            <b:First>I</b:First>
          </b:Person>
        </b:NameList>
      </b:Author>
    </b:Author>
    <b:RefOrder>19</b:RefOrder>
  </b:Source>
  <b:Source>
    <b:Tag>Dud14</b:Tag>
    <b:SourceType>Book</b:SourceType>
    <b:Guid>{9AA7B309-3E43-F049-B8C0-276321C1AE98}</b:Guid>
    <b:Title>Lesson Study: A Handbook</b:Title>
    <b:Year>2014</b:Year>
    <b:City>Cambridge</b:City>
    <b:Publisher>Cambridge University</b:Publisher>
    <b:Author>
      <b:Author>
        <b:NameList>
          <b:Person>
            <b:Last>Dudley</b:Last>
            <b:First>Peter</b:First>
          </b:Person>
        </b:NameList>
      </b:Author>
    </b:Author>
    <b:RefOrder>20</b:RefOrder>
  </b:Source>
  <b:Source>
    <b:Tag>Sai14</b:Tag>
    <b:SourceType>Book</b:SourceType>
    <b:Guid>{330A4FAD-46AD-8746-A36F-6F34395A1EE6}</b:Guid>
    <b:Title>Lesson Study for Learning Community</b:Title>
    <b:City>New York</b:City>
    <b:Publisher>Routledge</b:Publisher>
    <b:Year>2014</b:Year>
    <b:Author>
      <b:Author>
        <b:NameList>
          <b:Person>
            <b:Last>Saito</b:Last>
            <b:First>E</b:First>
          </b:Person>
          <b:Person>
            <b:Last>Murase</b:Last>
            <b:First>M</b:First>
          </b:Person>
          <b:Person>
            <b:Last>Tsukui</b:Last>
            <b:First>A</b:First>
          </b:Person>
          <b:Person>
            <b:Last>Yeo</b:Last>
            <b:First>J</b:First>
          </b:Person>
        </b:NameList>
      </b:Author>
    </b:Author>
    <b:RefOrder>25</b:RefOrder>
  </b:Source>
  <b:Source>
    <b:Tag>Mur17</b:Tag>
    <b:SourceType>Report</b:SourceType>
    <b:Guid>{EFF40FE4-3A96-2D4E-BCCF-CACBE4599C81}</b:Guid>
    <b:Title>Lesson Study: Evaluation Report and Executive Summary</b:Title>
    <b:City>London</b:City>
    <b:Publisher>Education Endowment Foundation</b:Publisher>
    <b:Year>2017</b:Year>
    <b:Author>
      <b:Author>
        <b:NameList>
          <b:Person>
            <b:Last>Murphy</b:Last>
            <b:First>Richard</b:First>
          </b:Person>
          <b:Person>
            <b:Last>Weinhardt</b:Last>
            <b:First>Felix</b:First>
          </b:Person>
          <b:Person>
            <b:Last>Wyness</b:Last>
            <b:First>Gill</b:First>
          </b:Person>
          <b:Person>
            <b:Last>Rolfe</b:Last>
            <b:First>Heather</b:First>
          </b:Person>
        </b:NameList>
      </b:Author>
    </b:Author>
    <b:RefOrder>26</b:RefOrder>
  </b:Source>
  <b:Source>
    <b:Tag>Ama18</b:Tag>
    <b:SourceType>JournalArticle</b:SourceType>
    <b:Guid>{8E646EA2-7521-594B-9A73-CCDC740AD8E4}</b:Guid>
    <b:Title>Audible conversational affordances and constraints of verbalising professional noticing during prospective teacher lesson study.</b:Title>
    <b:Year>2018</b:Year>
    <b:JournalName>Journal of Mathematics Teacher Education</b:JournalName>
    <b:Volume>21</b:Volume>
    <b:Pages>5-34</b:Pages>
    <b:Author>
      <b:Author>
        <b:NameList>
          <b:Person>
            <b:Last>Amador</b:Last>
            <b:First>Julie</b:First>
          </b:Person>
          <b:Person>
            <b:Last>Carter</b:Last>
            <b:First>Ingrid</b:First>
          </b:Person>
        </b:NameList>
      </b:Author>
    </b:Author>
    <b:RefOrder>27</b:RefOrder>
  </b:Source>
  <b:Source>
    <b:Tag>Tea17</b:Tag>
    <b:SourceType>InternetSite</b:SourceType>
    <b:Guid>{2BE6AA68-29FB-DA40-AB52-F8C6BE4CBB1A}</b:Guid>
    <b:Title>Can Lesson Study Work in the UK?</b:Title>
    <b:Year>2017</b:Year>
    <b:URL>https://tdtrust.org/lessonstudyintheuk</b:URL>
    <b:YearAccessed>2020</b:YearAccessed>
    <b:MonthAccessed>February</b:MonthAccessed>
    <b:DayAccessed>17</b:DayAccessed>
    <b:Author>
      <b:Author>
        <b:NameList>
          <b:Person>
            <b:Last>Teacher Development Trust</b:Last>
          </b:Person>
        </b:NameList>
      </b:Author>
    </b:Author>
    <b:RefOrder>28</b:RefOrder>
  </b:Source>
  <b:Source>
    <b:Tag>Tea20</b:Tag>
    <b:SourceType>InternetSite</b:SourceType>
    <b:Guid>{2E506DF2-7BDD-1D48-BDAE-E2A90DB3BDBC}</b:Guid>
    <b:Title>What we do</b:Title>
    <b:URL>https://tdtrust.org</b:URL>
    <b:Year>2020</b:Year>
    <b:YearAccessed>2020</b:YearAccessed>
    <b:MonthAccessed>February</b:MonthAccessed>
    <b:DayAccessed>17</b:DayAccessed>
    <b:Author>
      <b:Author>
        <b:NameList>
          <b:Person>
            <b:Last>Teacher Development Trust</b:Last>
          </b:Person>
        </b:NameList>
      </b:Author>
    </b:Author>
    <b:RefOrder>29</b:RefOrder>
  </b:Source>
  <b:Source>
    <b:Tag>Nat20</b:Tag>
    <b:SourceType>InternetSite</b:SourceType>
    <b:Guid>{570EF97F-3624-E243-AE52-629C6A92CD67}</b:Guid>
    <b:Title>Glossary</b:Title>
    <b:URL>https://www.nice.org.uk/glossary?letter=o</b:URL>
    <b:Year>2020</b:Year>
    <b:YearAccessed>2020</b:YearAccessed>
    <b:MonthAccessed>February</b:MonthAccessed>
    <b:DayAccessed>17</b:DayAccessed>
    <b:Author>
      <b:Author>
        <b:NameList>
          <b:Person>
            <b:Last>National Institute for Health and Care Excellence</b:Last>
          </b:Person>
        </b:NameList>
      </b:Author>
    </b:Author>
    <b:RefOrder>30</b:RefOrder>
  </b:Source>
  <b:Source>
    <b:Tag>Bla161</b:Tag>
    <b:SourceType>Book</b:SourceType>
    <b:Guid>{AFB89CDB-1E72-3841-8FA8-A7550025D55D}</b:Guid>
    <b:Title>Qualitative HCI Research</b:Title>
    <b:Year>2016</b:Year>
    <b:City>San Rafael</b:City>
    <b:Publisher>Morgan &amp; Claypool</b:Publisher>
    <b:Edition>1st</b:Edition>
    <b:Author>
      <b:Author>
        <b:NameList>
          <b:Person>
            <b:Last>Blandford</b:Last>
            <b:First>A</b:First>
          </b:Person>
          <b:Person>
            <b:Last>Furniss</b:Last>
            <b:First>D</b:First>
          </b:Person>
          <b:Person>
            <b:Last>Makri</b:Last>
            <b:First>S</b:First>
          </b:Person>
        </b:NameList>
      </b:Author>
    </b:Author>
    <b:RefOrder>31</b:RefOrder>
  </b:Source>
  <b:Source>
    <b:Tag>Man031</b:Tag>
    <b:SourceType>JournalArticle</b:SourceType>
    <b:Guid>{9E6754EF-ADFF-E240-BD0E-96407AB8B0D6}</b:Guid>
    <b:Title>Observational research methods. Research design II: cohort, cross sectional, and case-control studies</b:Title>
    <b:Year>2003</b:Year>
    <b:JournalName>Emergency Medicine Journal</b:JournalName>
    <b:Volume>20</b:Volume>
    <b:Issue>1</b:Issue>
    <b:Pages>54-60</b:Pages>
    <b:Author>
      <b:Author>
        <b:NameList>
          <b:Person>
            <b:Last>Mann</b:Last>
            <b:Middle>J</b:Middle>
            <b:First>C</b:First>
          </b:Person>
        </b:NameList>
      </b:Author>
    </b:Author>
    <b:RefOrder>32</b:RefOrder>
  </b:Source>
  <b:Source>
    <b:Tag>Dav071</b:Tag>
    <b:SourceType>Book</b:SourceType>
    <b:Guid>{779F00CF-2F70-4B4D-B83C-E4204B1DABA3}</b:Guid>
    <b:Title>Doing a Successful Research Project</b:Title>
    <b:Year>2007</b:Year>
    <b:City>Basingstoke</b:City>
    <b:Author>
      <b:Author>
        <b:NameList>
          <b:Person>
            <b:Last>Davies</b:Last>
            <b:First>Martin</b:First>
          </b:Person>
          <b:Person>
            <b:Last>Hughes</b:Last>
            <b:First>Nathan</b:First>
          </b:Person>
        </b:NameList>
      </b:Author>
    </b:Author>
    <b:Publisher>Palgarve MacMillan</b:Publisher>
    <b:RefOrder>33</b:RefOrder>
  </b:Source>
  <b:Source>
    <b:Tag>Soc20</b:Tag>
    <b:SourceType>InternetSite</b:SourceType>
    <b:Guid>{F0A30AE1-9035-5D4B-AFBA-1BF7C9ACF789}</b:Guid>
    <b:Title>Table of Contents</b:Title>
    <b:Year>2020</b:Year>
    <b:URL>http://www.socialresearchmethods.net/kb/contents.php</b:URL>
    <b:YearAccessed>2020</b:YearAccessed>
    <b:MonthAccessed>February</b:MonthAccessed>
    <b:DayAccessed>17</b:DayAccessed>
    <b:Author>
      <b:Author>
        <b:NameList>
          <b:Person>
            <b:Last>Social Research Methods</b:Last>
          </b:Person>
        </b:NameList>
      </b:Author>
    </b:Author>
    <b:RefOrder>34</b:RefOrder>
  </b:Source>
  <b:Source>
    <b:Tag>Dil13</b:Tag>
    <b:SourceType>JournalArticle</b:SourceType>
    <b:Guid>{9967B70A-A241-7546-A02B-3028AAEAF06E}</b:Guid>
    <b:Title>Focus Group Interview as a Tool for Qualitative Research: An Analysis</b:Title>
    <b:Year>2013</b:Year>
    <b:JournalName>Pakistan Journal of Social Sciences</b:JournalName>
    <b:Volume>33</b:Volume>
    <b:Issue>1</b:Issue>
    <b:Pages>191-198</b:Pages>
    <b:Author>
      <b:Author>
        <b:NameList>
          <b:Person>
            <b:Last>Dilshad</b:Last>
            <b:Middle>Muhammad</b:Middle>
            <b:First>Rana</b:First>
          </b:Person>
          <b:Person>
            <b:Last>Latif</b:Last>
            <b:Middle>Ijaz</b:Middle>
            <b:First>Muhammad</b:First>
          </b:Person>
        </b:NameList>
      </b:Author>
    </b:Author>
    <b:RefOrder>35</b:RefOrder>
  </b:Source>
  <b:Source>
    <b:Tag>Nyu18</b:Tag>
    <b:SourceType>JournalArticle</b:SourceType>
    <b:Guid>{83D204EA-996B-ED45-A5A8-376F1CA49D02}</b:Guid>
    <b:Title>The use of focus group discussion methodology: Insights from two decades of application in conservation</b:Title>
    <b:JournalName>QUALITATIVE METHODS FOR ELICITING JUDGEMENTS FOR DECISION MAKING </b:JournalName>
    <b:Year>2018</b:Year>
    <b:Volume>9</b:Volume>
    <b:Issue>1</b:Issue>
    <b:Pages>20-32</b:Pages>
    <b:Author>
      <b:Author>
        <b:NameList>
          <b:Person>
            <b:Last>Nyumba</b:Last>
            <b:Middle>O.</b:Middle>
            <b:First>Tobias</b:First>
          </b:Person>
          <b:Person>
            <b:Last>Wilson</b:Last>
            <b:First>Kerrie</b:First>
          </b:Person>
          <b:Person>
            <b:Last>Derrick</b:Last>
            <b:Middle>J</b:Middle>
            <b:First>Christina</b:First>
          </b:Person>
          <b:Person>
            <b:Last>Mukherjee</b:Last>
            <b:First>Nibedita</b:First>
          </b:Person>
        </b:NameList>
      </b:Author>
    </b:Author>
    <b:RefOrder>36</b:RefOrder>
  </b:Source>
  <b:Source>
    <b:Tag>Ric20</b:Tag>
    <b:SourceType>InternetSite</b:SourceType>
    <b:Guid>{260F3089-8955-3041-8380-5EAC2C56BA1D}</b:Guid>
    <b:Title>Statistics Introduction</b:Title>
    <b:Year>2020</b:Year>
    <b:URL>https://people.richland.edu/james/lecture/m170/ch01-not.html</b:URL>
    <b:YearAccessed>2020</b:YearAccessed>
    <b:MonthAccessed>February</b:MonthAccessed>
    <b:DayAccessed>17</b:DayAccessed>
    <b:Author>
      <b:Author>
        <b:NameList>
          <b:Person>
            <b:Last>Richland Community College</b:Last>
          </b:Person>
        </b:NameList>
      </b:Author>
    </b:Author>
    <b:RefOrder>23</b:RefOrder>
  </b:Source>
  <b:Source>
    <b:Tag>Nay10</b:Tag>
    <b:SourceType>JournalArticle</b:SourceType>
    <b:Guid>{0338F8C7-E1A9-4C44-8BB0-0E3FEB3C89C4}</b:Guid>
    <b:Title>Understanding the Relevance of Sample Size Calculation</b:Title>
    <b:Year>2010</b:Year>
    <b:JournalName>Indian Journal of Ophthalmology</b:JournalName>
    <b:Volume>58</b:Volume>
    <b:Issue>6</b:Issue>
    <b:Pages>469-470</b:Pages>
    <b:Author>
      <b:Author>
        <b:NameList>
          <b:Person>
            <b:Last>Nayak</b:Last>
            <b:Middle>Kumar</b:Middle>
            <b:First>Barun</b:First>
          </b:Person>
        </b:NameList>
      </b:Author>
    </b:Author>
    <b:RefOrder>24</b:RefOrder>
  </b:Source>
  <b:Source>
    <b:Tag>Gib88</b:Tag>
    <b:SourceType>Book</b:SourceType>
    <b:Guid>{E5867AEB-D58A-2D42-8FB5-9E482AA1C4D8}</b:Guid>
    <b:Title>Learning by Doing: A guide to teaching and learning methods</b:Title>
    <b:Year>1988</b:Year>
    <b:City>Oxford</b:City>
    <b:Publisher>Oxford Polytechnic</b:Publisher>
    <b:Author>
      <b:Author>
        <b:NameList>
          <b:Person>
            <b:Last>Gibbs</b:Last>
            <b:First>C</b:First>
          </b:Person>
        </b:NameList>
      </b:Author>
    </b:Author>
    <b:RefOrder>21</b:RefOrder>
  </b:Source>
  <b:Source>
    <b:Tag>Kol841</b:Tag>
    <b:SourceType>Book</b:SourceType>
    <b:Guid>{740ADC98-A91E-2543-A59B-453F40D9D4EB}</b:Guid>
    <b:Title>Experiental Learning: experience as a source of learning or development.</b:Title>
    <b:City>Englewood Cliffs</b:City>
    <b:Publisher>Prentice Hall</b:Publisher>
    <b:Year>1984</b:Year>
    <b:Author>
      <b:Author>
        <b:NameList>
          <b:Person>
            <b:Last>Kolb</b:Last>
            <b:Middle>A</b:Middle>
            <b:First>D</b:First>
          </b:Person>
        </b:NameList>
      </b:Author>
    </b:Author>
    <b:RefOrder>22</b:RefOrder>
  </b:Source>
  <b:Source>
    <b:Tag>Bri18</b:Tag>
    <b:SourceType>Report</b:SourceType>
    <b:Guid>{CF8E73E5-A404-0343-BD51-A9962EB6B5E3}</b:Guid>
    <b:Title>Ethical Guidelines for Educational Research</b:Title>
    <b:City>London</b:City>
    <b:Publisher>British Educational Research Association</b:Publisher>
    <b:Year>2018</b:Year>
    <b:Author>
      <b:Author>
        <b:NameList>
          <b:Person>
            <b:Last>British Educational Research Association</b:Last>
          </b:Person>
        </b:NameList>
      </b:Author>
    </b:Author>
    <b:RefOrder>37</b:RefOrder>
  </b:Source>
  <b:Source>
    <b:Tag>Tow17</b:Tag>
    <b:SourceType>JournalArticle</b:SourceType>
    <b:Guid>{32DDA754-4093-2141-941C-180DAC3D5657}</b:Guid>
    <b:Title>Leaving or staying in teaching: a ‘vignette’ of an experienced urban teacher ‘leaver’ of a London primary school</b:Title>
    <b:Year>2017</b:Year>
    <b:JournalName>Teachers and Teaching</b:JournalName>
    <b:Volume>23</b:Volume>
    <b:Issue>8</b:Issue>
    <b:Pages>946-960</b:Pages>
    <b:Author>
      <b:Author>
        <b:NameList>
          <b:Person>
            <b:Last>Towers</b:Last>
            <b:First>Emma</b:First>
          </b:Person>
        </b:NameList>
      </b:Author>
    </b:Author>
    <b:RefOrder>39</b:RefOrder>
  </b:Source>
  <b:Source>
    <b:Tag>InJ17</b:Tag>
    <b:SourceType>JournalArticle</b:SourceType>
    <b:Guid>{AD326775-2DE1-1344-A237-AD80DF70BED0}</b:Guid>
    <b:Title>Introduction of a Pilot Study</b:Title>
    <b:JournalName>Korean Journal of Anesthesiology</b:JournalName>
    <b:Year>2017</b:Year>
    <b:Volume>70</b:Volume>
    <b:Issue>6</b:Issue>
    <b:Pages>601-605</b:Pages>
    <b:Author>
      <b:Author>
        <b:NameList>
          <b:Person>
            <b:Last>In</b:Last>
            <b:First>Junyong</b:First>
          </b:Person>
        </b:NameList>
      </b:Author>
    </b:Author>
    <b:RefOrder>40</b:RefOrder>
  </b:Source>
  <b:Source>
    <b:Tag>SIm84</b:Tag>
    <b:SourceType>JournalArticle</b:SourceType>
    <b:Guid>{0B0694C6-8C58-CE4C-9E4D-A2A9144F9E1C}</b:Guid>
    <b:Title>Instructing with Analogies</b:Title>
    <b:Year>1984</b:Year>
    <b:JournalName>Journal of Educational Psychology</b:JournalName>
    <b:Volume>76</b:Volume>
    <b:Pages>513-527</b:Pages>
    <b:Author>
      <b:Author>
        <b:NameList>
          <b:Person>
            <b:Last>Simons</b:Last>
            <b:First>P.</b:First>
            <b:Middle>R.J.</b:Middle>
          </b:Person>
        </b:NameList>
      </b:Author>
    </b:Author>
    <b:RefOrder>13</b:RefOrder>
  </b:Source>
  <b:Source>
    <b:Tag>Kir00</b:Tag>
    <b:SourceType>JournalArticle</b:SourceType>
    <b:Guid>{708EE18C-7166-5548-A22E-BA720931272A}</b:Guid>
    <b:Title>A Few Thoughts on Cognitive Overload</b:Title>
    <b:JournalName>Intellectica</b:JournalName>
    <b:Year>2000</b:Year>
    <b:Volume>1</b:Volume>
    <b:Issue>30</b:Issue>
    <b:Pages>19-51</b:Pages>
    <b:Author>
      <b:Author>
        <b:NameList>
          <b:Person>
            <b:Last>Kirsh</b:Last>
            <b:First>David</b:First>
          </b:Person>
        </b:NameList>
      </b:Author>
    </b:Author>
    <b:RefOrder>38</b:RefOrder>
  </b:Source>
</b:Sources>
</file>

<file path=customXml/itemProps1.xml><?xml version="1.0" encoding="utf-8"?>
<ds:datastoreItem xmlns:ds="http://schemas.openxmlformats.org/officeDocument/2006/customXml" ds:itemID="{20F37CFE-C928-6747-8F4E-EDA883B19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1327</TotalTime>
  <Pages>16</Pages>
  <Words>6192</Words>
  <Characters>35295</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slade</dc:creator>
  <cp:keywords/>
  <dc:description/>
  <cp:lastModifiedBy>callum slade</cp:lastModifiedBy>
  <cp:revision>54</cp:revision>
  <dcterms:created xsi:type="dcterms:W3CDTF">2020-02-11T19:24:00Z</dcterms:created>
  <dcterms:modified xsi:type="dcterms:W3CDTF">2020-02-23T20:35:00Z</dcterms:modified>
</cp:coreProperties>
</file>