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D22F3" w14:textId="77777777" w:rsidR="00B11D7C" w:rsidRPr="00074402" w:rsidRDefault="00B11D7C" w:rsidP="00B11D7C">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31D1B6A0" wp14:editId="5557F7A8">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5629C3E" w14:textId="77777777" w:rsidR="00B11D7C" w:rsidRPr="00074402" w:rsidRDefault="00B11D7C" w:rsidP="00B11D7C">
      <w:pPr>
        <w:spacing w:line="360" w:lineRule="auto"/>
        <w:rPr>
          <w:rFonts w:ascii="Arial" w:hAnsi="Arial" w:cs="Arial"/>
          <w:szCs w:val="24"/>
        </w:rPr>
      </w:pPr>
    </w:p>
    <w:p w14:paraId="2310D9CE" w14:textId="77777777" w:rsidR="00B11D7C" w:rsidRPr="00074402" w:rsidRDefault="00B11D7C" w:rsidP="00B11D7C">
      <w:pPr>
        <w:spacing w:line="360" w:lineRule="auto"/>
        <w:rPr>
          <w:rFonts w:ascii="Arial" w:hAnsi="Arial" w:cs="Arial"/>
          <w:szCs w:val="24"/>
        </w:rPr>
      </w:pPr>
    </w:p>
    <w:p w14:paraId="58808129" w14:textId="77777777" w:rsidR="00B11D7C" w:rsidRPr="00074402" w:rsidRDefault="00B11D7C" w:rsidP="00B11D7C">
      <w:pPr>
        <w:spacing w:line="360" w:lineRule="auto"/>
        <w:rPr>
          <w:rFonts w:ascii="Arial" w:hAnsi="Arial" w:cs="Arial"/>
          <w:szCs w:val="24"/>
        </w:rPr>
      </w:pPr>
    </w:p>
    <w:p w14:paraId="54E7ED1E" w14:textId="77777777" w:rsidR="00B11D7C" w:rsidRDefault="00B11D7C" w:rsidP="00B11D7C">
      <w:pPr>
        <w:tabs>
          <w:tab w:val="left" w:pos="6540"/>
        </w:tabs>
        <w:spacing w:line="360" w:lineRule="auto"/>
        <w:rPr>
          <w:rFonts w:ascii="Arial" w:hAnsi="Arial" w:cs="Arial"/>
          <w:sz w:val="28"/>
          <w:szCs w:val="28"/>
        </w:rPr>
      </w:pPr>
    </w:p>
    <w:p w14:paraId="60806EF7" w14:textId="4D260D1E" w:rsidR="00B11D7C" w:rsidRPr="00C83A82" w:rsidRDefault="00B11D7C" w:rsidP="00B11D7C">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96677">
        <w:rPr>
          <w:rFonts w:ascii="Arial" w:hAnsi="Arial" w:cs="Arial"/>
          <w:sz w:val="28"/>
          <w:szCs w:val="28"/>
        </w:rPr>
        <w:t>Beatriz Mardegan Canas</w:t>
      </w:r>
    </w:p>
    <w:p w14:paraId="3A2DD61E" w14:textId="198740F1" w:rsidR="00B11D7C" w:rsidRPr="00C83A82" w:rsidRDefault="00B11D7C" w:rsidP="00B11D7C">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96677">
        <w:rPr>
          <w:rFonts w:ascii="Arial" w:hAnsi="Arial" w:cs="Arial"/>
          <w:sz w:val="28"/>
          <w:szCs w:val="28"/>
          <w:lang w:val="nl-NL"/>
        </w:rPr>
        <w:t xml:space="preserve"> </w:t>
      </w:r>
      <w:r w:rsidR="005A55C3">
        <w:rPr>
          <w:rFonts w:ascii="Arial" w:hAnsi="Arial" w:cs="Arial"/>
          <w:sz w:val="28"/>
          <w:szCs w:val="28"/>
          <w:lang w:val="nl-NL"/>
        </w:rPr>
        <w:t>2241031</w:t>
      </w:r>
    </w:p>
    <w:p w14:paraId="0B7C1551" w14:textId="77777777" w:rsidR="00B11D7C" w:rsidRPr="00C83A82" w:rsidRDefault="00B11D7C" w:rsidP="00B11D7C">
      <w:pPr>
        <w:tabs>
          <w:tab w:val="left" w:pos="6540"/>
        </w:tabs>
        <w:spacing w:line="360" w:lineRule="auto"/>
        <w:rPr>
          <w:rFonts w:ascii="Arial" w:hAnsi="Arial" w:cs="Arial"/>
          <w:sz w:val="28"/>
          <w:szCs w:val="28"/>
          <w:lang w:val="nl-NL"/>
        </w:rPr>
      </w:pPr>
    </w:p>
    <w:p w14:paraId="324A84CA" w14:textId="03BFA028" w:rsidR="00B11D7C" w:rsidRPr="00C83A82" w:rsidRDefault="00B11D7C" w:rsidP="00B11D7C">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5A55C3">
        <w:rPr>
          <w:rFonts w:ascii="Arial" w:hAnsi="Arial" w:cs="Arial"/>
          <w:sz w:val="28"/>
          <w:szCs w:val="28"/>
          <w:lang w:val="nl-NL"/>
        </w:rPr>
        <w:t>Introduction</w:t>
      </w:r>
      <w:proofErr w:type="spellEnd"/>
      <w:r w:rsidR="005A55C3">
        <w:rPr>
          <w:rFonts w:ascii="Arial" w:hAnsi="Arial" w:cs="Arial"/>
          <w:sz w:val="28"/>
          <w:szCs w:val="28"/>
          <w:lang w:val="nl-NL"/>
        </w:rPr>
        <w:t xml:space="preserve"> </w:t>
      </w:r>
      <w:proofErr w:type="spellStart"/>
      <w:r w:rsidR="005A55C3">
        <w:rPr>
          <w:rFonts w:ascii="Arial" w:hAnsi="Arial" w:cs="Arial"/>
          <w:sz w:val="28"/>
          <w:szCs w:val="28"/>
          <w:lang w:val="nl-NL"/>
        </w:rPr>
        <w:t>to</w:t>
      </w:r>
      <w:proofErr w:type="spellEnd"/>
      <w:r w:rsidR="005A55C3">
        <w:rPr>
          <w:rFonts w:ascii="Arial" w:hAnsi="Arial" w:cs="Arial"/>
          <w:sz w:val="28"/>
          <w:szCs w:val="28"/>
          <w:lang w:val="nl-NL"/>
        </w:rPr>
        <w:t xml:space="preserve"> Health </w:t>
      </w:r>
      <w:proofErr w:type="spellStart"/>
      <w:r w:rsidR="005A55C3">
        <w:rPr>
          <w:rFonts w:ascii="Arial" w:hAnsi="Arial" w:cs="Arial"/>
          <w:sz w:val="28"/>
          <w:szCs w:val="28"/>
          <w:lang w:val="nl-NL"/>
        </w:rPr>
        <w:t>and</w:t>
      </w:r>
      <w:proofErr w:type="spellEnd"/>
      <w:r w:rsidR="005A55C3">
        <w:rPr>
          <w:rFonts w:ascii="Arial" w:hAnsi="Arial" w:cs="Arial"/>
          <w:sz w:val="28"/>
          <w:szCs w:val="28"/>
          <w:lang w:val="nl-NL"/>
        </w:rPr>
        <w:t xml:space="preserve"> </w:t>
      </w:r>
      <w:proofErr w:type="spellStart"/>
      <w:r w:rsidR="005A55C3">
        <w:rPr>
          <w:rFonts w:ascii="Arial" w:hAnsi="Arial" w:cs="Arial"/>
          <w:sz w:val="28"/>
          <w:szCs w:val="28"/>
          <w:lang w:val="nl-NL"/>
        </w:rPr>
        <w:t>Social</w:t>
      </w:r>
      <w:proofErr w:type="spellEnd"/>
      <w:r w:rsidR="005A55C3">
        <w:rPr>
          <w:rFonts w:ascii="Arial" w:hAnsi="Arial" w:cs="Arial"/>
          <w:sz w:val="28"/>
          <w:szCs w:val="28"/>
          <w:lang w:val="nl-NL"/>
        </w:rPr>
        <w:t xml:space="preserve"> Care</w:t>
      </w:r>
    </w:p>
    <w:p w14:paraId="6FD51458" w14:textId="668CF98B" w:rsidR="00B11D7C" w:rsidRPr="0020413D" w:rsidRDefault="00B11D7C" w:rsidP="00B11D7C">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5A55C3">
        <w:rPr>
          <w:rFonts w:ascii="Arial" w:hAnsi="Arial" w:cs="Arial"/>
          <w:sz w:val="28"/>
          <w:szCs w:val="28"/>
        </w:rPr>
        <w:t xml:space="preserve"> LCHS4003</w:t>
      </w:r>
    </w:p>
    <w:bookmarkEnd w:id="0"/>
    <w:p w14:paraId="5DF8EE10" w14:textId="35672D03" w:rsidR="00B11D7C" w:rsidRDefault="00B11D7C" w:rsidP="00B11D7C">
      <w:pPr>
        <w:sectPr w:rsidR="00B11D7C" w:rsidSect="00B11D7C">
          <w:headerReference w:type="default" r:id="rId9"/>
          <w:footerReference w:type="default" r:id="rId10"/>
          <w:pgSz w:w="11906" w:h="16838"/>
          <w:pgMar w:top="1440" w:right="1440" w:bottom="1440" w:left="1440" w:header="708" w:footer="708" w:gutter="0"/>
          <w:cols w:space="708"/>
          <w:docGrid w:linePitch="360"/>
        </w:sectPr>
      </w:pPr>
    </w:p>
    <w:p w14:paraId="51A7E345" w14:textId="77777777" w:rsidR="00B11D7C" w:rsidRPr="00496677" w:rsidRDefault="00B11D7C" w:rsidP="00B11D7C">
      <w:pPr>
        <w:rPr>
          <w:sz w:val="32"/>
          <w:szCs w:val="32"/>
        </w:rPr>
      </w:pPr>
      <w:r w:rsidRPr="00496677">
        <w:rPr>
          <w:sz w:val="32"/>
          <w:szCs w:val="32"/>
        </w:rPr>
        <w:lastRenderedPageBreak/>
        <w:t>Effective Communication, Administration and Collaborative Working in Health and Social Care</w:t>
      </w:r>
    </w:p>
    <w:p w14:paraId="30C6C102" w14:textId="77777777" w:rsidR="00B11D7C" w:rsidRPr="005A55C3" w:rsidRDefault="00B11D7C" w:rsidP="00B11D7C">
      <w:pPr>
        <w:rPr>
          <w:sz w:val="28"/>
          <w:szCs w:val="28"/>
        </w:rPr>
      </w:pPr>
    </w:p>
    <w:p w14:paraId="53E735A1" w14:textId="77777777" w:rsidR="00B11D7C" w:rsidRPr="005A55C3" w:rsidRDefault="00B11D7C" w:rsidP="00B11D7C">
      <w:pPr>
        <w:rPr>
          <w:sz w:val="28"/>
          <w:szCs w:val="28"/>
        </w:rPr>
      </w:pPr>
      <w:r w:rsidRPr="005A55C3">
        <w:rPr>
          <w:sz w:val="28"/>
          <w:szCs w:val="28"/>
        </w:rPr>
        <w:t>Case Study: Mrs Mann</w:t>
      </w:r>
    </w:p>
    <w:p w14:paraId="68013B66" w14:textId="77777777" w:rsidR="00B11D7C" w:rsidRPr="005A55C3" w:rsidRDefault="00B11D7C" w:rsidP="00B11D7C">
      <w:pPr>
        <w:rPr>
          <w:sz w:val="28"/>
          <w:szCs w:val="28"/>
        </w:rPr>
      </w:pPr>
    </w:p>
    <w:p w14:paraId="1250B710" w14:textId="20B4F8B7" w:rsidR="00B11D7C" w:rsidRPr="005A55C3" w:rsidRDefault="00B11D7C" w:rsidP="00B11D7C">
      <w:pPr>
        <w:rPr>
          <w:sz w:val="28"/>
          <w:szCs w:val="28"/>
        </w:rPr>
      </w:pPr>
      <w:r w:rsidRPr="005A55C3">
        <w:rPr>
          <w:sz w:val="28"/>
          <w:szCs w:val="28"/>
        </w:rPr>
        <w:t xml:space="preserve">Introduction </w:t>
      </w:r>
    </w:p>
    <w:p w14:paraId="3D8B8FB8" w14:textId="77777777" w:rsidR="00B11D7C" w:rsidRDefault="00B11D7C" w:rsidP="00B11D7C"/>
    <w:p w14:paraId="2E155472" w14:textId="77777777" w:rsidR="00B11D7C" w:rsidRPr="005A55C3" w:rsidRDefault="00B11D7C" w:rsidP="00B11D7C">
      <w:pPr>
        <w:rPr>
          <w:sz w:val="28"/>
          <w:szCs w:val="28"/>
        </w:rPr>
      </w:pPr>
      <w:r w:rsidRPr="005A55C3">
        <w:rPr>
          <w:sz w:val="28"/>
          <w:szCs w:val="28"/>
        </w:rPr>
        <w:t>In health and social care practice, effective communication, accurate administration and collaborative working are essential to maintaining service user safety and promoting positive outcomes. This report examines these key areas through the case of Mrs Mann, a 72-year-old woman recently discharged from hospital following hip replacement surgery. Mrs Mann lives alone and receives domiciliary care support, alongside input from her GP and a community physiotherapist. Her first language is Urdu, and she has limited English, which increases the importance of clear, adapted communication. Recent concerns relating to inconsistent documentation and a breakdown in communication, resulting in a delayed medication adjustment, highlight how weaknesses in professional practice can place service users at risk. By reflecting on this case, the report explores how effective communication, good administrative skills and collaborative working can improve care quality, reduce avoidable errors and support person-centred practice, while meeting legal and professional responsibilities (NICE, 2023).</w:t>
      </w:r>
    </w:p>
    <w:p w14:paraId="035561A6" w14:textId="77777777" w:rsidR="00B11D7C" w:rsidRPr="005A55C3" w:rsidRDefault="00B11D7C" w:rsidP="00B11D7C">
      <w:pPr>
        <w:rPr>
          <w:sz w:val="28"/>
          <w:szCs w:val="28"/>
        </w:rPr>
      </w:pPr>
    </w:p>
    <w:p w14:paraId="2C68BB4D" w14:textId="3CCBE340" w:rsidR="00B11D7C" w:rsidRPr="005A55C3" w:rsidRDefault="00B11D7C" w:rsidP="00B11D7C">
      <w:pPr>
        <w:rPr>
          <w:sz w:val="32"/>
          <w:szCs w:val="32"/>
        </w:rPr>
      </w:pPr>
      <w:r w:rsidRPr="005A55C3">
        <w:rPr>
          <w:sz w:val="32"/>
          <w:szCs w:val="32"/>
        </w:rPr>
        <w:t xml:space="preserve">1. Importance of Effective Communication in Mrs Mann’s Care </w:t>
      </w:r>
    </w:p>
    <w:p w14:paraId="48E63238" w14:textId="77777777" w:rsidR="00B11D7C" w:rsidRDefault="00B11D7C" w:rsidP="00B11D7C"/>
    <w:p w14:paraId="42215F7E" w14:textId="77777777" w:rsidR="00B11D7C" w:rsidRPr="005A55C3" w:rsidRDefault="00B11D7C" w:rsidP="00B11D7C">
      <w:pPr>
        <w:rPr>
          <w:sz w:val="28"/>
          <w:szCs w:val="28"/>
        </w:rPr>
      </w:pPr>
      <w:r w:rsidRPr="005A55C3">
        <w:rPr>
          <w:sz w:val="28"/>
          <w:szCs w:val="28"/>
        </w:rPr>
        <w:t xml:space="preserve">Effective communication plays a central role in ensuring that service users feel informed, respected and safe within health and social care services. In Mrs Mann’s situation, her limited English significantly increases the risk of misunderstanding important information about her medication, mobility support and recovery process. If communication is not adapted to her needs, there is a risk that she may feel confused or excluded from </w:t>
      </w:r>
      <w:r w:rsidRPr="005A55C3">
        <w:rPr>
          <w:sz w:val="28"/>
          <w:szCs w:val="28"/>
        </w:rPr>
        <w:lastRenderedPageBreak/>
        <w:t>decisions about her own care, which can reduce confidence and negatively affect her rehabilitation (RCN, 2021).</w:t>
      </w:r>
    </w:p>
    <w:p w14:paraId="155933C0" w14:textId="77777777" w:rsidR="00B11D7C" w:rsidRPr="005A55C3" w:rsidRDefault="00B11D7C" w:rsidP="00B11D7C">
      <w:pPr>
        <w:rPr>
          <w:sz w:val="28"/>
          <w:szCs w:val="28"/>
        </w:rPr>
      </w:pPr>
    </w:p>
    <w:p w14:paraId="1A231176" w14:textId="77777777" w:rsidR="00B11D7C" w:rsidRPr="005A55C3" w:rsidRDefault="00B11D7C" w:rsidP="00B11D7C">
      <w:pPr>
        <w:rPr>
          <w:sz w:val="28"/>
          <w:szCs w:val="28"/>
        </w:rPr>
      </w:pPr>
      <w:r w:rsidRPr="005A55C3">
        <w:rPr>
          <w:sz w:val="28"/>
          <w:szCs w:val="28"/>
        </w:rPr>
        <w:t>The Equality Act 2010 requires care providers to make reasonable adjustments to ensure individuals are not disadvantaged due to communication or language barriers. In practice, this means recognising that providing the same information in the same way for every service user is not always equitable. For Mrs Mann, reasonable adjustments could include professional interpreting services, simplified language, visual prompts or written information in an accessible format (Equality Act, 2010). Reflecting on this case highlights how failing to adapt communication may unintentionally lead to inequality in care delivery.</w:t>
      </w:r>
    </w:p>
    <w:p w14:paraId="4E61A4FF" w14:textId="77777777" w:rsidR="00B11D7C" w:rsidRPr="005A55C3" w:rsidRDefault="00B11D7C" w:rsidP="00B11D7C">
      <w:pPr>
        <w:rPr>
          <w:sz w:val="28"/>
          <w:szCs w:val="28"/>
        </w:rPr>
      </w:pPr>
    </w:p>
    <w:p w14:paraId="1303AF45" w14:textId="150ED7A5" w:rsidR="00B11D7C" w:rsidRPr="005A55C3" w:rsidRDefault="00B11D7C" w:rsidP="00B11D7C">
      <w:pPr>
        <w:rPr>
          <w:sz w:val="28"/>
          <w:szCs w:val="28"/>
        </w:rPr>
      </w:pPr>
      <w:r w:rsidRPr="005A55C3">
        <w:rPr>
          <w:sz w:val="28"/>
          <w:szCs w:val="28"/>
        </w:rPr>
        <w:t xml:space="preserve">Although Mrs Mann’s daughter frequently assists with interpretation, relying solely on family members can create challenges. Information may be unintentionally altered, misunderstood or filtered, particularly when discussing medication or clinical risks. From a professional perspective, </w:t>
      </w:r>
      <w:r w:rsidR="00496677" w:rsidRPr="005A55C3">
        <w:rPr>
          <w:sz w:val="28"/>
          <w:szCs w:val="28"/>
        </w:rPr>
        <w:t>this raise</w:t>
      </w:r>
      <w:r w:rsidRPr="005A55C3">
        <w:rPr>
          <w:sz w:val="28"/>
          <w:szCs w:val="28"/>
        </w:rPr>
        <w:t xml:space="preserve"> concerns around consent, confidentiality and accuracy. Using trained interpreters supports Mrs Mann’s right to autonomy and ensures she is fully involved in decisions about her care (NHS England, 2022).</w:t>
      </w:r>
    </w:p>
    <w:p w14:paraId="0F679B5F" w14:textId="77777777" w:rsidR="00B11D7C" w:rsidRPr="005A55C3" w:rsidRDefault="00B11D7C" w:rsidP="00B11D7C">
      <w:pPr>
        <w:rPr>
          <w:sz w:val="28"/>
          <w:szCs w:val="28"/>
        </w:rPr>
      </w:pPr>
    </w:p>
    <w:p w14:paraId="5E2EC622" w14:textId="4373E429" w:rsidR="00496677" w:rsidRPr="005A55C3" w:rsidRDefault="00B11D7C" w:rsidP="00B11D7C">
      <w:pPr>
        <w:rPr>
          <w:sz w:val="28"/>
          <w:szCs w:val="28"/>
        </w:rPr>
      </w:pPr>
      <w:r w:rsidRPr="005A55C3">
        <w:rPr>
          <w:sz w:val="28"/>
          <w:szCs w:val="28"/>
        </w:rPr>
        <w:t>The Transactional Model of Communication is particularly relevant, as it views communication as a continuous, two-way process influenced by cultural background, health status and environment (Steinberg, 2007). Applying this model encourages professionals to actively check understanding rather than assuming information has been received. Reflecting on the delayed medication adjustment, it becomes clear that a lack of feedback and confirmation contributed to the breakdown in communication. This demonstrates how small communication failures can have significant consequences for service user safety (CQC, 2023).</w:t>
      </w:r>
    </w:p>
    <w:p w14:paraId="670EA442" w14:textId="77777777" w:rsidR="00496677" w:rsidRPr="005A55C3" w:rsidRDefault="00496677" w:rsidP="00B11D7C">
      <w:pPr>
        <w:rPr>
          <w:sz w:val="28"/>
          <w:szCs w:val="28"/>
        </w:rPr>
      </w:pPr>
    </w:p>
    <w:p w14:paraId="78E7412A" w14:textId="77777777" w:rsidR="005A55C3" w:rsidRDefault="005A55C3" w:rsidP="00B11D7C">
      <w:pPr>
        <w:rPr>
          <w:sz w:val="32"/>
          <w:szCs w:val="32"/>
        </w:rPr>
      </w:pPr>
    </w:p>
    <w:p w14:paraId="63DF4E66" w14:textId="5C20FF19" w:rsidR="00B11D7C" w:rsidRPr="005A55C3" w:rsidRDefault="00B11D7C" w:rsidP="00B11D7C">
      <w:pPr>
        <w:rPr>
          <w:sz w:val="32"/>
          <w:szCs w:val="32"/>
        </w:rPr>
      </w:pPr>
      <w:r w:rsidRPr="005A55C3">
        <w:rPr>
          <w:sz w:val="32"/>
          <w:szCs w:val="32"/>
        </w:rPr>
        <w:lastRenderedPageBreak/>
        <w:t>2. Importance of Good Administrative Skills in Professional Practice</w:t>
      </w:r>
      <w:r w:rsidR="00B50271" w:rsidRPr="005A55C3">
        <w:rPr>
          <w:sz w:val="32"/>
          <w:szCs w:val="32"/>
        </w:rPr>
        <w:t>.</w:t>
      </w:r>
    </w:p>
    <w:p w14:paraId="08CF9658" w14:textId="77777777" w:rsidR="00B11D7C" w:rsidRPr="005A55C3" w:rsidRDefault="00B11D7C" w:rsidP="00B11D7C">
      <w:pPr>
        <w:rPr>
          <w:sz w:val="32"/>
          <w:szCs w:val="32"/>
        </w:rPr>
      </w:pPr>
    </w:p>
    <w:p w14:paraId="1EC7680A" w14:textId="77777777" w:rsidR="00B11D7C" w:rsidRPr="005A55C3" w:rsidRDefault="00B11D7C" w:rsidP="00B11D7C">
      <w:pPr>
        <w:rPr>
          <w:sz w:val="28"/>
          <w:szCs w:val="28"/>
        </w:rPr>
      </w:pPr>
      <w:r w:rsidRPr="005A55C3">
        <w:rPr>
          <w:sz w:val="28"/>
          <w:szCs w:val="28"/>
        </w:rPr>
        <w:t>Good administrative practice underpins safe and effective care by ensuring accurate information is available to all professionals involved. In Mrs Mann’s case, inconsistent documentation contributed to a missed communication and delayed medication adjustment, highlighting how administrative errors can directly impact service user wellbeing. This example demonstrates that record-keeping is not merely a clerical task, but a key professional responsibility (NHS England, 2022).</w:t>
      </w:r>
    </w:p>
    <w:p w14:paraId="62EF18B4" w14:textId="77777777" w:rsidR="00B11D7C" w:rsidRPr="005A55C3" w:rsidRDefault="00B11D7C" w:rsidP="00B11D7C">
      <w:pPr>
        <w:rPr>
          <w:sz w:val="28"/>
          <w:szCs w:val="28"/>
        </w:rPr>
      </w:pPr>
    </w:p>
    <w:p w14:paraId="09939FC3" w14:textId="77777777" w:rsidR="00B11D7C" w:rsidRPr="005A55C3" w:rsidRDefault="00B11D7C" w:rsidP="00B11D7C">
      <w:pPr>
        <w:rPr>
          <w:sz w:val="28"/>
          <w:szCs w:val="28"/>
        </w:rPr>
      </w:pPr>
      <w:r w:rsidRPr="005A55C3">
        <w:rPr>
          <w:sz w:val="28"/>
          <w:szCs w:val="28"/>
        </w:rPr>
        <w:t>Clear, accurate and timely records support continuity of care, particularly when multiple agencies are involved. Mrs Mann’s care requires coordination between care workers, her GP and a physiotherapist. When records are incomplete or unclear, professionals may be forced to rely on assumptions, increasing the risk of error. Reflecting on this situation emphasises the importance of shared understanding and accountability within care teams.</w:t>
      </w:r>
    </w:p>
    <w:p w14:paraId="7F64C4AB" w14:textId="77777777" w:rsidR="00B11D7C" w:rsidRPr="005A55C3" w:rsidRDefault="00B11D7C" w:rsidP="00B11D7C">
      <w:pPr>
        <w:rPr>
          <w:sz w:val="28"/>
          <w:szCs w:val="28"/>
        </w:rPr>
      </w:pPr>
    </w:p>
    <w:p w14:paraId="57D9C33D" w14:textId="77777777" w:rsidR="00B11D7C" w:rsidRPr="005A55C3" w:rsidRDefault="00B11D7C" w:rsidP="00B11D7C">
      <w:pPr>
        <w:rPr>
          <w:sz w:val="28"/>
          <w:szCs w:val="28"/>
        </w:rPr>
      </w:pPr>
      <w:r w:rsidRPr="005A55C3">
        <w:rPr>
          <w:sz w:val="28"/>
          <w:szCs w:val="28"/>
        </w:rPr>
        <w:t>The Data Protection Act 2018 provides the legal framework for handling personal and sensitive information. Health records are classed as special category data and must be processed lawfully, securely and transparently (Data Protection Act, 2018). In practice, this means ensuring that Mrs Mann’s information is only accessed by authorised individuals and shared appropriately to support her care.</w:t>
      </w:r>
    </w:p>
    <w:p w14:paraId="5823E362" w14:textId="77777777" w:rsidR="00B11D7C" w:rsidRPr="005A55C3" w:rsidRDefault="00B11D7C" w:rsidP="00B11D7C">
      <w:pPr>
        <w:rPr>
          <w:sz w:val="28"/>
          <w:szCs w:val="28"/>
        </w:rPr>
      </w:pPr>
    </w:p>
    <w:p w14:paraId="15848B9C" w14:textId="639E8F13" w:rsidR="00B11D7C" w:rsidRPr="005A55C3" w:rsidRDefault="00B11D7C" w:rsidP="00B11D7C">
      <w:pPr>
        <w:rPr>
          <w:sz w:val="28"/>
          <w:szCs w:val="28"/>
        </w:rPr>
      </w:pPr>
      <w:r w:rsidRPr="005A55C3">
        <w:rPr>
          <w:sz w:val="28"/>
          <w:szCs w:val="28"/>
        </w:rPr>
        <w:t>The Caldicott Principles further reinforce the need to balance information sharing with confidentiality, particularly where family members are involved (Department of Health, 2013). Reflecting on this case highlights the importance of gaining consent and documenting decisions clearly. Improving administrative systems, such as standardised care notes and structured handovers, would reduce the likelihood of similar incidents occurring in the future and support safer, more consistent care (CQC, 2023).</w:t>
      </w:r>
    </w:p>
    <w:p w14:paraId="18EC9A6B" w14:textId="77777777" w:rsidR="00B11D7C" w:rsidRDefault="00B11D7C" w:rsidP="00B11D7C"/>
    <w:p w14:paraId="47ECBDEF" w14:textId="7D11DDB4" w:rsidR="00B11D7C" w:rsidRPr="005A55C3" w:rsidRDefault="00B11D7C" w:rsidP="00B11D7C">
      <w:pPr>
        <w:rPr>
          <w:sz w:val="32"/>
          <w:szCs w:val="32"/>
        </w:rPr>
      </w:pPr>
      <w:r w:rsidRPr="005A55C3">
        <w:rPr>
          <w:sz w:val="32"/>
          <w:szCs w:val="32"/>
        </w:rPr>
        <w:t xml:space="preserve">3. Importance of Collaborative Working with Other Professionals </w:t>
      </w:r>
    </w:p>
    <w:p w14:paraId="603F431A" w14:textId="77777777" w:rsidR="00B11D7C" w:rsidRDefault="00B11D7C" w:rsidP="00B11D7C"/>
    <w:p w14:paraId="75FE2F02" w14:textId="0736D19B" w:rsidR="00B11D7C" w:rsidRPr="005A55C3" w:rsidRDefault="00B11D7C" w:rsidP="00B11D7C">
      <w:pPr>
        <w:rPr>
          <w:sz w:val="28"/>
          <w:szCs w:val="28"/>
        </w:rPr>
      </w:pPr>
      <w:r w:rsidRPr="005A55C3">
        <w:rPr>
          <w:sz w:val="28"/>
          <w:szCs w:val="28"/>
        </w:rPr>
        <w:t>Collaborative working is essential when supporting service users with complex needs, such as Mrs Mann following surgery. Her recovery relies on coordinated input from care workers, her GP and a community physiotherapist, each bringing different skills and perspectives. When professionals communicate effectively and share responsibility, care becomes more holistic and responsive</w:t>
      </w:r>
      <w:r w:rsidR="00CA5630" w:rsidRPr="005A55C3">
        <w:rPr>
          <w:sz w:val="28"/>
          <w:szCs w:val="28"/>
        </w:rPr>
        <w:t>.</w:t>
      </w:r>
    </w:p>
    <w:p w14:paraId="335E5584" w14:textId="77777777" w:rsidR="00B11D7C" w:rsidRPr="005A55C3" w:rsidRDefault="00B11D7C" w:rsidP="00B11D7C">
      <w:pPr>
        <w:rPr>
          <w:sz w:val="28"/>
          <w:szCs w:val="28"/>
        </w:rPr>
      </w:pPr>
    </w:p>
    <w:p w14:paraId="4503711C" w14:textId="77777777" w:rsidR="00B11D7C" w:rsidRPr="005A55C3" w:rsidRDefault="00B11D7C" w:rsidP="00B11D7C">
      <w:pPr>
        <w:rPr>
          <w:sz w:val="28"/>
          <w:szCs w:val="28"/>
        </w:rPr>
      </w:pPr>
      <w:r w:rsidRPr="005A55C3">
        <w:rPr>
          <w:sz w:val="28"/>
          <w:szCs w:val="28"/>
        </w:rPr>
        <w:t>Multi-disciplinary team (MDT) working supports joint planning, shared decision-making and clearer role boundaries. In Mrs Mann’s case, improved collaboration could ensure that changes to medication, mobility progress and care plans are communicated consistently across services. Reflecting on the communication breakdown that occurred, it becomes evident that stronger MDT systems may have prevented the delay in treatment.</w:t>
      </w:r>
    </w:p>
    <w:p w14:paraId="301715F1" w14:textId="77777777" w:rsidR="00B11D7C" w:rsidRPr="005A55C3" w:rsidRDefault="00B11D7C" w:rsidP="00B11D7C">
      <w:pPr>
        <w:rPr>
          <w:sz w:val="28"/>
          <w:szCs w:val="28"/>
        </w:rPr>
      </w:pPr>
    </w:p>
    <w:p w14:paraId="00B17F11" w14:textId="77777777" w:rsidR="00B11D7C" w:rsidRPr="005A55C3" w:rsidRDefault="00B11D7C" w:rsidP="00B11D7C">
      <w:pPr>
        <w:rPr>
          <w:sz w:val="28"/>
          <w:szCs w:val="28"/>
        </w:rPr>
      </w:pPr>
      <w:r w:rsidRPr="005A55C3">
        <w:rPr>
          <w:sz w:val="28"/>
          <w:szCs w:val="28"/>
        </w:rPr>
        <w:t>Common barriers to effective collaboration include time pressures, inconsistent documentation and unclear communication pathways. These challenges can be addressed through agreed protocols, regular updates and structured communication tools such as SBAR. Reflective practice encourages professionals to consider how their individual actions contribute to team effectiveness and service user outcomes. Improved collaboration ultimately reduces risk, enhances safety and promotes a more person-centred approach to care (NICE, 2023).</w:t>
      </w:r>
    </w:p>
    <w:p w14:paraId="346471B7" w14:textId="77777777" w:rsidR="00B11D7C" w:rsidRDefault="00B11D7C" w:rsidP="00B11D7C"/>
    <w:p w14:paraId="72F4C984" w14:textId="77777777" w:rsidR="005A55C3" w:rsidRDefault="005A55C3" w:rsidP="00B11D7C">
      <w:pPr>
        <w:rPr>
          <w:sz w:val="32"/>
          <w:szCs w:val="32"/>
        </w:rPr>
      </w:pPr>
    </w:p>
    <w:p w14:paraId="41B31259" w14:textId="77777777" w:rsidR="005A55C3" w:rsidRDefault="005A55C3" w:rsidP="00B11D7C">
      <w:pPr>
        <w:rPr>
          <w:sz w:val="32"/>
          <w:szCs w:val="32"/>
        </w:rPr>
      </w:pPr>
    </w:p>
    <w:p w14:paraId="10ED00E4" w14:textId="77777777" w:rsidR="005A55C3" w:rsidRDefault="005A55C3" w:rsidP="00B11D7C">
      <w:pPr>
        <w:rPr>
          <w:sz w:val="32"/>
          <w:szCs w:val="32"/>
        </w:rPr>
      </w:pPr>
    </w:p>
    <w:p w14:paraId="31BB186F" w14:textId="77777777" w:rsidR="005A55C3" w:rsidRDefault="005A55C3" w:rsidP="00B11D7C">
      <w:pPr>
        <w:rPr>
          <w:sz w:val="32"/>
          <w:szCs w:val="32"/>
        </w:rPr>
      </w:pPr>
    </w:p>
    <w:p w14:paraId="67B2993E" w14:textId="77777777" w:rsidR="005A55C3" w:rsidRDefault="005A55C3" w:rsidP="00B11D7C">
      <w:pPr>
        <w:rPr>
          <w:sz w:val="32"/>
          <w:szCs w:val="32"/>
        </w:rPr>
      </w:pPr>
    </w:p>
    <w:p w14:paraId="057ED5C5" w14:textId="71A52613" w:rsidR="00B11D7C" w:rsidRPr="005A55C3" w:rsidRDefault="00B11D7C" w:rsidP="00B11D7C">
      <w:pPr>
        <w:rPr>
          <w:sz w:val="32"/>
          <w:szCs w:val="32"/>
        </w:rPr>
      </w:pPr>
      <w:r w:rsidRPr="005A55C3">
        <w:rPr>
          <w:sz w:val="32"/>
          <w:szCs w:val="32"/>
        </w:rPr>
        <w:lastRenderedPageBreak/>
        <w:t xml:space="preserve">Conclusion </w:t>
      </w:r>
    </w:p>
    <w:p w14:paraId="6DDBA16C" w14:textId="77777777" w:rsidR="00B11D7C" w:rsidRDefault="00B11D7C" w:rsidP="00B11D7C"/>
    <w:p w14:paraId="1DCC8CEF" w14:textId="77777777" w:rsidR="00B11D7C" w:rsidRPr="005A55C3" w:rsidRDefault="00B11D7C" w:rsidP="00B11D7C">
      <w:pPr>
        <w:rPr>
          <w:sz w:val="28"/>
          <w:szCs w:val="28"/>
        </w:rPr>
      </w:pPr>
      <w:r w:rsidRPr="005A55C3">
        <w:rPr>
          <w:sz w:val="28"/>
          <w:szCs w:val="28"/>
        </w:rPr>
        <w:t>This report has demonstrated how effective communication, good administrative skills and collaborative working are essential to safe and person-centred care. Reflecting on Mrs Mann’s experience highlights how communication barriers, if not addressed, can lead to misunderstandings and increased risk. Adapting communication in line with the Equality Act 2010 supports inclusion and dignity, while accurate record-keeping, guided by the Data Protection Act 2018 and Caldicott Principles, promotes safety and accountability. Furthermore, effective collaborative working ensures that professionals share information, manage risks and support recovery more effectively. Overall, this case demonstrates that reflective, well-coordinated practice not only meets legal and professional standards but also significantly improves service user experience and outcomes.</w:t>
      </w:r>
    </w:p>
    <w:p w14:paraId="0BC20199" w14:textId="3CEFB4F9" w:rsidR="00B11D7C" w:rsidRDefault="00B11D7C" w:rsidP="00B11D7C"/>
    <w:p w14:paraId="2CC3FB5D" w14:textId="77777777" w:rsidR="00B11D7C" w:rsidRDefault="00B11D7C" w:rsidP="00B11D7C"/>
    <w:p w14:paraId="29C0EA0B" w14:textId="77777777" w:rsidR="005A55C3" w:rsidRDefault="005A55C3" w:rsidP="00B11D7C"/>
    <w:p w14:paraId="5FA795E1" w14:textId="77777777" w:rsidR="005A55C3" w:rsidRDefault="005A55C3" w:rsidP="00B11D7C"/>
    <w:p w14:paraId="67DFF31E" w14:textId="77777777" w:rsidR="005A55C3" w:rsidRDefault="005A55C3" w:rsidP="00B11D7C"/>
    <w:p w14:paraId="3AC4EDA7" w14:textId="77777777" w:rsidR="005A55C3" w:rsidRDefault="005A55C3" w:rsidP="00B11D7C"/>
    <w:p w14:paraId="722CBCB9" w14:textId="77777777" w:rsidR="005A55C3" w:rsidRDefault="005A55C3" w:rsidP="00B11D7C"/>
    <w:p w14:paraId="72833352" w14:textId="77777777" w:rsidR="005A55C3" w:rsidRDefault="005A55C3" w:rsidP="00B11D7C"/>
    <w:p w14:paraId="07B44882" w14:textId="77777777" w:rsidR="005A55C3" w:rsidRDefault="005A55C3" w:rsidP="00B11D7C"/>
    <w:p w14:paraId="1B389F5E" w14:textId="77777777" w:rsidR="005A55C3" w:rsidRDefault="005A55C3" w:rsidP="00B11D7C"/>
    <w:p w14:paraId="3B290C53" w14:textId="77777777" w:rsidR="005A55C3" w:rsidRDefault="005A55C3" w:rsidP="00B11D7C"/>
    <w:p w14:paraId="67DC03A0" w14:textId="77777777" w:rsidR="005A55C3" w:rsidRDefault="005A55C3" w:rsidP="00B11D7C"/>
    <w:p w14:paraId="2AB67F68" w14:textId="77777777" w:rsidR="005A55C3" w:rsidRDefault="005A55C3" w:rsidP="00B11D7C"/>
    <w:p w14:paraId="2FFD5218" w14:textId="77777777" w:rsidR="005A55C3" w:rsidRDefault="005A55C3" w:rsidP="00B11D7C"/>
    <w:p w14:paraId="412F5A5D" w14:textId="77777777" w:rsidR="005A55C3" w:rsidRDefault="005A55C3" w:rsidP="00B11D7C"/>
    <w:p w14:paraId="38AE6B47" w14:textId="77777777" w:rsidR="005A55C3" w:rsidRDefault="005A55C3" w:rsidP="00B11D7C"/>
    <w:p w14:paraId="0ABC3E10" w14:textId="77777777" w:rsidR="005A55C3" w:rsidRDefault="005A55C3" w:rsidP="00B11D7C"/>
    <w:p w14:paraId="54A944E7" w14:textId="77777777" w:rsidR="005A55C3" w:rsidRDefault="005A55C3" w:rsidP="00B11D7C"/>
    <w:p w14:paraId="758EDBC6" w14:textId="72A59099" w:rsidR="00B11D7C" w:rsidRPr="005A55C3" w:rsidRDefault="00B11D7C" w:rsidP="00B11D7C">
      <w:pPr>
        <w:rPr>
          <w:sz w:val="28"/>
          <w:szCs w:val="28"/>
        </w:rPr>
      </w:pPr>
      <w:r w:rsidRPr="005A55C3">
        <w:rPr>
          <w:sz w:val="28"/>
          <w:szCs w:val="28"/>
        </w:rPr>
        <w:lastRenderedPageBreak/>
        <w:t xml:space="preserve">Reference List </w:t>
      </w:r>
    </w:p>
    <w:p w14:paraId="04923597" w14:textId="77777777" w:rsidR="00B11D7C" w:rsidRPr="005A55C3" w:rsidRDefault="00B11D7C" w:rsidP="00B11D7C">
      <w:pPr>
        <w:rPr>
          <w:sz w:val="28"/>
          <w:szCs w:val="28"/>
        </w:rPr>
      </w:pPr>
    </w:p>
    <w:p w14:paraId="781EA2AA" w14:textId="77777777" w:rsidR="00B11D7C" w:rsidRPr="005A55C3" w:rsidRDefault="00B11D7C" w:rsidP="00B11D7C">
      <w:pPr>
        <w:rPr>
          <w:sz w:val="28"/>
          <w:szCs w:val="28"/>
        </w:rPr>
      </w:pPr>
      <w:r w:rsidRPr="005A55C3">
        <w:rPr>
          <w:sz w:val="28"/>
          <w:szCs w:val="28"/>
        </w:rPr>
        <w:t>Care Quality Commission (CQC) (2023) Regulation 17: Good governance.</w:t>
      </w:r>
    </w:p>
    <w:p w14:paraId="4A535888" w14:textId="77777777" w:rsidR="00B11D7C" w:rsidRPr="005A55C3" w:rsidRDefault="00B11D7C" w:rsidP="00B11D7C">
      <w:pPr>
        <w:rPr>
          <w:sz w:val="28"/>
          <w:szCs w:val="28"/>
        </w:rPr>
      </w:pPr>
      <w:r w:rsidRPr="005A55C3">
        <w:rPr>
          <w:sz w:val="28"/>
          <w:szCs w:val="28"/>
        </w:rPr>
        <w:t>Data Protection Act 2018. London: HMSO.</w:t>
      </w:r>
    </w:p>
    <w:p w14:paraId="7A782E26" w14:textId="77777777" w:rsidR="00B11D7C" w:rsidRPr="005A55C3" w:rsidRDefault="00B11D7C" w:rsidP="00B11D7C">
      <w:pPr>
        <w:rPr>
          <w:sz w:val="28"/>
          <w:szCs w:val="28"/>
        </w:rPr>
      </w:pPr>
      <w:r w:rsidRPr="005A55C3">
        <w:rPr>
          <w:sz w:val="28"/>
          <w:szCs w:val="28"/>
        </w:rPr>
        <w:t>Department of Health (2013) The Caldicott Principles. London: DH.</w:t>
      </w:r>
    </w:p>
    <w:p w14:paraId="6F8F525A" w14:textId="77777777" w:rsidR="00B11D7C" w:rsidRPr="005A55C3" w:rsidRDefault="00B11D7C" w:rsidP="00B11D7C">
      <w:pPr>
        <w:rPr>
          <w:sz w:val="28"/>
          <w:szCs w:val="28"/>
        </w:rPr>
      </w:pPr>
      <w:r w:rsidRPr="005A55C3">
        <w:rPr>
          <w:sz w:val="28"/>
          <w:szCs w:val="28"/>
        </w:rPr>
        <w:t>Equality Act 2010. London: HMSO.</w:t>
      </w:r>
    </w:p>
    <w:p w14:paraId="733CE5DB" w14:textId="77777777" w:rsidR="00B11D7C" w:rsidRPr="005A55C3" w:rsidRDefault="00B11D7C" w:rsidP="00B11D7C">
      <w:pPr>
        <w:rPr>
          <w:sz w:val="28"/>
          <w:szCs w:val="28"/>
        </w:rPr>
      </w:pPr>
      <w:r w:rsidRPr="005A55C3">
        <w:rPr>
          <w:sz w:val="28"/>
          <w:szCs w:val="28"/>
        </w:rPr>
        <w:t>NHS England (2022) Standards for clinical record keeping.</w:t>
      </w:r>
    </w:p>
    <w:p w14:paraId="024AFCB2" w14:textId="77777777" w:rsidR="00B11D7C" w:rsidRPr="005A55C3" w:rsidRDefault="00B11D7C" w:rsidP="00B11D7C">
      <w:pPr>
        <w:rPr>
          <w:sz w:val="28"/>
          <w:szCs w:val="28"/>
        </w:rPr>
      </w:pPr>
      <w:r w:rsidRPr="005A55C3">
        <w:rPr>
          <w:sz w:val="28"/>
          <w:szCs w:val="28"/>
        </w:rPr>
        <w:t>NICE (2023) Patient experience in adult NHS services.</w:t>
      </w:r>
    </w:p>
    <w:p w14:paraId="11CCEF24" w14:textId="77777777" w:rsidR="00B11D7C" w:rsidRPr="005A55C3" w:rsidRDefault="00B11D7C" w:rsidP="00B11D7C">
      <w:pPr>
        <w:rPr>
          <w:sz w:val="28"/>
          <w:szCs w:val="28"/>
        </w:rPr>
      </w:pPr>
      <w:r w:rsidRPr="005A55C3">
        <w:rPr>
          <w:sz w:val="28"/>
          <w:szCs w:val="28"/>
        </w:rPr>
        <w:t>Royal College of Nursing (RCN) (2021) Effective communication in health and social care.</w:t>
      </w:r>
    </w:p>
    <w:p w14:paraId="0FFE91C5" w14:textId="7DFEED93" w:rsidR="00B11D7C" w:rsidRPr="005A55C3" w:rsidRDefault="00B11D7C" w:rsidP="00B11D7C">
      <w:pPr>
        <w:rPr>
          <w:sz w:val="28"/>
          <w:szCs w:val="28"/>
        </w:rPr>
      </w:pPr>
      <w:r w:rsidRPr="005A55C3">
        <w:rPr>
          <w:sz w:val="28"/>
          <w:szCs w:val="28"/>
        </w:rPr>
        <w:t>Steinberg, S. (2007) An Introduction to Communication Studies. Cape Town: Juta.</w:t>
      </w:r>
    </w:p>
    <w:sectPr w:rsidR="00B11D7C" w:rsidRPr="005A55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BA5B6" w14:textId="77777777" w:rsidR="004D70B7" w:rsidRDefault="004D70B7">
      <w:pPr>
        <w:spacing w:after="0" w:line="240" w:lineRule="auto"/>
      </w:pPr>
      <w:r>
        <w:separator/>
      </w:r>
    </w:p>
  </w:endnote>
  <w:endnote w:type="continuationSeparator" w:id="0">
    <w:p w14:paraId="3D97B954" w14:textId="77777777" w:rsidR="004D70B7" w:rsidRDefault="004D7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3790" w14:textId="77777777" w:rsidR="00B11D7C" w:rsidRDefault="00B11D7C">
    <w:pPr>
      <w:pStyle w:val="Rodap"/>
      <w:jc w:val="right"/>
    </w:pPr>
  </w:p>
  <w:p w14:paraId="097E651C" w14:textId="77777777" w:rsidR="00B11D7C" w:rsidRDefault="00B11D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50AD6" w14:textId="77777777" w:rsidR="004D70B7" w:rsidRDefault="004D70B7">
      <w:pPr>
        <w:spacing w:after="0" w:line="240" w:lineRule="auto"/>
      </w:pPr>
      <w:r>
        <w:separator/>
      </w:r>
    </w:p>
  </w:footnote>
  <w:footnote w:type="continuationSeparator" w:id="0">
    <w:p w14:paraId="0BA2FD83" w14:textId="77777777" w:rsidR="004D70B7" w:rsidRDefault="004D7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D893" w14:textId="77777777" w:rsidR="00B11D7C" w:rsidRDefault="00B11D7C" w:rsidP="00BE6BE0">
    <w:pPr>
      <w:pStyle w:val="Cabealho"/>
      <w:ind w:left="11520"/>
    </w:pPr>
    <w:r>
      <w:rPr>
        <w:noProof/>
      </w:rPr>
      <w:drawing>
        <wp:inline distT="0" distB="0" distL="0" distR="0" wp14:anchorId="332ABCD6" wp14:editId="099B2A66">
          <wp:extent cx="2181225" cy="436245"/>
          <wp:effectExtent l="0" t="0" r="9525" b="1905"/>
          <wp:docPr id="2069261659"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A1654"/>
    <w:multiLevelType w:val="hybridMultilevel"/>
    <w:tmpl w:val="CB5894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587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D7C"/>
    <w:rsid w:val="003552DC"/>
    <w:rsid w:val="00454493"/>
    <w:rsid w:val="00496677"/>
    <w:rsid w:val="004D70B7"/>
    <w:rsid w:val="0057404B"/>
    <w:rsid w:val="005A55C3"/>
    <w:rsid w:val="00923E75"/>
    <w:rsid w:val="00B11D7C"/>
    <w:rsid w:val="00B50271"/>
    <w:rsid w:val="00CA5630"/>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decimalSymbol w:val=","/>
  <w:listSeparator w:val=";"/>
  <w14:docId w14:val="12D7A2ED"/>
  <w15:chartTrackingRefBased/>
  <w15:docId w15:val="{200322D1-E484-EF4F-ACA5-39FC3559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D7C"/>
    <w:pPr>
      <w:spacing w:line="259" w:lineRule="auto"/>
    </w:pPr>
    <w:rPr>
      <w:rFonts w:eastAsiaTheme="minorEastAsia"/>
      <w:kern w:val="0"/>
      <w:sz w:val="22"/>
      <w:szCs w:val="22"/>
      <w:lang w:val="en-GB" w:eastAsia="zh-CN"/>
      <w14:ligatures w14:val="none"/>
    </w:rPr>
  </w:style>
  <w:style w:type="paragraph" w:styleId="Ttulo1">
    <w:name w:val="heading 1"/>
    <w:basedOn w:val="Normal"/>
    <w:next w:val="Normal"/>
    <w:link w:val="Ttulo1Char"/>
    <w:uiPriority w:val="9"/>
    <w:qFormat/>
    <w:rsid w:val="00B11D7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pt-GB" w:eastAsia="en-US"/>
      <w14:ligatures w14:val="standardContextual"/>
    </w:rPr>
  </w:style>
  <w:style w:type="paragraph" w:styleId="Ttulo2">
    <w:name w:val="heading 2"/>
    <w:basedOn w:val="Normal"/>
    <w:next w:val="Normal"/>
    <w:link w:val="Ttulo2Char"/>
    <w:uiPriority w:val="9"/>
    <w:semiHidden/>
    <w:unhideWhenUsed/>
    <w:qFormat/>
    <w:rsid w:val="00B11D7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pt-GB" w:eastAsia="en-US"/>
      <w14:ligatures w14:val="standardContextual"/>
    </w:rPr>
  </w:style>
  <w:style w:type="paragraph" w:styleId="Ttulo3">
    <w:name w:val="heading 3"/>
    <w:basedOn w:val="Normal"/>
    <w:next w:val="Normal"/>
    <w:link w:val="Ttulo3Char"/>
    <w:uiPriority w:val="9"/>
    <w:semiHidden/>
    <w:unhideWhenUsed/>
    <w:qFormat/>
    <w:rsid w:val="00B11D7C"/>
    <w:pPr>
      <w:keepNext/>
      <w:keepLines/>
      <w:spacing w:before="160" w:after="80" w:line="278" w:lineRule="auto"/>
      <w:outlineLvl w:val="2"/>
    </w:pPr>
    <w:rPr>
      <w:rFonts w:eastAsiaTheme="majorEastAsia" w:cstheme="majorBidi"/>
      <w:color w:val="0F4761" w:themeColor="accent1" w:themeShade="BF"/>
      <w:kern w:val="2"/>
      <w:sz w:val="28"/>
      <w:szCs w:val="28"/>
      <w:lang w:val="pt-GB" w:eastAsia="en-US"/>
      <w14:ligatures w14:val="standardContextual"/>
    </w:rPr>
  </w:style>
  <w:style w:type="paragraph" w:styleId="Ttulo4">
    <w:name w:val="heading 4"/>
    <w:basedOn w:val="Normal"/>
    <w:next w:val="Normal"/>
    <w:link w:val="Ttulo4Char"/>
    <w:uiPriority w:val="9"/>
    <w:semiHidden/>
    <w:unhideWhenUsed/>
    <w:qFormat/>
    <w:rsid w:val="00B11D7C"/>
    <w:pPr>
      <w:keepNext/>
      <w:keepLines/>
      <w:spacing w:before="80" w:after="40" w:line="278" w:lineRule="auto"/>
      <w:outlineLvl w:val="3"/>
    </w:pPr>
    <w:rPr>
      <w:rFonts w:eastAsiaTheme="majorEastAsia" w:cstheme="majorBidi"/>
      <w:i/>
      <w:iCs/>
      <w:color w:val="0F4761" w:themeColor="accent1" w:themeShade="BF"/>
      <w:kern w:val="2"/>
      <w:sz w:val="24"/>
      <w:szCs w:val="24"/>
      <w:lang w:val="pt-GB" w:eastAsia="en-US"/>
      <w14:ligatures w14:val="standardContextual"/>
    </w:rPr>
  </w:style>
  <w:style w:type="paragraph" w:styleId="Ttulo5">
    <w:name w:val="heading 5"/>
    <w:basedOn w:val="Normal"/>
    <w:next w:val="Normal"/>
    <w:link w:val="Ttulo5Char"/>
    <w:uiPriority w:val="9"/>
    <w:semiHidden/>
    <w:unhideWhenUsed/>
    <w:qFormat/>
    <w:rsid w:val="00B11D7C"/>
    <w:pPr>
      <w:keepNext/>
      <w:keepLines/>
      <w:spacing w:before="80" w:after="40" w:line="278" w:lineRule="auto"/>
      <w:outlineLvl w:val="4"/>
    </w:pPr>
    <w:rPr>
      <w:rFonts w:eastAsiaTheme="majorEastAsia" w:cstheme="majorBidi"/>
      <w:color w:val="0F4761" w:themeColor="accent1" w:themeShade="BF"/>
      <w:kern w:val="2"/>
      <w:sz w:val="24"/>
      <w:szCs w:val="24"/>
      <w:lang w:val="pt-GB" w:eastAsia="en-US"/>
      <w14:ligatures w14:val="standardContextual"/>
    </w:rPr>
  </w:style>
  <w:style w:type="paragraph" w:styleId="Ttulo6">
    <w:name w:val="heading 6"/>
    <w:basedOn w:val="Normal"/>
    <w:next w:val="Normal"/>
    <w:link w:val="Ttulo6Char"/>
    <w:uiPriority w:val="9"/>
    <w:semiHidden/>
    <w:unhideWhenUsed/>
    <w:qFormat/>
    <w:rsid w:val="00B11D7C"/>
    <w:pPr>
      <w:keepNext/>
      <w:keepLines/>
      <w:spacing w:before="40" w:after="0" w:line="278" w:lineRule="auto"/>
      <w:outlineLvl w:val="5"/>
    </w:pPr>
    <w:rPr>
      <w:rFonts w:eastAsiaTheme="majorEastAsia" w:cstheme="majorBidi"/>
      <w:i/>
      <w:iCs/>
      <w:color w:val="595959" w:themeColor="text1" w:themeTint="A6"/>
      <w:kern w:val="2"/>
      <w:sz w:val="24"/>
      <w:szCs w:val="24"/>
      <w:lang w:val="pt-GB" w:eastAsia="en-US"/>
      <w14:ligatures w14:val="standardContextual"/>
    </w:rPr>
  </w:style>
  <w:style w:type="paragraph" w:styleId="Ttulo7">
    <w:name w:val="heading 7"/>
    <w:basedOn w:val="Normal"/>
    <w:next w:val="Normal"/>
    <w:link w:val="Ttulo7Char"/>
    <w:uiPriority w:val="9"/>
    <w:semiHidden/>
    <w:unhideWhenUsed/>
    <w:qFormat/>
    <w:rsid w:val="00B11D7C"/>
    <w:pPr>
      <w:keepNext/>
      <w:keepLines/>
      <w:spacing w:before="40" w:after="0" w:line="278" w:lineRule="auto"/>
      <w:outlineLvl w:val="6"/>
    </w:pPr>
    <w:rPr>
      <w:rFonts w:eastAsiaTheme="majorEastAsia" w:cstheme="majorBidi"/>
      <w:color w:val="595959" w:themeColor="text1" w:themeTint="A6"/>
      <w:kern w:val="2"/>
      <w:sz w:val="24"/>
      <w:szCs w:val="24"/>
      <w:lang w:val="pt-GB" w:eastAsia="en-US"/>
      <w14:ligatures w14:val="standardContextual"/>
    </w:rPr>
  </w:style>
  <w:style w:type="paragraph" w:styleId="Ttulo8">
    <w:name w:val="heading 8"/>
    <w:basedOn w:val="Normal"/>
    <w:next w:val="Normal"/>
    <w:link w:val="Ttulo8Char"/>
    <w:uiPriority w:val="9"/>
    <w:semiHidden/>
    <w:unhideWhenUsed/>
    <w:qFormat/>
    <w:rsid w:val="00B11D7C"/>
    <w:pPr>
      <w:keepNext/>
      <w:keepLines/>
      <w:spacing w:after="0" w:line="278" w:lineRule="auto"/>
      <w:outlineLvl w:val="7"/>
    </w:pPr>
    <w:rPr>
      <w:rFonts w:eastAsiaTheme="majorEastAsia" w:cstheme="majorBidi"/>
      <w:i/>
      <w:iCs/>
      <w:color w:val="272727" w:themeColor="text1" w:themeTint="D8"/>
      <w:kern w:val="2"/>
      <w:sz w:val="24"/>
      <w:szCs w:val="24"/>
      <w:lang w:val="pt-GB" w:eastAsia="en-US"/>
      <w14:ligatures w14:val="standardContextual"/>
    </w:rPr>
  </w:style>
  <w:style w:type="paragraph" w:styleId="Ttulo9">
    <w:name w:val="heading 9"/>
    <w:basedOn w:val="Normal"/>
    <w:next w:val="Normal"/>
    <w:link w:val="Ttulo9Char"/>
    <w:uiPriority w:val="9"/>
    <w:semiHidden/>
    <w:unhideWhenUsed/>
    <w:qFormat/>
    <w:rsid w:val="00B11D7C"/>
    <w:pPr>
      <w:keepNext/>
      <w:keepLines/>
      <w:spacing w:after="0" w:line="278" w:lineRule="auto"/>
      <w:outlineLvl w:val="8"/>
    </w:pPr>
    <w:rPr>
      <w:rFonts w:eastAsiaTheme="majorEastAsia" w:cstheme="majorBidi"/>
      <w:color w:val="272727" w:themeColor="text1" w:themeTint="D8"/>
      <w:kern w:val="2"/>
      <w:sz w:val="24"/>
      <w:szCs w:val="24"/>
      <w:lang w:val="pt-GB"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11D7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11D7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11D7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11D7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11D7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11D7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11D7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11D7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11D7C"/>
    <w:rPr>
      <w:rFonts w:eastAsiaTheme="majorEastAsia" w:cstheme="majorBidi"/>
      <w:color w:val="272727" w:themeColor="text1" w:themeTint="D8"/>
    </w:rPr>
  </w:style>
  <w:style w:type="paragraph" w:styleId="Ttulo">
    <w:name w:val="Title"/>
    <w:basedOn w:val="Normal"/>
    <w:next w:val="Normal"/>
    <w:link w:val="TtuloChar"/>
    <w:uiPriority w:val="10"/>
    <w:qFormat/>
    <w:rsid w:val="00B11D7C"/>
    <w:pPr>
      <w:spacing w:after="80" w:line="240" w:lineRule="auto"/>
      <w:contextualSpacing/>
    </w:pPr>
    <w:rPr>
      <w:rFonts w:asciiTheme="majorHAnsi" w:eastAsiaTheme="majorEastAsia" w:hAnsiTheme="majorHAnsi" w:cstheme="majorBidi"/>
      <w:spacing w:val="-10"/>
      <w:kern w:val="28"/>
      <w:sz w:val="56"/>
      <w:szCs w:val="56"/>
      <w:lang w:val="pt-GB" w:eastAsia="en-US"/>
      <w14:ligatures w14:val="standardContextual"/>
    </w:rPr>
  </w:style>
  <w:style w:type="character" w:customStyle="1" w:styleId="TtuloChar">
    <w:name w:val="Título Char"/>
    <w:basedOn w:val="Fontepargpadro"/>
    <w:link w:val="Ttulo"/>
    <w:uiPriority w:val="10"/>
    <w:rsid w:val="00B11D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11D7C"/>
    <w:pPr>
      <w:numPr>
        <w:ilvl w:val="1"/>
      </w:numPr>
      <w:spacing w:line="278" w:lineRule="auto"/>
    </w:pPr>
    <w:rPr>
      <w:rFonts w:eastAsiaTheme="majorEastAsia" w:cstheme="majorBidi"/>
      <w:color w:val="595959" w:themeColor="text1" w:themeTint="A6"/>
      <w:spacing w:val="15"/>
      <w:kern w:val="2"/>
      <w:sz w:val="28"/>
      <w:szCs w:val="28"/>
      <w:lang w:val="pt-GB" w:eastAsia="en-US"/>
      <w14:ligatures w14:val="standardContextual"/>
    </w:rPr>
  </w:style>
  <w:style w:type="character" w:customStyle="1" w:styleId="SubttuloChar">
    <w:name w:val="Subtítulo Char"/>
    <w:basedOn w:val="Fontepargpadro"/>
    <w:link w:val="Subttulo"/>
    <w:uiPriority w:val="11"/>
    <w:rsid w:val="00B11D7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11D7C"/>
    <w:pPr>
      <w:spacing w:before="160" w:line="278" w:lineRule="auto"/>
      <w:jc w:val="center"/>
    </w:pPr>
    <w:rPr>
      <w:rFonts w:eastAsiaTheme="minorHAnsi"/>
      <w:i/>
      <w:iCs/>
      <w:color w:val="404040" w:themeColor="text1" w:themeTint="BF"/>
      <w:kern w:val="2"/>
      <w:sz w:val="24"/>
      <w:szCs w:val="24"/>
      <w:lang w:val="pt-GB" w:eastAsia="en-US"/>
      <w14:ligatures w14:val="standardContextual"/>
    </w:rPr>
  </w:style>
  <w:style w:type="character" w:customStyle="1" w:styleId="CitaoChar">
    <w:name w:val="Citação Char"/>
    <w:basedOn w:val="Fontepargpadro"/>
    <w:link w:val="Citao"/>
    <w:uiPriority w:val="29"/>
    <w:rsid w:val="00B11D7C"/>
    <w:rPr>
      <w:i/>
      <w:iCs/>
      <w:color w:val="404040" w:themeColor="text1" w:themeTint="BF"/>
    </w:rPr>
  </w:style>
  <w:style w:type="paragraph" w:styleId="PargrafodaLista">
    <w:name w:val="List Paragraph"/>
    <w:basedOn w:val="Normal"/>
    <w:uiPriority w:val="34"/>
    <w:qFormat/>
    <w:rsid w:val="00B11D7C"/>
    <w:pPr>
      <w:spacing w:line="278" w:lineRule="auto"/>
      <w:ind w:left="720"/>
      <w:contextualSpacing/>
    </w:pPr>
    <w:rPr>
      <w:rFonts w:eastAsiaTheme="minorHAnsi"/>
      <w:kern w:val="2"/>
      <w:sz w:val="24"/>
      <w:szCs w:val="24"/>
      <w:lang w:val="pt-GB" w:eastAsia="en-US"/>
      <w14:ligatures w14:val="standardContextual"/>
    </w:rPr>
  </w:style>
  <w:style w:type="character" w:styleId="nfaseIntensa">
    <w:name w:val="Intense Emphasis"/>
    <w:basedOn w:val="Fontepargpadro"/>
    <w:uiPriority w:val="21"/>
    <w:qFormat/>
    <w:rsid w:val="00B11D7C"/>
    <w:rPr>
      <w:i/>
      <w:iCs/>
      <w:color w:val="0F4761" w:themeColor="accent1" w:themeShade="BF"/>
    </w:rPr>
  </w:style>
  <w:style w:type="paragraph" w:styleId="CitaoIntensa">
    <w:name w:val="Intense Quote"/>
    <w:basedOn w:val="Normal"/>
    <w:next w:val="Normal"/>
    <w:link w:val="CitaoIntensaChar"/>
    <w:uiPriority w:val="30"/>
    <w:qFormat/>
    <w:rsid w:val="00B11D7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pt-GB" w:eastAsia="en-US"/>
      <w14:ligatures w14:val="standardContextual"/>
    </w:rPr>
  </w:style>
  <w:style w:type="character" w:customStyle="1" w:styleId="CitaoIntensaChar">
    <w:name w:val="Citação Intensa Char"/>
    <w:basedOn w:val="Fontepargpadro"/>
    <w:link w:val="CitaoIntensa"/>
    <w:uiPriority w:val="30"/>
    <w:rsid w:val="00B11D7C"/>
    <w:rPr>
      <w:i/>
      <w:iCs/>
      <w:color w:val="0F4761" w:themeColor="accent1" w:themeShade="BF"/>
    </w:rPr>
  </w:style>
  <w:style w:type="character" w:styleId="RefernciaIntensa">
    <w:name w:val="Intense Reference"/>
    <w:basedOn w:val="Fontepargpadro"/>
    <w:uiPriority w:val="32"/>
    <w:qFormat/>
    <w:rsid w:val="00B11D7C"/>
    <w:rPr>
      <w:b/>
      <w:bCs/>
      <w:smallCaps/>
      <w:color w:val="0F4761" w:themeColor="accent1" w:themeShade="BF"/>
      <w:spacing w:val="5"/>
    </w:rPr>
  </w:style>
  <w:style w:type="paragraph" w:styleId="Cabealho">
    <w:name w:val="header"/>
    <w:basedOn w:val="Normal"/>
    <w:link w:val="CabealhoChar"/>
    <w:uiPriority w:val="99"/>
    <w:unhideWhenUsed/>
    <w:rsid w:val="00B11D7C"/>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B11D7C"/>
    <w:rPr>
      <w:rFonts w:eastAsiaTheme="minorEastAsia"/>
      <w:kern w:val="0"/>
      <w:sz w:val="22"/>
      <w:szCs w:val="22"/>
      <w:lang w:val="en-GB" w:eastAsia="zh-CN"/>
      <w14:ligatures w14:val="none"/>
    </w:rPr>
  </w:style>
  <w:style w:type="paragraph" w:styleId="Rodap">
    <w:name w:val="footer"/>
    <w:basedOn w:val="Normal"/>
    <w:link w:val="RodapChar"/>
    <w:uiPriority w:val="99"/>
    <w:unhideWhenUsed/>
    <w:rsid w:val="00B11D7C"/>
    <w:pPr>
      <w:tabs>
        <w:tab w:val="center" w:pos="4513"/>
        <w:tab w:val="right" w:pos="9026"/>
      </w:tabs>
      <w:spacing w:after="0" w:line="240" w:lineRule="auto"/>
    </w:pPr>
  </w:style>
  <w:style w:type="character" w:customStyle="1" w:styleId="RodapChar">
    <w:name w:val="Rodapé Char"/>
    <w:basedOn w:val="Fontepargpadro"/>
    <w:link w:val="Rodap"/>
    <w:uiPriority w:val="99"/>
    <w:rsid w:val="00B11D7C"/>
    <w:rPr>
      <w:rFonts w:eastAsiaTheme="minorEastAsia"/>
      <w:kern w:val="0"/>
      <w:sz w:val="22"/>
      <w:szCs w:val="22"/>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7</Pages>
  <Words>1315</Words>
  <Characters>7105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Mardegan Canas (2241031)</dc:creator>
  <cp:keywords/>
  <dc:description/>
  <cp:lastModifiedBy>Beatriz Mardegan Canas (2241031)</cp:lastModifiedBy>
  <cp:revision>4</cp:revision>
  <dcterms:created xsi:type="dcterms:W3CDTF">2025-12-15T21:08:00Z</dcterms:created>
  <dcterms:modified xsi:type="dcterms:W3CDTF">2025-12-18T23:15:00Z</dcterms:modified>
</cp:coreProperties>
</file>