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5F3D00" w14:textId="77777777" w:rsidR="00182661" w:rsidRPr="00C57A13" w:rsidRDefault="00125724" w:rsidP="00C57A13">
      <w:pPr>
        <w:jc w:val="center"/>
        <w:rPr>
          <w:sz w:val="32"/>
          <w:szCs w:val="32"/>
        </w:rPr>
      </w:pPr>
      <w:bookmarkStart w:id="0" w:name="_GoBack"/>
      <w:bookmarkEnd w:id="0"/>
      <w:r w:rsidRPr="00C57A13">
        <w:rPr>
          <w:sz w:val="32"/>
          <w:szCs w:val="32"/>
        </w:rPr>
        <w:t>Examples of language devices to achieve a purpose</w:t>
      </w:r>
    </w:p>
    <w:p w14:paraId="7EB3F307" w14:textId="77777777" w:rsidR="00125724" w:rsidRDefault="00125724">
      <w:r>
        <w:t>Authors use language devices to influence the reader. The proficient reader will seek to identify and interpret an author’s perspective. An author’s use of language devices might also reveal influences of their socio-cultural background.</w:t>
      </w:r>
    </w:p>
    <w:p w14:paraId="587F3F10" w14:textId="77777777" w:rsidR="00125724" w:rsidRDefault="00125724"/>
    <w:tbl>
      <w:tblPr>
        <w:tblStyle w:val="TableGrid"/>
        <w:tblW w:w="0" w:type="auto"/>
        <w:tblLook w:val="04A0" w:firstRow="1" w:lastRow="0" w:firstColumn="1" w:lastColumn="0" w:noHBand="0" w:noVBand="1"/>
      </w:tblPr>
      <w:tblGrid>
        <w:gridCol w:w="4508"/>
        <w:gridCol w:w="4508"/>
      </w:tblGrid>
      <w:tr w:rsidR="00125724" w14:paraId="64840841" w14:textId="77777777" w:rsidTr="00125724">
        <w:tc>
          <w:tcPr>
            <w:tcW w:w="4508" w:type="dxa"/>
          </w:tcPr>
          <w:p w14:paraId="24A33BD4" w14:textId="77777777" w:rsidR="00125724" w:rsidRPr="00C57A13" w:rsidRDefault="00125724">
            <w:pPr>
              <w:rPr>
                <w:b/>
                <w:bCs/>
                <w:sz w:val="24"/>
                <w:szCs w:val="24"/>
              </w:rPr>
            </w:pPr>
            <w:r w:rsidRPr="00C57A13">
              <w:rPr>
                <w:b/>
                <w:bCs/>
                <w:sz w:val="24"/>
                <w:szCs w:val="24"/>
              </w:rPr>
              <w:t>Device</w:t>
            </w:r>
          </w:p>
        </w:tc>
        <w:tc>
          <w:tcPr>
            <w:tcW w:w="4508" w:type="dxa"/>
          </w:tcPr>
          <w:p w14:paraId="253B06E3" w14:textId="77777777" w:rsidR="00125724" w:rsidRPr="00C57A13" w:rsidRDefault="00125724">
            <w:pPr>
              <w:rPr>
                <w:b/>
                <w:bCs/>
                <w:sz w:val="24"/>
                <w:szCs w:val="24"/>
              </w:rPr>
            </w:pPr>
            <w:r w:rsidRPr="00C57A13">
              <w:rPr>
                <w:b/>
                <w:bCs/>
                <w:sz w:val="24"/>
                <w:szCs w:val="24"/>
              </w:rPr>
              <w:t>Description</w:t>
            </w:r>
          </w:p>
        </w:tc>
      </w:tr>
      <w:tr w:rsidR="00125724" w14:paraId="108F7E2D" w14:textId="77777777" w:rsidTr="00125724">
        <w:tc>
          <w:tcPr>
            <w:tcW w:w="4508" w:type="dxa"/>
          </w:tcPr>
          <w:p w14:paraId="383DA4FE" w14:textId="77777777" w:rsidR="00125724" w:rsidRDefault="00125724">
            <w:r>
              <w:t>Analogy</w:t>
            </w:r>
          </w:p>
        </w:tc>
        <w:tc>
          <w:tcPr>
            <w:tcW w:w="4508" w:type="dxa"/>
          </w:tcPr>
          <w:p w14:paraId="2FEF7606" w14:textId="77777777" w:rsidR="00125724" w:rsidRDefault="00125724">
            <w:r>
              <w:t xml:space="preserve">The comparison of one thing with another, often used to persuade, for example, </w:t>
            </w:r>
            <w:r w:rsidRPr="00125724">
              <w:rPr>
                <w:i/>
                <w:iCs/>
              </w:rPr>
              <w:t xml:space="preserve">the effects of this financial crisis will be </w:t>
            </w:r>
            <w:proofErr w:type="gramStart"/>
            <w:r w:rsidRPr="00125724">
              <w:rPr>
                <w:i/>
                <w:iCs/>
              </w:rPr>
              <w:t>similar to</w:t>
            </w:r>
            <w:proofErr w:type="gramEnd"/>
            <w:r w:rsidRPr="00125724">
              <w:rPr>
                <w:i/>
                <w:iCs/>
              </w:rPr>
              <w:t xml:space="preserve"> those of the Great Depression.</w:t>
            </w:r>
          </w:p>
        </w:tc>
      </w:tr>
      <w:tr w:rsidR="00125724" w14:paraId="5CDD1385" w14:textId="77777777" w:rsidTr="00125724">
        <w:tc>
          <w:tcPr>
            <w:tcW w:w="4508" w:type="dxa"/>
          </w:tcPr>
          <w:p w14:paraId="6BE84E73" w14:textId="77777777" w:rsidR="00125724" w:rsidRDefault="00125724">
            <w:r>
              <w:t>Bribery</w:t>
            </w:r>
          </w:p>
        </w:tc>
        <w:tc>
          <w:tcPr>
            <w:tcW w:w="4508" w:type="dxa"/>
          </w:tcPr>
          <w:p w14:paraId="4A168444" w14:textId="77777777" w:rsidR="00125724" w:rsidRDefault="00125724">
            <w:r>
              <w:t xml:space="preserve">A persuasive device often used in advertising, for example, </w:t>
            </w:r>
            <w:r w:rsidRPr="00125724">
              <w:rPr>
                <w:i/>
                <w:iCs/>
              </w:rPr>
              <w:t>bonuses, discounts, gifts with purchase, two-for-one deals</w:t>
            </w:r>
          </w:p>
        </w:tc>
      </w:tr>
      <w:tr w:rsidR="00125724" w14:paraId="39638517" w14:textId="77777777" w:rsidTr="00125724">
        <w:tc>
          <w:tcPr>
            <w:tcW w:w="4508" w:type="dxa"/>
          </w:tcPr>
          <w:p w14:paraId="2842C7F5" w14:textId="77777777" w:rsidR="00125724" w:rsidRDefault="00125724">
            <w:r>
              <w:t>Connotation</w:t>
            </w:r>
          </w:p>
        </w:tc>
        <w:tc>
          <w:tcPr>
            <w:tcW w:w="4508" w:type="dxa"/>
          </w:tcPr>
          <w:p w14:paraId="24FDD866" w14:textId="77777777" w:rsidR="00125724" w:rsidRDefault="00125724">
            <w:r>
              <w:t>The meaning of a word or phrase that implies s</w:t>
            </w:r>
            <w:r w:rsidRPr="00125724">
              <w:t>omething beyond what is explicitly or literally described, for example, ‘massage’ could imply a health or beauty treatment; physiotherapy or a sexual favour; ‘child care’ could imply that a child would be educated, cared for and well treated, or a provider of this service</w:t>
            </w:r>
          </w:p>
        </w:tc>
      </w:tr>
      <w:tr w:rsidR="00125724" w14:paraId="6D21FF11" w14:textId="77777777" w:rsidTr="00125724">
        <w:tc>
          <w:tcPr>
            <w:tcW w:w="4508" w:type="dxa"/>
          </w:tcPr>
          <w:p w14:paraId="39F59A7F" w14:textId="77777777" w:rsidR="00125724" w:rsidRDefault="00125724">
            <w:r>
              <w:t>Emotive language</w:t>
            </w:r>
          </w:p>
        </w:tc>
        <w:tc>
          <w:tcPr>
            <w:tcW w:w="4508" w:type="dxa"/>
          </w:tcPr>
          <w:p w14:paraId="1E34DD7E" w14:textId="77777777" w:rsidR="00125724" w:rsidRDefault="00125724">
            <w:r>
              <w:t xml:space="preserve">Language used to provoke an emotional response, such as fear, calm, guilt: many advertisements and current affairs stories on television use emotional language to appeal to viewers, for example </w:t>
            </w:r>
            <w:r w:rsidRPr="00924FB2">
              <w:rPr>
                <w:i/>
                <w:iCs/>
              </w:rPr>
              <w:t>‘Killer Virus: Battle to Keep us Safe</w:t>
            </w:r>
            <w:r w:rsidR="00924FB2" w:rsidRPr="00924FB2">
              <w:rPr>
                <w:i/>
                <w:iCs/>
              </w:rPr>
              <w:t>’</w:t>
            </w:r>
          </w:p>
        </w:tc>
      </w:tr>
      <w:tr w:rsidR="00125724" w14:paraId="40C9CBA9" w14:textId="77777777" w:rsidTr="00125724">
        <w:tc>
          <w:tcPr>
            <w:tcW w:w="4508" w:type="dxa"/>
          </w:tcPr>
          <w:p w14:paraId="4C431647" w14:textId="77777777" w:rsidR="00125724" w:rsidRDefault="00125724">
            <w:r>
              <w:t>Euphemism</w:t>
            </w:r>
          </w:p>
        </w:tc>
        <w:tc>
          <w:tcPr>
            <w:tcW w:w="4508" w:type="dxa"/>
          </w:tcPr>
          <w:p w14:paraId="44BA793C" w14:textId="77777777" w:rsidR="00125724" w:rsidRDefault="00924FB2">
            <w:r>
              <w:t xml:space="preserve">Replacing a harsh or unpleasant expression with a milder, often less direct one, for example, </w:t>
            </w:r>
            <w:r w:rsidRPr="00924FB2">
              <w:rPr>
                <w:i/>
                <w:iCs/>
              </w:rPr>
              <w:t>the collateral damage (meaning civilian casualties) resulted from friendly fire (meaning killing of your own men)</w:t>
            </w:r>
          </w:p>
        </w:tc>
      </w:tr>
      <w:tr w:rsidR="00125724" w14:paraId="65768025" w14:textId="77777777" w:rsidTr="00125724">
        <w:tc>
          <w:tcPr>
            <w:tcW w:w="4508" w:type="dxa"/>
          </w:tcPr>
          <w:p w14:paraId="1896FC92" w14:textId="77777777" w:rsidR="00125724" w:rsidRDefault="00125724">
            <w:r>
              <w:t>Exaggeration</w:t>
            </w:r>
          </w:p>
        </w:tc>
        <w:tc>
          <w:tcPr>
            <w:tcW w:w="4508" w:type="dxa"/>
          </w:tcPr>
          <w:p w14:paraId="73642F46" w14:textId="77777777" w:rsidR="00125724" w:rsidRDefault="00125724">
            <w:r>
              <w:t xml:space="preserve"> </w:t>
            </w:r>
            <w:r w:rsidR="00924FB2">
              <w:t>Overstatement, which is often used for effect, for example</w:t>
            </w:r>
            <w:r w:rsidR="00924FB2" w:rsidRPr="00924FB2">
              <w:rPr>
                <w:i/>
                <w:iCs/>
              </w:rPr>
              <w:t xml:space="preserve">, the rule change is endorsed by </w:t>
            </w:r>
            <w:r w:rsidR="00924FB2" w:rsidRPr="00924FB2">
              <w:rPr>
                <w:b/>
                <w:bCs/>
              </w:rPr>
              <w:t>all</w:t>
            </w:r>
            <w:r w:rsidR="00924FB2" w:rsidRPr="00924FB2">
              <w:rPr>
                <w:i/>
                <w:iCs/>
              </w:rPr>
              <w:t xml:space="preserve"> leading coaches.</w:t>
            </w:r>
          </w:p>
        </w:tc>
      </w:tr>
      <w:tr w:rsidR="00125724" w14:paraId="58B41C0C" w14:textId="77777777" w:rsidTr="00125724">
        <w:tc>
          <w:tcPr>
            <w:tcW w:w="4508" w:type="dxa"/>
          </w:tcPr>
          <w:p w14:paraId="0E1F050E" w14:textId="77777777" w:rsidR="00125724" w:rsidRDefault="00125724">
            <w:r>
              <w:t>Figurative language</w:t>
            </w:r>
          </w:p>
        </w:tc>
        <w:tc>
          <w:tcPr>
            <w:tcW w:w="4508" w:type="dxa"/>
          </w:tcPr>
          <w:p w14:paraId="571195FE" w14:textId="77777777" w:rsidR="00125724" w:rsidRDefault="00924FB2">
            <w:r>
              <w:t xml:space="preserve">Language that is not meant to be read literally; its interpretation is often determined by a shared socio-cultural context, for example, </w:t>
            </w:r>
            <w:r w:rsidRPr="00924FB2">
              <w:rPr>
                <w:i/>
                <w:iCs/>
              </w:rPr>
              <w:t xml:space="preserve">it’s raining cats and dogs </w:t>
            </w:r>
            <w:r w:rsidRPr="00924FB2">
              <w:t xml:space="preserve">or </w:t>
            </w:r>
            <w:r w:rsidRPr="00924FB2">
              <w:rPr>
                <w:i/>
                <w:iCs/>
              </w:rPr>
              <w:t>she’s cute as a button</w:t>
            </w:r>
          </w:p>
        </w:tc>
      </w:tr>
      <w:tr w:rsidR="00125724" w14:paraId="28A5E8FE" w14:textId="77777777" w:rsidTr="00125724">
        <w:tc>
          <w:tcPr>
            <w:tcW w:w="4508" w:type="dxa"/>
          </w:tcPr>
          <w:p w14:paraId="10A4CBFC" w14:textId="77777777" w:rsidR="00125724" w:rsidRDefault="00125724">
            <w:r>
              <w:t>Flattery</w:t>
            </w:r>
          </w:p>
        </w:tc>
        <w:tc>
          <w:tcPr>
            <w:tcW w:w="4508" w:type="dxa"/>
          </w:tcPr>
          <w:p w14:paraId="1D322AF0" w14:textId="77777777" w:rsidR="00125724" w:rsidRDefault="00924FB2">
            <w:r>
              <w:t>An appeal (such as an advertisement) to the reader’s self-image, including their need to belong or their need for prestige</w:t>
            </w:r>
          </w:p>
        </w:tc>
      </w:tr>
      <w:tr w:rsidR="00125724" w14:paraId="2779B268" w14:textId="77777777" w:rsidTr="00125724">
        <w:tc>
          <w:tcPr>
            <w:tcW w:w="4508" w:type="dxa"/>
          </w:tcPr>
          <w:p w14:paraId="7FE82DC3" w14:textId="77777777" w:rsidR="00125724" w:rsidRDefault="00125724">
            <w:r>
              <w:t>Glittering language</w:t>
            </w:r>
          </w:p>
        </w:tc>
        <w:tc>
          <w:tcPr>
            <w:tcW w:w="4508" w:type="dxa"/>
          </w:tcPr>
          <w:p w14:paraId="09309BB6" w14:textId="77777777" w:rsidR="00125724" w:rsidRDefault="00924FB2">
            <w:pPr>
              <w:rPr>
                <w:i/>
                <w:iCs/>
              </w:rPr>
            </w:pPr>
            <w:r>
              <w:t>Positive and agreeable words that are used to arouse good feelings and approval for the author’s position, for example</w:t>
            </w:r>
            <w:r w:rsidRPr="00924FB2">
              <w:rPr>
                <w:i/>
                <w:iCs/>
              </w:rPr>
              <w:t>, the service was friendly, the food was exquisite</w:t>
            </w:r>
          </w:p>
          <w:p w14:paraId="28D250FD" w14:textId="77777777" w:rsidR="00C57A13" w:rsidRDefault="00C57A13"/>
        </w:tc>
      </w:tr>
      <w:tr w:rsidR="00125724" w14:paraId="1494F420" w14:textId="77777777" w:rsidTr="00125724">
        <w:tc>
          <w:tcPr>
            <w:tcW w:w="4508" w:type="dxa"/>
          </w:tcPr>
          <w:p w14:paraId="02BE17FA" w14:textId="77777777" w:rsidR="00125724" w:rsidRDefault="00125724">
            <w:r>
              <w:t>Including details</w:t>
            </w:r>
          </w:p>
        </w:tc>
        <w:tc>
          <w:tcPr>
            <w:tcW w:w="4508" w:type="dxa"/>
          </w:tcPr>
          <w:p w14:paraId="51AA7D47" w14:textId="77777777" w:rsidR="00125724" w:rsidRDefault="00924FB2">
            <w:r>
              <w:t>Selecting information specifically to support one perspective</w:t>
            </w:r>
          </w:p>
        </w:tc>
      </w:tr>
      <w:tr w:rsidR="00125724" w14:paraId="50E3ADB2" w14:textId="77777777" w:rsidTr="00125724">
        <w:tc>
          <w:tcPr>
            <w:tcW w:w="4508" w:type="dxa"/>
          </w:tcPr>
          <w:p w14:paraId="31662640" w14:textId="77777777" w:rsidR="00125724" w:rsidRDefault="00125724">
            <w:r>
              <w:lastRenderedPageBreak/>
              <w:t>Omitting details</w:t>
            </w:r>
          </w:p>
        </w:tc>
        <w:tc>
          <w:tcPr>
            <w:tcW w:w="4508" w:type="dxa"/>
          </w:tcPr>
          <w:p w14:paraId="36D628B0" w14:textId="77777777" w:rsidR="00125724" w:rsidRDefault="00924FB2">
            <w:r>
              <w:t>Failing to include relevant information to present a particular slant or bias, for example, a politician might omit details of his partner joining him on a trip to London: a scientist might omit details of studies that do not support his theory on biofuels, or a cruise ship advertisement omits details about sea sickness</w:t>
            </w:r>
          </w:p>
        </w:tc>
      </w:tr>
      <w:tr w:rsidR="00125724" w14:paraId="71248625" w14:textId="77777777" w:rsidTr="00125724">
        <w:tc>
          <w:tcPr>
            <w:tcW w:w="4508" w:type="dxa"/>
          </w:tcPr>
          <w:p w14:paraId="498B63A0" w14:textId="77777777" w:rsidR="00125724" w:rsidRDefault="00125724">
            <w:r>
              <w:t>Generalisation</w:t>
            </w:r>
          </w:p>
        </w:tc>
        <w:tc>
          <w:tcPr>
            <w:tcW w:w="4508" w:type="dxa"/>
          </w:tcPr>
          <w:p w14:paraId="0379C26D" w14:textId="77777777" w:rsidR="00125724" w:rsidRDefault="00924FB2">
            <w:r>
              <w:t xml:space="preserve">A vague or imprecise statement – one that often stereotypes a wide group of people or situations without basis in fact, for example, </w:t>
            </w:r>
            <w:r w:rsidRPr="00924FB2">
              <w:rPr>
                <w:i/>
                <w:iCs/>
              </w:rPr>
              <w:t>everyone knows that all politicians are dishonest</w:t>
            </w:r>
          </w:p>
        </w:tc>
      </w:tr>
      <w:tr w:rsidR="00125724" w14:paraId="062F5B29" w14:textId="77777777" w:rsidTr="00125724">
        <w:tc>
          <w:tcPr>
            <w:tcW w:w="4508" w:type="dxa"/>
          </w:tcPr>
          <w:p w14:paraId="213B1C46" w14:textId="77777777" w:rsidR="00125724" w:rsidRDefault="00125724">
            <w:r>
              <w:t>Oversimplification</w:t>
            </w:r>
          </w:p>
        </w:tc>
        <w:tc>
          <w:tcPr>
            <w:tcW w:w="4508" w:type="dxa"/>
          </w:tcPr>
          <w:p w14:paraId="73B87362" w14:textId="77777777" w:rsidR="00125724" w:rsidRDefault="00924FB2">
            <w:r>
              <w:t xml:space="preserve">A statement that does not give the full or real meaning due to the omission of </w:t>
            </w:r>
            <w:proofErr w:type="spellStart"/>
            <w:r w:rsidRPr="00924FB2">
              <w:t>tessential</w:t>
            </w:r>
            <w:proofErr w:type="spellEnd"/>
            <w:r w:rsidRPr="00924FB2">
              <w:t xml:space="preserve"> information or detail, for example, </w:t>
            </w:r>
            <w:r w:rsidRPr="00C57A13">
              <w:rPr>
                <w:i/>
                <w:iCs/>
              </w:rPr>
              <w:t xml:space="preserve">The Allies </w:t>
            </w:r>
            <w:r w:rsidR="00C57A13" w:rsidRPr="00C57A13">
              <w:rPr>
                <w:i/>
                <w:iCs/>
              </w:rPr>
              <w:t>won</w:t>
            </w:r>
            <w:r w:rsidRPr="00C57A13">
              <w:rPr>
                <w:i/>
                <w:iCs/>
              </w:rPr>
              <w:t xml:space="preserve"> World War II</w:t>
            </w:r>
            <w:r w:rsidR="00C57A13" w:rsidRPr="00C57A13">
              <w:rPr>
                <w:i/>
                <w:iCs/>
              </w:rPr>
              <w:t xml:space="preserve"> because of their ascendancy in the air</w:t>
            </w:r>
          </w:p>
        </w:tc>
      </w:tr>
      <w:tr w:rsidR="00125724" w14:paraId="3942B696" w14:textId="77777777" w:rsidTr="00125724">
        <w:tc>
          <w:tcPr>
            <w:tcW w:w="4508" w:type="dxa"/>
          </w:tcPr>
          <w:p w14:paraId="61C8DE61" w14:textId="77777777" w:rsidR="00125724" w:rsidRDefault="00125724">
            <w:r>
              <w:t>Personalisation</w:t>
            </w:r>
          </w:p>
        </w:tc>
        <w:tc>
          <w:tcPr>
            <w:tcW w:w="4508" w:type="dxa"/>
          </w:tcPr>
          <w:p w14:paraId="720808B3" w14:textId="77777777" w:rsidR="00125724" w:rsidRDefault="00C57A13">
            <w:r>
              <w:t xml:space="preserve">Adopting a tone of intimacy through the use of personal pronouns, for example, </w:t>
            </w:r>
            <w:proofErr w:type="gramStart"/>
            <w:r w:rsidRPr="00C57A13">
              <w:rPr>
                <w:i/>
                <w:iCs/>
              </w:rPr>
              <w:t>Your</w:t>
            </w:r>
            <w:proofErr w:type="gramEnd"/>
            <w:r w:rsidRPr="00C57A13">
              <w:rPr>
                <w:i/>
                <w:iCs/>
              </w:rPr>
              <w:t xml:space="preserve"> country needs you! </w:t>
            </w:r>
            <w:r w:rsidRPr="00C57A13">
              <w:t xml:space="preserve">Or </w:t>
            </w:r>
            <w:r w:rsidRPr="00C57A13">
              <w:rPr>
                <w:i/>
                <w:iCs/>
              </w:rPr>
              <w:t>Are you getting a fair deal?</w:t>
            </w:r>
          </w:p>
        </w:tc>
      </w:tr>
      <w:tr w:rsidR="00125724" w14:paraId="4E2CF912" w14:textId="77777777" w:rsidTr="00125724">
        <w:tc>
          <w:tcPr>
            <w:tcW w:w="4508" w:type="dxa"/>
          </w:tcPr>
          <w:p w14:paraId="4F636033" w14:textId="77777777" w:rsidR="00125724" w:rsidRDefault="00125724">
            <w:r>
              <w:t>Font size and selection</w:t>
            </w:r>
          </w:p>
        </w:tc>
        <w:tc>
          <w:tcPr>
            <w:tcW w:w="4508" w:type="dxa"/>
          </w:tcPr>
          <w:p w14:paraId="326E57D9" w14:textId="77777777" w:rsidR="00125724" w:rsidRDefault="00C57A13">
            <w:r>
              <w:t>The font size, colour and type (roman, bold, italic) can be used to draw attention to important things or convey meaning, for example, a handwriting font may be used to suggest a familiar relationship with the reader</w:t>
            </w:r>
          </w:p>
        </w:tc>
      </w:tr>
      <w:tr w:rsidR="00125724" w14:paraId="3E7DFA56" w14:textId="77777777" w:rsidTr="00125724">
        <w:tc>
          <w:tcPr>
            <w:tcW w:w="4508" w:type="dxa"/>
          </w:tcPr>
          <w:p w14:paraId="2E5C0E31" w14:textId="77777777" w:rsidR="00125724" w:rsidRDefault="00125724">
            <w:r>
              <w:t xml:space="preserve">Quoting out of </w:t>
            </w:r>
            <w:r w:rsidR="00C57A13" w:rsidRPr="00C57A13">
              <w:t>contex</w:t>
            </w:r>
            <w:r w:rsidR="00C57A13">
              <w:t>t</w:t>
            </w:r>
          </w:p>
        </w:tc>
        <w:tc>
          <w:tcPr>
            <w:tcW w:w="4508" w:type="dxa"/>
          </w:tcPr>
          <w:p w14:paraId="1C9941CC" w14:textId="77777777" w:rsidR="00125724" w:rsidRDefault="00C57A13">
            <w:r>
              <w:t xml:space="preserve">Selecting a </w:t>
            </w:r>
            <w:proofErr w:type="gramStart"/>
            <w:r>
              <w:t>particular section</w:t>
            </w:r>
            <w:proofErr w:type="gramEnd"/>
            <w:r>
              <w:t xml:space="preserve"> of a quote to present a different bias, to distort the meaning of the original or to mislead the reader</w:t>
            </w:r>
          </w:p>
        </w:tc>
      </w:tr>
      <w:tr w:rsidR="00125724" w14:paraId="46C928CF" w14:textId="77777777" w:rsidTr="00125724">
        <w:tc>
          <w:tcPr>
            <w:tcW w:w="4508" w:type="dxa"/>
          </w:tcPr>
          <w:p w14:paraId="01F99D2C" w14:textId="77777777" w:rsidR="00125724" w:rsidRDefault="00125724">
            <w:r>
              <w:t>Repetition</w:t>
            </w:r>
          </w:p>
        </w:tc>
        <w:tc>
          <w:tcPr>
            <w:tcW w:w="4508" w:type="dxa"/>
          </w:tcPr>
          <w:p w14:paraId="600F51FC" w14:textId="77777777" w:rsidR="00125724" w:rsidRDefault="00C57A13">
            <w:r>
              <w:t xml:space="preserve">Repeating words or phrases to emphasise a point, for example, </w:t>
            </w:r>
            <w:proofErr w:type="gramStart"/>
            <w:r w:rsidRPr="00C57A13">
              <w:rPr>
                <w:i/>
                <w:iCs/>
              </w:rPr>
              <w:t>They</w:t>
            </w:r>
            <w:proofErr w:type="gramEnd"/>
            <w:r w:rsidRPr="00C57A13">
              <w:rPr>
                <w:i/>
                <w:iCs/>
              </w:rPr>
              <w:t xml:space="preserve"> have offered no support to the company. Nil. None. Zilch.</w:t>
            </w:r>
          </w:p>
        </w:tc>
      </w:tr>
      <w:tr w:rsidR="00125724" w14:paraId="7548F64A" w14:textId="77777777" w:rsidTr="00125724">
        <w:tc>
          <w:tcPr>
            <w:tcW w:w="4508" w:type="dxa"/>
          </w:tcPr>
          <w:p w14:paraId="2E2F6C23" w14:textId="77777777" w:rsidR="00125724" w:rsidRDefault="00125724">
            <w:r>
              <w:t>Sarcasm</w:t>
            </w:r>
          </w:p>
        </w:tc>
        <w:tc>
          <w:tcPr>
            <w:tcW w:w="4508" w:type="dxa"/>
          </w:tcPr>
          <w:p w14:paraId="6C543382" w14:textId="77777777" w:rsidR="00125724" w:rsidRDefault="00C57A13">
            <w:r>
              <w:t>Scathing language that is intended to offend; the criticism often employs irony and relies on shared socio-cultural context</w:t>
            </w:r>
          </w:p>
        </w:tc>
      </w:tr>
      <w:tr w:rsidR="00125724" w14:paraId="2B28C0AA" w14:textId="77777777" w:rsidTr="00125724">
        <w:tc>
          <w:tcPr>
            <w:tcW w:w="4508" w:type="dxa"/>
          </w:tcPr>
          <w:p w14:paraId="0B1D5CA9" w14:textId="77777777" w:rsidR="00125724" w:rsidRDefault="00125724">
            <w:r>
              <w:t>Satire</w:t>
            </w:r>
          </w:p>
        </w:tc>
        <w:tc>
          <w:tcPr>
            <w:tcW w:w="4508" w:type="dxa"/>
          </w:tcPr>
          <w:p w14:paraId="007888E7" w14:textId="77777777" w:rsidR="00125724" w:rsidRDefault="00C57A13">
            <w:r>
              <w:t>Ridiculing human weakness with the intention of bringing about social reform; it often relies on a shared socio-cultural context</w:t>
            </w:r>
          </w:p>
        </w:tc>
      </w:tr>
      <w:tr w:rsidR="00125724" w14:paraId="4AB2625A" w14:textId="77777777" w:rsidTr="00125724">
        <w:tc>
          <w:tcPr>
            <w:tcW w:w="4508" w:type="dxa"/>
          </w:tcPr>
          <w:p w14:paraId="5573FCD2" w14:textId="77777777" w:rsidR="00125724" w:rsidRDefault="00125724">
            <w:r>
              <w:t>testimony</w:t>
            </w:r>
          </w:p>
        </w:tc>
        <w:tc>
          <w:tcPr>
            <w:tcW w:w="4508" w:type="dxa"/>
          </w:tcPr>
          <w:p w14:paraId="5DB6D912" w14:textId="77777777" w:rsidR="00125724" w:rsidRDefault="00C57A13">
            <w:r>
              <w:t>Quotes from experts or celebrities that are used to create a positive association and to reinforce the ‘truth’ of the message.</w:t>
            </w:r>
          </w:p>
        </w:tc>
      </w:tr>
    </w:tbl>
    <w:p w14:paraId="3873F63B" w14:textId="77777777" w:rsidR="00125724" w:rsidRDefault="00125724"/>
    <w:sectPr w:rsidR="001257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0Nze2NDEwMDO2sDRU0lEKTi0uzszPAykwrAUAUNGJZSwAAAA="/>
  </w:docVars>
  <w:rsids>
    <w:rsidRoot w:val="00125724"/>
    <w:rsid w:val="00022782"/>
    <w:rsid w:val="000502E4"/>
    <w:rsid w:val="00055704"/>
    <w:rsid w:val="0007579A"/>
    <w:rsid w:val="000F5EE5"/>
    <w:rsid w:val="00104998"/>
    <w:rsid w:val="0011240A"/>
    <w:rsid w:val="00125724"/>
    <w:rsid w:val="001340B8"/>
    <w:rsid w:val="00182661"/>
    <w:rsid w:val="001A2594"/>
    <w:rsid w:val="001C3A39"/>
    <w:rsid w:val="00205140"/>
    <w:rsid w:val="002A50D4"/>
    <w:rsid w:val="002C4FF8"/>
    <w:rsid w:val="002D5672"/>
    <w:rsid w:val="002E226D"/>
    <w:rsid w:val="002E7BB2"/>
    <w:rsid w:val="003705DF"/>
    <w:rsid w:val="0038362A"/>
    <w:rsid w:val="003C1542"/>
    <w:rsid w:val="003C19FE"/>
    <w:rsid w:val="004134BD"/>
    <w:rsid w:val="00421B7A"/>
    <w:rsid w:val="00434912"/>
    <w:rsid w:val="00444871"/>
    <w:rsid w:val="004822E1"/>
    <w:rsid w:val="004B6194"/>
    <w:rsid w:val="00513F96"/>
    <w:rsid w:val="00591EC7"/>
    <w:rsid w:val="005A7A20"/>
    <w:rsid w:val="005D5044"/>
    <w:rsid w:val="005E353B"/>
    <w:rsid w:val="006813C0"/>
    <w:rsid w:val="006A6E48"/>
    <w:rsid w:val="006B2993"/>
    <w:rsid w:val="006E0BD6"/>
    <w:rsid w:val="007562E0"/>
    <w:rsid w:val="007C533D"/>
    <w:rsid w:val="00812B28"/>
    <w:rsid w:val="00897E88"/>
    <w:rsid w:val="008D7D1B"/>
    <w:rsid w:val="00924FB2"/>
    <w:rsid w:val="00947C67"/>
    <w:rsid w:val="00976503"/>
    <w:rsid w:val="009A2EA9"/>
    <w:rsid w:val="00A16E2F"/>
    <w:rsid w:val="00A27159"/>
    <w:rsid w:val="00A63289"/>
    <w:rsid w:val="00AB53F6"/>
    <w:rsid w:val="00AD1D09"/>
    <w:rsid w:val="00AE7BE8"/>
    <w:rsid w:val="00B6334E"/>
    <w:rsid w:val="00B70F87"/>
    <w:rsid w:val="00BA6EFF"/>
    <w:rsid w:val="00BD1994"/>
    <w:rsid w:val="00C420BE"/>
    <w:rsid w:val="00C57A13"/>
    <w:rsid w:val="00C72B4D"/>
    <w:rsid w:val="00C907CA"/>
    <w:rsid w:val="00CA3FC8"/>
    <w:rsid w:val="00CD2281"/>
    <w:rsid w:val="00CD6024"/>
    <w:rsid w:val="00CE7896"/>
    <w:rsid w:val="00D046FB"/>
    <w:rsid w:val="00D3091D"/>
    <w:rsid w:val="00D43DE3"/>
    <w:rsid w:val="00D71593"/>
    <w:rsid w:val="00DA4CA6"/>
    <w:rsid w:val="00DC5B5B"/>
    <w:rsid w:val="00E03681"/>
    <w:rsid w:val="00E252DE"/>
    <w:rsid w:val="00E26B43"/>
    <w:rsid w:val="00E5309E"/>
    <w:rsid w:val="00E61DAC"/>
    <w:rsid w:val="00E841C3"/>
    <w:rsid w:val="00E95EDF"/>
    <w:rsid w:val="00EF5513"/>
    <w:rsid w:val="00F203FA"/>
    <w:rsid w:val="00F214E4"/>
    <w:rsid w:val="00F317DF"/>
    <w:rsid w:val="00F44B93"/>
    <w:rsid w:val="00F55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24099"/>
  <w15:chartTrackingRefBased/>
  <w15:docId w15:val="{1CE61FC3-1C98-412C-B8B7-1D6B2A379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5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3" ma:contentTypeDescription="Create a new document." ma:contentTypeScope="" ma:versionID="d8d14026024589c87423d0fd971802d7">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588f09ad8c61970631b2c84cacf687ee"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AB1767-3A3F-49C5-9A8D-DDFAF1740768}">
  <ds:schemaRefs>
    <ds:schemaRef ds:uri="ebe861c4-9752-476b-95bf-faec8d80e167"/>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f9cd839b-d2f7-4d79-867e-33235b171cd7"/>
    <ds:schemaRef ds:uri="http://www.w3.org/XML/1998/namespace"/>
    <ds:schemaRef ds:uri="http://purl.org/dc/dcmitype/"/>
  </ds:schemaRefs>
</ds:datastoreItem>
</file>

<file path=customXml/itemProps2.xml><?xml version="1.0" encoding="utf-8"?>
<ds:datastoreItem xmlns:ds="http://schemas.openxmlformats.org/officeDocument/2006/customXml" ds:itemID="{EEB5ED96-EE49-4AED-B636-C46B153845B3}">
  <ds:schemaRefs>
    <ds:schemaRef ds:uri="http://schemas.microsoft.com/sharepoint/v3/contenttype/forms"/>
  </ds:schemaRefs>
</ds:datastoreItem>
</file>

<file path=customXml/itemProps3.xml><?xml version="1.0" encoding="utf-8"?>
<ds:datastoreItem xmlns:ds="http://schemas.openxmlformats.org/officeDocument/2006/customXml" ds:itemID="{9E29DB11-0060-4B52-ADE7-68A1F5312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3410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Holloway</dc:creator>
  <cp:keywords/>
  <dc:description/>
  <cp:lastModifiedBy>Julia Holloway</cp:lastModifiedBy>
  <cp:revision>2</cp:revision>
  <dcterms:created xsi:type="dcterms:W3CDTF">2021-03-14T06:36:00Z</dcterms:created>
  <dcterms:modified xsi:type="dcterms:W3CDTF">2021-03-14T06:36:00Z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