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glossary/document.xml" ContentType="application/vnd.openxmlformats-officedocument.wordprocessingml.document.glossary+xml"/>
  <Override PartName="/word/glossary/fontTable.xml" ContentType="application/vnd.openxmlformats-officedocument.wordprocessingml.fontTable+xml"/>
  <Override PartName="/word/glossary/settings.xml" ContentType="application/vnd.openxmlformats-officedocument.wordprocessingml.settings+xml"/>
  <Override PartName="/word/glossary/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drawing>
          <wp:inline distT="0" distB="0" distL="114300" distR="114300">
            <wp:extent cx="5739765" cy="1541145"/>
            <wp:effectExtent l="0" t="0" r="635" b="8255"/>
            <wp:docPr id="1" name="图片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UWTSD logo"/>
                    <pic:cNvPicPr>
                      <a:picLocks noChangeAspect="1"/>
                    </pic:cNvPicPr>
                  </pic:nvPicPr>
                  <pic:blipFill>
                    <a:blip r:embed="rId6"/>
                    <a:stretch>
                      <a:fillRect/>
                    </a:stretch>
                  </pic:blipFill>
                  <pic:spPr>
                    <a:xfrm>
                      <a:off x="0" y="0"/>
                      <a:ext cx="5739765" cy="1541145"/>
                    </a:xfrm>
                    <a:prstGeom prst="rect">
                      <a:avLst/>
                    </a:prstGeom>
                  </pic:spPr>
                </pic:pic>
              </a:graphicData>
            </a:graphic>
          </wp:inline>
        </w:drawing>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jc w:val="center"/>
        <w:rPr>
          <w:rFonts w:hint="default" w:ascii="Times New Roman" w:hAnsi="Times New Roman" w:cs="Times New Roman"/>
          <w:color w:val="auto"/>
          <w:sz w:val="32"/>
          <w:szCs w:val="32"/>
          <w:shd w:val="clear" w:color="auto" w:fill="auto"/>
        </w:rPr>
      </w:pPr>
      <w:r>
        <w:rPr>
          <w:rFonts w:hint="default" w:ascii="Times New Roman" w:hAnsi="Times New Roman" w:cs="Times New Roman"/>
          <w:b/>
          <w:bCs/>
          <w:color w:val="auto"/>
          <w:sz w:val="56"/>
          <w:szCs w:val="56"/>
          <w:shd w:val="clear" w:color="auto" w:fill="auto"/>
        </w:rPr>
        <w:t>Organisational Consultancy Project</w:t>
      </w:r>
    </w:p>
    <w:p>
      <w:pPr>
        <w:numPr>
          <w:ilvl w:val="0"/>
          <w:numId w:val="0"/>
        </w:numPr>
        <w:spacing w:line="360" w:lineRule="auto"/>
        <w:jc w:val="center"/>
        <w:rPr>
          <w:rFonts w:hint="default" w:ascii="Times New Roman" w:hAnsi="Times New Roman" w:cs="Times New Roman"/>
          <w:color w:val="auto"/>
          <w:sz w:val="24"/>
          <w:szCs w:val="24"/>
        </w:rPr>
      </w:pPr>
    </w:p>
    <w:p>
      <w:pPr>
        <w:numPr>
          <w:ilvl w:val="0"/>
          <w:numId w:val="0"/>
        </w:numPr>
        <w:spacing w:line="360" w:lineRule="auto"/>
        <w:jc w:val="center"/>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Project description document for Netflix to improve its human resources management process</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p>
    <w:tbl>
      <w:tblPr>
        <w:tblStyle w:val="13"/>
        <w:tblW w:w="9288"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3922"/>
        <w:gridCol w:w="5366"/>
      </w:tblGrid>
      <w:tr>
        <w:tc>
          <w:tcPr>
            <w:tcW w:w="3922" w:type="dxa"/>
          </w:tcPr>
          <w:p>
            <w:pPr>
              <w:spacing w:after="160" w:line="480" w:lineRule="auto"/>
              <w:rPr>
                <w:rFonts w:hint="default" w:ascii="Arial" w:hAnsi="Arial" w:cs="Arial"/>
                <w:b/>
                <w:bCs w:val="0"/>
                <w:caps/>
                <w:color w:val="auto"/>
                <w:sz w:val="18"/>
                <w:szCs w:val="18"/>
                <w:vertAlign w:val="baseline"/>
              </w:rPr>
            </w:pPr>
            <w:r>
              <w:rPr>
                <w:rFonts w:hint="default" w:ascii="Arial" w:hAnsi="Arial" w:cs="Arial"/>
                <w:b/>
                <w:bCs w:val="0"/>
                <w:caps/>
                <w:color w:val="auto"/>
                <w:sz w:val="18"/>
                <w:szCs w:val="18"/>
              </w:rPr>
              <w:t>MODULE NAME</w:t>
            </w:r>
          </w:p>
        </w:tc>
        <w:tc>
          <w:tcPr>
            <w:tcW w:w="5366" w:type="dxa"/>
          </w:tcPr>
          <w:p>
            <w:pPr>
              <w:spacing w:after="160" w:line="480" w:lineRule="auto"/>
              <w:rPr>
                <w:rFonts w:hint="default" w:ascii="Arial" w:hAnsi="Arial" w:cs="Arial"/>
                <w:b w:val="0"/>
                <w:bCs/>
                <w:caps/>
                <w:color w:val="auto"/>
                <w:sz w:val="18"/>
                <w:szCs w:val="18"/>
                <w:vertAlign w:val="baseline"/>
              </w:rPr>
            </w:pPr>
            <w:r>
              <w:rPr>
                <w:rFonts w:hint="default" w:ascii="Arial" w:hAnsi="Arial" w:cs="Arial"/>
                <w:b w:val="0"/>
                <w:bCs/>
                <w:caps/>
                <w:color w:val="auto"/>
                <w:sz w:val="18"/>
                <w:szCs w:val="18"/>
                <w:vertAlign w:val="baseline"/>
              </w:rPr>
              <w:t>Organisational Consultancy</w:t>
            </w:r>
          </w:p>
        </w:tc>
      </w:tr>
      <w:tr>
        <w:tc>
          <w:tcPr>
            <w:tcW w:w="3922" w:type="dxa"/>
          </w:tcPr>
          <w:p>
            <w:pPr>
              <w:spacing w:after="160" w:line="480" w:lineRule="auto"/>
              <w:rPr>
                <w:rFonts w:hint="default" w:ascii="Arial" w:hAnsi="Arial" w:cs="Arial"/>
                <w:b/>
                <w:bCs w:val="0"/>
                <w:caps/>
                <w:color w:val="auto"/>
                <w:sz w:val="18"/>
                <w:szCs w:val="18"/>
                <w:vertAlign w:val="baseline"/>
              </w:rPr>
            </w:pPr>
            <w:r>
              <w:rPr>
                <w:rFonts w:hint="default" w:ascii="Arial" w:hAnsi="Arial" w:cs="Arial"/>
                <w:b/>
                <w:bCs w:val="0"/>
                <w:caps/>
                <w:color w:val="auto"/>
                <w:sz w:val="18"/>
                <w:szCs w:val="18"/>
                <w:vertAlign w:val="baseline"/>
              </w:rPr>
              <w:t>MODULE CODE</w:t>
            </w:r>
          </w:p>
        </w:tc>
        <w:tc>
          <w:tcPr>
            <w:tcW w:w="5366" w:type="dxa"/>
          </w:tcPr>
          <w:p>
            <w:pPr>
              <w:spacing w:after="160" w:line="480" w:lineRule="auto"/>
              <w:rPr>
                <w:rFonts w:hint="default" w:ascii="Arial" w:hAnsi="Arial" w:cs="Arial"/>
                <w:b w:val="0"/>
                <w:bCs/>
                <w:caps/>
                <w:color w:val="auto"/>
                <w:sz w:val="18"/>
                <w:szCs w:val="18"/>
              </w:rPr>
            </w:pPr>
            <w:r>
              <w:rPr>
                <w:rFonts w:hint="default" w:ascii="Arial" w:hAnsi="Arial" w:cs="Arial"/>
                <w:b w:val="0"/>
                <w:bCs/>
                <w:caps/>
                <w:color w:val="auto"/>
                <w:sz w:val="18"/>
                <w:szCs w:val="18"/>
              </w:rPr>
              <w:t>M6X01422</w:t>
            </w:r>
          </w:p>
        </w:tc>
      </w:tr>
      <w:tr>
        <w:tc>
          <w:tcPr>
            <w:tcW w:w="3922" w:type="dxa"/>
          </w:tcPr>
          <w:p>
            <w:pPr>
              <w:spacing w:after="160" w:line="480" w:lineRule="auto"/>
              <w:rPr>
                <w:rFonts w:hint="default" w:ascii="Arial" w:hAnsi="Arial" w:cs="Arial"/>
                <w:b/>
                <w:bCs w:val="0"/>
                <w:caps/>
                <w:color w:val="auto"/>
                <w:sz w:val="18"/>
                <w:szCs w:val="18"/>
                <w:vertAlign w:val="baseline"/>
              </w:rPr>
            </w:pPr>
            <w:r>
              <w:rPr>
                <w:rFonts w:hint="default" w:ascii="Arial" w:hAnsi="Arial" w:cs="Arial"/>
                <w:b/>
                <w:bCs w:val="0"/>
                <w:caps/>
                <w:color w:val="auto"/>
                <w:sz w:val="18"/>
                <w:szCs w:val="18"/>
                <w:vertAlign w:val="baseline"/>
              </w:rPr>
              <w:t>STUDENT NAME</w:t>
            </w:r>
          </w:p>
        </w:tc>
        <w:tc>
          <w:tcPr>
            <w:tcW w:w="5366" w:type="dxa"/>
          </w:tcPr>
          <w:p>
            <w:pPr>
              <w:spacing w:after="160" w:line="480" w:lineRule="auto"/>
              <w:rPr>
                <w:rFonts w:hint="default" w:ascii="Arial" w:hAnsi="Arial" w:cs="Arial"/>
                <w:b w:val="0"/>
                <w:bCs/>
                <w:caps/>
                <w:color w:val="auto"/>
                <w:sz w:val="18"/>
                <w:szCs w:val="18"/>
              </w:rPr>
            </w:pPr>
            <w:r>
              <w:rPr>
                <w:rFonts w:hint="default" w:ascii="Arial" w:hAnsi="Arial" w:cs="Arial"/>
                <w:b w:val="0"/>
                <w:bCs/>
                <w:caps/>
                <w:color w:val="auto"/>
                <w:sz w:val="18"/>
                <w:szCs w:val="18"/>
              </w:rPr>
              <w:t>ZIPING WANG</w:t>
            </w:r>
          </w:p>
        </w:tc>
      </w:tr>
      <w:tr>
        <w:tc>
          <w:tcPr>
            <w:tcW w:w="3922" w:type="dxa"/>
          </w:tcPr>
          <w:p>
            <w:pPr>
              <w:spacing w:after="160" w:line="480" w:lineRule="auto"/>
              <w:rPr>
                <w:rFonts w:hint="default" w:ascii="Arial" w:hAnsi="Arial" w:cs="Arial"/>
                <w:b/>
                <w:bCs w:val="0"/>
                <w:caps/>
                <w:color w:val="auto"/>
                <w:sz w:val="18"/>
                <w:szCs w:val="18"/>
                <w:vertAlign w:val="baseline"/>
              </w:rPr>
            </w:pPr>
            <w:r>
              <w:rPr>
                <w:rFonts w:hint="default" w:ascii="Arial" w:hAnsi="Arial" w:cs="Arial"/>
                <w:b/>
                <w:bCs w:val="0"/>
                <w:caps/>
                <w:color w:val="auto"/>
                <w:sz w:val="18"/>
                <w:szCs w:val="18"/>
                <w:vertAlign w:val="baseline"/>
              </w:rPr>
              <w:t>STUDENT NUMBER</w:t>
            </w:r>
          </w:p>
        </w:tc>
        <w:tc>
          <w:tcPr>
            <w:tcW w:w="5366" w:type="dxa"/>
          </w:tcPr>
          <w:p>
            <w:pPr>
              <w:spacing w:after="160" w:line="480" w:lineRule="auto"/>
              <w:rPr>
                <w:rFonts w:hint="default" w:ascii="Arial" w:hAnsi="Arial" w:cs="Arial"/>
                <w:b w:val="0"/>
                <w:bCs/>
                <w:caps/>
                <w:color w:val="auto"/>
                <w:sz w:val="18"/>
                <w:szCs w:val="18"/>
              </w:rPr>
            </w:pPr>
            <w:r>
              <w:rPr>
                <w:rFonts w:hint="default" w:ascii="Arial" w:hAnsi="Arial" w:cs="Arial"/>
                <w:b w:val="0"/>
                <w:bCs/>
                <w:caps/>
                <w:color w:val="auto"/>
                <w:sz w:val="18"/>
                <w:szCs w:val="18"/>
              </w:rPr>
              <w:t>1900407</w:t>
            </w:r>
          </w:p>
        </w:tc>
      </w:tr>
    </w:tbl>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p>
    <w:sdt>
      <w:sdtPr>
        <w:rPr>
          <w:rFonts w:hint="default" w:ascii="Times New Roman" w:hAnsi="Times New Roman" w:cs="Times New Roman"/>
          <w:b/>
          <w:bCs/>
          <w:color w:val="auto"/>
          <w:sz w:val="32"/>
          <w:szCs w:val="32"/>
          <w:lang w:val="en-US" w:eastAsia="zh-CN"/>
        </w:rPr>
        <w:id w:val="73961485"/>
        <w15:color w:val="DBDBDB"/>
      </w:sdtPr>
      <w:sdtEndPr>
        <w:rPr>
          <w:rFonts w:hint="default" w:ascii="Times New Roman" w:hAnsi="Times New Roman" w:cs="Times New Roman"/>
          <w:b/>
          <w:bCs/>
          <w:color w:val="auto"/>
          <w:sz w:val="20"/>
          <w:szCs w:val="20"/>
          <w:lang w:val="en-US" w:eastAsia="zh-CN"/>
        </w:rPr>
      </w:sdtEndPr>
      <w:sdtContent>
        <w:sdt>
          <w:sdtPr>
            <w:rPr>
              <w:rFonts w:hint="default" w:ascii="Times New Roman" w:hAnsi="Times New Roman" w:cs="Times New Roman" w:eastAsiaTheme="minorEastAsia"/>
              <w:b/>
              <w:bCs/>
              <w:color w:val="auto"/>
              <w:kern w:val="2"/>
              <w:sz w:val="32"/>
              <w:szCs w:val="32"/>
              <w:lang w:val="en-US" w:eastAsia="zh-CN" w:bidi="ar-SA"/>
            </w:rPr>
            <w:id w:val="705112129"/>
            <w15:color w:val="DBDBDB"/>
          </w:sdtPr>
          <w:sdtEndPr>
            <w:rPr>
              <w:rFonts w:hint="default" w:asciiTheme="minorHAnsi" w:hAnsiTheme="minorHAnsi" w:eastAsiaTheme="minorEastAsia" w:cstheme="minorBidi"/>
              <w:b/>
              <w:bCs/>
              <w:color w:val="auto"/>
              <w:kern w:val="2"/>
              <w:sz w:val="20"/>
              <w:szCs w:val="20"/>
              <w:lang w:val="en-US" w:eastAsia="zh-CN" w:bidi="ar-SA"/>
            </w:rPr>
          </w:sdtEndPr>
          <w:sdtContent>
            <w:sdt>
              <w:sdtPr>
                <w:rPr>
                  <w:rFonts w:hint="default" w:ascii="Times New Roman" w:hAnsi="Times New Roman" w:cs="Times New Roman" w:eastAsiaTheme="minorEastAsia"/>
                  <w:b/>
                  <w:bCs/>
                  <w:color w:val="auto"/>
                  <w:kern w:val="2"/>
                  <w:sz w:val="32"/>
                  <w:szCs w:val="32"/>
                  <w:lang w:val="en-US" w:eastAsia="zh-CN" w:bidi="ar-SA"/>
                </w:rPr>
                <w:id w:val="832798051"/>
                <w15:color w:val="DBDBDB"/>
              </w:sdtPr>
              <w:sdtEndPr>
                <w:rPr>
                  <w:rFonts w:hint="default" w:asciiTheme="minorHAnsi" w:hAnsiTheme="minorHAnsi" w:eastAsiaTheme="minorEastAsia" w:cstheme="minorBidi"/>
                  <w:b/>
                  <w:bCs/>
                  <w:color w:val="auto"/>
                  <w:kern w:val="2"/>
                  <w:sz w:val="20"/>
                  <w:szCs w:val="20"/>
                  <w:lang w:val="en-US" w:eastAsia="zh-CN" w:bidi="ar-SA"/>
                </w:rPr>
              </w:sdtEndPr>
              <w:sdtContent>
                <w:sdt>
                  <w:sdtPr>
                    <w:rPr>
                      <w:rFonts w:hint="default" w:ascii="Times New Roman" w:hAnsi="Times New Roman" w:cs="Times New Roman" w:eastAsiaTheme="minorEastAsia"/>
                      <w:b/>
                      <w:bCs/>
                      <w:color w:val="auto"/>
                      <w:kern w:val="2"/>
                      <w:sz w:val="32"/>
                      <w:szCs w:val="32"/>
                      <w:lang w:val="en-US" w:eastAsia="zh-CN" w:bidi="ar-SA"/>
                    </w:rPr>
                    <w:id w:val="926222701"/>
                    <w15:color w:val="DBDBDB"/>
                  </w:sdtPr>
                  <w:sdtEndPr>
                    <w:rPr>
                      <w:rFonts w:hint="default" w:asciiTheme="minorHAnsi" w:hAnsiTheme="minorHAnsi" w:eastAsiaTheme="minorEastAsia" w:cstheme="minorBidi"/>
                      <w:b/>
                      <w:bCs/>
                      <w:color w:val="auto"/>
                      <w:kern w:val="2"/>
                      <w:sz w:val="20"/>
                      <w:szCs w:val="20"/>
                      <w:lang w:val="en-US" w:eastAsia="zh-CN" w:bidi="ar-SA"/>
                    </w:rPr>
                  </w:sdtEndPr>
                  <w:sdtContent>
                    <w:p>
                      <w:pPr>
                        <w:spacing w:before="0" w:beforeLines="0" w:after="0" w:afterLines="0" w:line="240" w:lineRule="auto"/>
                        <w:ind w:left="0" w:leftChars="0" w:right="0" w:rightChars="0" w:firstLine="0" w:firstLineChars="0"/>
                        <w:jc w:val="center"/>
                      </w:pPr>
                      <w:bookmarkStart w:id="0" w:name="_Toc84021396_WPSOffice_Type3"/>
                      <w:r>
                        <w:rPr>
                          <w:rFonts w:hint="default" w:ascii="Times New Roman" w:hAnsi="Times New Roman" w:cs="Times New Roman"/>
                          <w:b/>
                          <w:bCs/>
                          <w:color w:val="auto"/>
                          <w:kern w:val="2"/>
                          <w:sz w:val="32"/>
                          <w:szCs w:val="32"/>
                          <w:lang w:eastAsia="zh-CN" w:bidi="ar-SA"/>
                        </w:rPr>
                        <w:t>Table of Contents</w:t>
                      </w:r>
                    </w:p>
                    <w:p>
                      <w:pPr>
                        <w:pStyle w:val="14"/>
                        <w:tabs>
                          <w:tab w:val="right" w:leader="dot" w:pos="9072"/>
                        </w:tabs>
                      </w:pPr>
                      <w:r>
                        <w:fldChar w:fldCharType="begin"/>
                      </w:r>
                      <w:r>
                        <w:instrText xml:space="preserve"> HYPERLINK \l _Toc731174170_WPSOffice_Level1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1c18c506-c4e5-4dff-8e7e-2f49ffb1013b}"/>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1.0 Introduction</w:t>
                          </w:r>
                        </w:sdtContent>
                      </w:sdt>
                      <w:r>
                        <w:tab/>
                      </w:r>
                      <w:bookmarkStart w:id="1" w:name="_Toc731174170_WPSOffice_Level1Page"/>
                      <w:r>
                        <w:t>3</w:t>
                      </w:r>
                      <w:bookmarkEnd w:id="1"/>
                      <w:r>
                        <w:fldChar w:fldCharType="end"/>
                      </w:r>
                    </w:p>
                    <w:p>
                      <w:pPr>
                        <w:pStyle w:val="14"/>
                        <w:tabs>
                          <w:tab w:val="right" w:leader="dot" w:pos="9072"/>
                        </w:tabs>
                      </w:pPr>
                      <w:r>
                        <w:fldChar w:fldCharType="begin"/>
                      </w:r>
                      <w:r>
                        <w:instrText xml:space="preserve"> HYPERLINK \l _Toc84021396_WPSOffice_Level1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6e331a12-a123-4db7-b596-dcb2845ba9ad}"/>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2.0 Project Justification</w:t>
                          </w:r>
                        </w:sdtContent>
                      </w:sdt>
                      <w:r>
                        <w:tab/>
                      </w:r>
                      <w:bookmarkStart w:id="2" w:name="_Toc84021396_WPSOffice_Level1Page"/>
                      <w:r>
                        <w:t>4</w:t>
                      </w:r>
                      <w:bookmarkEnd w:id="2"/>
                      <w:r>
                        <w:fldChar w:fldCharType="end"/>
                      </w:r>
                    </w:p>
                    <w:p>
                      <w:pPr>
                        <w:pStyle w:val="15"/>
                        <w:tabs>
                          <w:tab w:val="right" w:leader="dot" w:pos="9072"/>
                        </w:tabs>
                      </w:pPr>
                      <w:r>
                        <w:fldChar w:fldCharType="begin"/>
                      </w:r>
                      <w:r>
                        <w:instrText xml:space="preserve"> HYPERLINK \l _Toc84021396_WPSOffice_Level2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5378f466-2e15-47fe-8eaa-d71a383f4fb9}"/>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2.1 Aims and Objectives</w:t>
                          </w:r>
                        </w:sdtContent>
                      </w:sdt>
                      <w:r>
                        <w:tab/>
                      </w:r>
                      <w:bookmarkStart w:id="3" w:name="_Toc84021396_WPSOffice_Level2Page"/>
                      <w:r>
                        <w:t>4</w:t>
                      </w:r>
                      <w:bookmarkEnd w:id="3"/>
                      <w:r>
                        <w:fldChar w:fldCharType="end"/>
                      </w:r>
                    </w:p>
                    <w:p>
                      <w:pPr>
                        <w:pStyle w:val="15"/>
                        <w:tabs>
                          <w:tab w:val="right" w:leader="dot" w:pos="9072"/>
                        </w:tabs>
                      </w:pPr>
                      <w:r>
                        <w:fldChar w:fldCharType="begin"/>
                      </w:r>
                      <w:r>
                        <w:instrText xml:space="preserve"> HYPERLINK \l _Toc1250846493_WPSOffice_Level2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6fafd23e-72af-4286-8bf1-7ee941985e75}"/>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2.2 Rational</w:t>
                          </w:r>
                        </w:sdtContent>
                      </w:sdt>
                      <w:r>
                        <w:tab/>
                      </w:r>
                      <w:bookmarkStart w:id="4" w:name="_Toc1250846493_WPSOffice_Level2Page"/>
                      <w:r>
                        <w:t>4</w:t>
                      </w:r>
                      <w:bookmarkEnd w:id="4"/>
                      <w:r>
                        <w:fldChar w:fldCharType="end"/>
                      </w:r>
                    </w:p>
                    <w:p>
                      <w:pPr>
                        <w:pStyle w:val="16"/>
                        <w:tabs>
                          <w:tab w:val="right" w:leader="dot" w:pos="9072"/>
                        </w:tabs>
                      </w:pPr>
                      <w:r>
                        <w:fldChar w:fldCharType="begin"/>
                      </w:r>
                      <w:r>
                        <w:instrText xml:space="preserve"> HYPERLINK \l _Toc84021396_WPSOffice_Level3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8b31276a-b67a-4588-bc08-af85689ba6a0}"/>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2.2.1 External Environment</w:t>
                          </w:r>
                        </w:sdtContent>
                      </w:sdt>
                      <w:r>
                        <w:tab/>
                      </w:r>
                      <w:bookmarkStart w:id="5" w:name="_Toc84021396_WPSOffice_Level3Page"/>
                      <w:r>
                        <w:t>4</w:t>
                      </w:r>
                      <w:bookmarkEnd w:id="5"/>
                      <w:r>
                        <w:fldChar w:fldCharType="end"/>
                      </w:r>
                    </w:p>
                    <w:p>
                      <w:pPr>
                        <w:pStyle w:val="16"/>
                        <w:tabs>
                          <w:tab w:val="right" w:leader="dot" w:pos="9072"/>
                        </w:tabs>
                      </w:pPr>
                      <w:r>
                        <w:fldChar w:fldCharType="begin"/>
                      </w:r>
                      <w:r>
                        <w:instrText xml:space="preserve"> HYPERLINK \l _Toc1250846493_WPSOffice_Level3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2bcd4db6-ddf5-433c-84fa-42fc61609342}"/>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2.2.2 Internal Environment</w:t>
                          </w:r>
                        </w:sdtContent>
                      </w:sdt>
                      <w:r>
                        <w:tab/>
                      </w:r>
                      <w:bookmarkStart w:id="6" w:name="_Toc1250846493_WPSOffice_Level3Page"/>
                      <w:r>
                        <w:t>6</w:t>
                      </w:r>
                      <w:bookmarkEnd w:id="6"/>
                      <w:r>
                        <w:fldChar w:fldCharType="end"/>
                      </w:r>
                    </w:p>
                    <w:p>
                      <w:pPr>
                        <w:pStyle w:val="14"/>
                        <w:tabs>
                          <w:tab w:val="right" w:leader="dot" w:pos="9072"/>
                        </w:tabs>
                      </w:pPr>
                      <w:r>
                        <w:fldChar w:fldCharType="begin"/>
                      </w:r>
                      <w:r>
                        <w:instrText xml:space="preserve"> HYPERLINK \l _Toc1250846493_WPSOffice_Level1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7cbf692a-218e-4242-8da2-541bc2dad3e4}"/>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3.0 Business Case and Project Approach</w:t>
                          </w:r>
                        </w:sdtContent>
                      </w:sdt>
                      <w:r>
                        <w:tab/>
                      </w:r>
                      <w:bookmarkStart w:id="7" w:name="_Toc1250846493_WPSOffice_Level1Page"/>
                      <w:r>
                        <w:t>8</w:t>
                      </w:r>
                      <w:bookmarkEnd w:id="7"/>
                      <w:r>
                        <w:fldChar w:fldCharType="end"/>
                      </w:r>
                    </w:p>
                    <w:p>
                      <w:pPr>
                        <w:pStyle w:val="15"/>
                        <w:tabs>
                          <w:tab w:val="right" w:leader="dot" w:pos="9072"/>
                        </w:tabs>
                      </w:pPr>
                      <w:r>
                        <w:fldChar w:fldCharType="begin"/>
                      </w:r>
                      <w:r>
                        <w:instrText xml:space="preserve"> HYPERLINK \l _Toc1259587368_WPSOffice_Level2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6448032f-02c4-485b-9241-07ee23b650b8}"/>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3.1 Benefits to the Organisation</w:t>
                          </w:r>
                        </w:sdtContent>
                      </w:sdt>
                      <w:r>
                        <w:tab/>
                      </w:r>
                      <w:bookmarkStart w:id="8" w:name="_Toc1259587368_WPSOffice_Level2Page"/>
                      <w:r>
                        <w:t>8</w:t>
                      </w:r>
                      <w:bookmarkEnd w:id="8"/>
                      <w:r>
                        <w:fldChar w:fldCharType="end"/>
                      </w:r>
                    </w:p>
                    <w:p>
                      <w:pPr>
                        <w:pStyle w:val="15"/>
                        <w:tabs>
                          <w:tab w:val="right" w:leader="dot" w:pos="9072"/>
                        </w:tabs>
                      </w:pPr>
                      <w:r>
                        <w:fldChar w:fldCharType="begin"/>
                      </w:r>
                      <w:r>
                        <w:instrText xml:space="preserve"> HYPERLINK \l _Toc2138585497_WPSOffice_Level2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7a739403-e74a-48be-8149-555d9a90622b}"/>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3.2 Background Literature</w:t>
                          </w:r>
                        </w:sdtContent>
                      </w:sdt>
                      <w:r>
                        <w:tab/>
                      </w:r>
                      <w:bookmarkStart w:id="9" w:name="_Toc2138585497_WPSOffice_Level2Page"/>
                      <w:r>
                        <w:t>8</w:t>
                      </w:r>
                      <w:bookmarkEnd w:id="9"/>
                      <w:r>
                        <w:fldChar w:fldCharType="end"/>
                      </w:r>
                    </w:p>
                    <w:p>
                      <w:pPr>
                        <w:pStyle w:val="15"/>
                        <w:tabs>
                          <w:tab w:val="right" w:leader="dot" w:pos="9072"/>
                        </w:tabs>
                      </w:pPr>
                      <w:r>
                        <w:fldChar w:fldCharType="begin"/>
                      </w:r>
                      <w:r>
                        <w:instrText xml:space="preserve"> HYPERLINK \l _Toc772648240_WPSOffice_Level2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bad6194d-0808-4f29-bd3d-1ba3388784c9}"/>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3.3 Potential Risks of the Project</w:t>
                          </w:r>
                        </w:sdtContent>
                      </w:sdt>
                      <w:r>
                        <w:tab/>
                      </w:r>
                      <w:bookmarkStart w:id="10" w:name="_Toc772648240_WPSOffice_Level2Page"/>
                      <w:r>
                        <w:t>9</w:t>
                      </w:r>
                      <w:bookmarkEnd w:id="10"/>
                      <w:r>
                        <w:fldChar w:fldCharType="end"/>
                      </w:r>
                    </w:p>
                    <w:p>
                      <w:pPr>
                        <w:pStyle w:val="14"/>
                        <w:tabs>
                          <w:tab w:val="right" w:leader="dot" w:pos="9072"/>
                        </w:tabs>
                      </w:pPr>
                      <w:r>
                        <w:fldChar w:fldCharType="begin"/>
                      </w:r>
                      <w:r>
                        <w:instrText xml:space="preserve"> HYPERLINK \l _Toc1259587368_WPSOffice_Level1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85cadec6-d908-4cf5-bb4f-acf3b1d533d6}"/>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4.0 Research Methodology</w:t>
                          </w:r>
                        </w:sdtContent>
                      </w:sdt>
                      <w:r>
                        <w:tab/>
                      </w:r>
                      <w:bookmarkStart w:id="11" w:name="_Toc1259587368_WPSOffice_Level1Page"/>
                      <w:r>
                        <w:t>10</w:t>
                      </w:r>
                      <w:bookmarkEnd w:id="11"/>
                      <w:r>
                        <w:fldChar w:fldCharType="end"/>
                      </w:r>
                    </w:p>
                    <w:p>
                      <w:pPr>
                        <w:pStyle w:val="15"/>
                        <w:tabs>
                          <w:tab w:val="right" w:leader="dot" w:pos="9072"/>
                        </w:tabs>
                      </w:pPr>
                      <w:r>
                        <w:fldChar w:fldCharType="begin"/>
                      </w:r>
                      <w:r>
                        <w:instrText xml:space="preserve"> HYPERLINK \l _Toc65356271_WPSOffice_Level2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800a15ae-2cf0-431e-afea-c18c26ca4cd3}"/>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4.1 Secondary Research</w:t>
                          </w:r>
                        </w:sdtContent>
                      </w:sdt>
                      <w:r>
                        <w:tab/>
                      </w:r>
                      <w:bookmarkStart w:id="12" w:name="_Toc65356271_WPSOffice_Level2Page"/>
                      <w:r>
                        <w:t>10</w:t>
                      </w:r>
                      <w:bookmarkEnd w:id="12"/>
                      <w:r>
                        <w:fldChar w:fldCharType="end"/>
                      </w:r>
                    </w:p>
                    <w:p>
                      <w:pPr>
                        <w:pStyle w:val="14"/>
                        <w:tabs>
                          <w:tab w:val="right" w:leader="dot" w:pos="9072"/>
                        </w:tabs>
                      </w:pPr>
                      <w:r>
                        <w:fldChar w:fldCharType="begin"/>
                      </w:r>
                      <w:r>
                        <w:instrText xml:space="preserve"> HYPERLINK \l _Toc2138585497_WPSOffice_Level1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7886956b-6274-4a46-ba2a-903b458ed6a5}"/>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5.0 Project Plan</w:t>
                          </w:r>
                        </w:sdtContent>
                      </w:sdt>
                      <w:r>
                        <w:tab/>
                      </w:r>
                      <w:bookmarkStart w:id="13" w:name="_Toc2138585497_WPSOffice_Level1Page"/>
                      <w:r>
                        <w:t>12</w:t>
                      </w:r>
                      <w:bookmarkEnd w:id="13"/>
                      <w:r>
                        <w:fldChar w:fldCharType="end"/>
                      </w:r>
                    </w:p>
                    <w:p>
                      <w:pPr>
                        <w:pStyle w:val="15"/>
                        <w:tabs>
                          <w:tab w:val="right" w:leader="dot" w:pos="9072"/>
                        </w:tabs>
                      </w:pPr>
                      <w:r>
                        <w:fldChar w:fldCharType="begin"/>
                      </w:r>
                      <w:r>
                        <w:instrText xml:space="preserve"> HYPERLINK \l _Toc1078703080_WPSOffice_Level2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430144f7-e38e-4ba6-b51f-91f53f96d066}"/>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eastAsia="方正黑体_GBK" w:cs="Times New Roman"/>
                            </w:rPr>
                            <w:t>5.1 Description of the Gantt Chart</w:t>
                          </w:r>
                        </w:sdtContent>
                      </w:sdt>
                      <w:r>
                        <w:tab/>
                      </w:r>
                      <w:bookmarkStart w:id="14" w:name="_Toc1078703080_WPSOffice_Level2Page"/>
                      <w:r>
                        <w:t>12</w:t>
                      </w:r>
                      <w:bookmarkEnd w:id="14"/>
                      <w:r>
                        <w:fldChar w:fldCharType="end"/>
                      </w:r>
                    </w:p>
                    <w:p>
                      <w:pPr>
                        <w:pStyle w:val="14"/>
                        <w:tabs>
                          <w:tab w:val="right" w:leader="dot" w:pos="9072"/>
                        </w:tabs>
                      </w:pPr>
                      <w:r>
                        <w:fldChar w:fldCharType="begin"/>
                      </w:r>
                      <w:r>
                        <w:instrText xml:space="preserve"> HYPERLINK \l _Toc772648240_WPSOffice_Level1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aecba971-5bff-45d8-91cd-66879985e3cf}"/>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6.0 References</w:t>
                          </w:r>
                        </w:sdtContent>
                      </w:sdt>
                      <w:r>
                        <w:tab/>
                      </w:r>
                      <w:bookmarkStart w:id="15" w:name="_Toc772648240_WPSOffice_Level1Page"/>
                      <w:r>
                        <w:t>15</w:t>
                      </w:r>
                      <w:bookmarkEnd w:id="15"/>
                      <w:r>
                        <w:fldChar w:fldCharType="end"/>
                      </w:r>
                    </w:p>
                    <w:p>
                      <w:pPr>
                        <w:pStyle w:val="14"/>
                        <w:tabs>
                          <w:tab w:val="right" w:leader="dot" w:pos="9072"/>
                        </w:tabs>
                      </w:pPr>
                      <w:r>
                        <w:fldChar w:fldCharType="begin"/>
                      </w:r>
                      <w:r>
                        <w:instrText xml:space="preserve"> HYPERLINK \l _Toc65356271_WPSOffice_Level1 </w:instrText>
                      </w:r>
                      <w:r>
                        <w:fldChar w:fldCharType="separate"/>
                      </w:r>
                      <w:sdt>
                        <w:sdtPr>
                          <w:rPr>
                            <w:rFonts w:asciiTheme="minorHAnsi" w:hAnsiTheme="minorHAnsi" w:eastAsiaTheme="minorEastAsia" w:cstheme="minorBidi"/>
                            <w:kern w:val="2"/>
                            <w:sz w:val="21"/>
                            <w:szCs w:val="24"/>
                            <w:lang w:val="en-US" w:eastAsia="zh-CN" w:bidi="ar-SA"/>
                          </w:rPr>
                          <w:id w:val="926222701"/>
                          <w:placeholder>
                            <w:docPart w:val="{d0ec0c07-5713-46fd-b0a8-fa3f03c63cf6}"/>
                          </w:placeholder>
                          <w15:color w:val="509DF3"/>
                        </w:sdtPr>
                        <w:sdtEndPr>
                          <w:rPr>
                            <w:rFonts w:asciiTheme="minorHAnsi" w:hAnsiTheme="minorHAnsi" w:eastAsiaTheme="minorEastAsia" w:cstheme="minorBidi"/>
                            <w:kern w:val="2"/>
                            <w:sz w:val="21"/>
                            <w:szCs w:val="24"/>
                            <w:lang w:val="en-US" w:eastAsia="zh-CN" w:bidi="ar-SA"/>
                          </w:rPr>
                        </w:sdtEndPr>
                        <w:sdtContent>
                          <w:r>
                            <w:rPr>
                              <w:rFonts w:hint="default" w:ascii="Times New Roman" w:hAnsi="Times New Roman" w:cs="Times New Roman" w:eastAsiaTheme="minorEastAsia"/>
                            </w:rPr>
                            <w:t>Appendix I - SWOT analysis of Netflix</w:t>
                          </w:r>
                        </w:sdtContent>
                      </w:sdt>
                      <w:r>
                        <w:tab/>
                      </w:r>
                      <w:bookmarkStart w:id="16" w:name="_Toc65356271_WPSOffice_Level1Page"/>
                      <w:r>
                        <w:t>22</w:t>
                      </w:r>
                      <w:bookmarkEnd w:id="16"/>
                      <w:r>
                        <w:fldChar w:fldCharType="end"/>
                      </w:r>
                      <w:bookmarkEnd w:id="0"/>
                    </w:p>
                  </w:sdtContent>
                </w:sdt>
                <w:p>
                  <w:pPr>
                    <w:numPr>
                      <w:ilvl w:val="0"/>
                      <w:numId w:val="0"/>
                    </w:numPr>
                    <w:spacing w:line="360" w:lineRule="auto"/>
                    <w:rPr>
                      <w:rFonts w:hint="default" w:ascii="Times New Roman" w:hAnsi="Times New Roman" w:cs="Times New Roman"/>
                      <w:color w:val="auto"/>
                      <w:sz w:val="24"/>
                      <w:szCs w:val="24"/>
                    </w:rPr>
                  </w:pPr>
                </w:p>
              </w:sdtContent>
            </w:sdt>
          </w:sdtContent>
        </w:sdt>
      </w:sdtContent>
    </w:sdt>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sectPr>
          <w:footerReference r:id="rId3" w:type="default"/>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b/>
          <w:sz w:val="32"/>
          <w:szCs w:val="32"/>
        </w:rPr>
      </w:pPr>
      <w:bookmarkStart w:id="17" w:name="_Toc731174170_WPSOffice_Level1"/>
      <w:r>
        <w:rPr>
          <w:rFonts w:hint="default" w:ascii="Times New Roman" w:hAnsi="Times New Roman" w:cs="Times New Roman"/>
          <w:b/>
          <w:sz w:val="32"/>
          <w:szCs w:val="32"/>
        </w:rPr>
        <w:t>1.0 Introduction</w:t>
      </w:r>
      <w:bookmarkEnd w:id="17"/>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4th industrial revolution has marked a major turning point in the 21st century (Schwab, 2016). With the rise of the knowledge economy (Uhl-Bien et al., 2007), the world has entered into the VUCA era - short for volatility, uncertainty, complexity, and ambiguity (Chakhoyan, 2017; Bennett&amp;Lemoine, 2014). As a result, and bases on these changes, the environment of human resources management is beginning to become increasingly complex and unpredictable (CIPD, 2013; Kern, 2017; Bonciu, 2019).</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term ‘megatrend’ is used to introduces five main trends that influence the complexity of society, which are reshaping the workplace and the workforce in the organisation (CIPD, 2013; 2014). The five trends are globalisation, demographic shifts, urbanisation, the popularity of technology and climate change.</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This volatility brings a significant challenge for the management of contemporary organisations and managers, since they are required to adapt these trends so that it will not be eliminated by the times (</w:t>
      </w:r>
      <w:r>
        <w:rPr>
          <w:rFonts w:hint="default" w:ascii="Times New Roman" w:hAnsi="Times New Roman" w:cs="Times New Roman"/>
          <w:b w:val="0"/>
          <w:bCs/>
          <w:sz w:val="24"/>
          <w:szCs w:val="24"/>
        </w:rPr>
        <w:t>Harris and Tregidga, 2012; Rego et al., 2012; Frost, 2004)</w:t>
      </w:r>
      <w:r>
        <w:rPr>
          <w:rFonts w:hint="default" w:ascii="Times New Roman" w:hAnsi="Times New Roman" w:cs="Times New Roman"/>
          <w:color w:val="auto"/>
          <w:sz w:val="24"/>
          <w:szCs w:val="24"/>
        </w:rPr>
        <w:t>. Consequently, this document is committed to providing a project description for Netflix, for the improvement of the human resources management process combined with the change management.</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sectPr>
          <w:footerReference r:id="rId4" w:type="default"/>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color w:val="auto"/>
          <w:sz w:val="24"/>
          <w:szCs w:val="24"/>
        </w:rPr>
      </w:pPr>
      <w:bookmarkStart w:id="18" w:name="_Toc84021396_WPSOffice_Level1"/>
      <w:r>
        <w:rPr>
          <w:rFonts w:hint="default" w:ascii="Times New Roman" w:hAnsi="Times New Roman" w:cs="Times New Roman"/>
          <w:b/>
          <w:sz w:val="32"/>
          <w:szCs w:val="32"/>
        </w:rPr>
        <w:t>2.0 Project Justification</w:t>
      </w:r>
      <w:bookmarkEnd w:id="18"/>
    </w:p>
    <w:p>
      <w:pPr>
        <w:pStyle w:val="3"/>
        <w:bidi w:val="0"/>
        <w:spacing w:line="360" w:lineRule="auto"/>
        <w:rPr>
          <w:rFonts w:hint="default" w:ascii="Times New Roman" w:hAnsi="Times New Roman" w:cs="Times New Roman"/>
          <w:b/>
          <w:sz w:val="28"/>
          <w:szCs w:val="28"/>
        </w:rPr>
      </w:pPr>
      <w:bookmarkStart w:id="19" w:name="_Toc84021396_WPSOffice_Level2"/>
      <w:r>
        <w:rPr>
          <w:rFonts w:hint="default" w:ascii="Times New Roman" w:hAnsi="Times New Roman" w:cs="Times New Roman"/>
          <w:b/>
          <w:sz w:val="28"/>
          <w:szCs w:val="28"/>
        </w:rPr>
        <w:t>2.1 Aims and Objectives</w:t>
      </w:r>
      <w:bookmarkEnd w:id="19"/>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b/>
          <w:bCs/>
          <w:color w:val="auto"/>
          <w:sz w:val="24"/>
          <w:szCs w:val="24"/>
        </w:rPr>
        <w:t>Aims</w:t>
      </w:r>
      <w:r>
        <w:rPr>
          <w:rFonts w:hint="default" w:ascii="Times New Roman" w:hAnsi="Times New Roman" w:cs="Times New Roman"/>
          <w:b w:val="0"/>
          <w:bCs w:val="0"/>
          <w:color w:val="auto"/>
          <w:sz w:val="24"/>
          <w:szCs w:val="24"/>
        </w:rPr>
        <w:t>:</w:t>
      </w:r>
      <w:r>
        <w:rPr>
          <w:rFonts w:hint="default" w:ascii="Times New Roman" w:hAnsi="Times New Roman" w:cs="Times New Roman"/>
          <w:b/>
          <w:bCs/>
          <w:color w:val="auto"/>
          <w:sz w:val="24"/>
          <w:szCs w:val="24"/>
        </w:rPr>
        <w:t xml:space="preserve"> </w:t>
      </w:r>
      <w:r>
        <w:rPr>
          <w:rFonts w:hint="default" w:ascii="Times New Roman" w:hAnsi="Times New Roman" w:cs="Times New Roman"/>
          <w:sz w:val="24"/>
          <w:szCs w:val="24"/>
        </w:rPr>
        <w:t>Helping Netflix to improve its human resources management process</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b/>
          <w:bCs/>
          <w:color w:val="auto"/>
          <w:sz w:val="24"/>
          <w:szCs w:val="24"/>
        </w:rPr>
      </w:pPr>
      <w:r>
        <w:rPr>
          <w:rFonts w:hint="default" w:ascii="Times New Roman" w:hAnsi="Times New Roman" w:cs="Times New Roman"/>
          <w:b/>
          <w:bCs/>
          <w:color w:val="auto"/>
          <w:sz w:val="24"/>
          <w:szCs w:val="24"/>
        </w:rPr>
        <w:t>Objectives</w:t>
      </w:r>
      <w:r>
        <w:rPr>
          <w:rFonts w:hint="default" w:ascii="Times New Roman" w:hAnsi="Times New Roman" w:cs="Times New Roman"/>
          <w:b w:val="0"/>
          <w:bCs w:val="0"/>
          <w:color w:val="auto"/>
          <w:sz w:val="24"/>
          <w:szCs w:val="24"/>
        </w:rPr>
        <w:t>:</w:t>
      </w:r>
    </w:p>
    <w:p>
      <w:pPr>
        <w:numPr>
          <w:ilvl w:val="0"/>
          <w:numId w:val="1"/>
        </w:numPr>
        <w:spacing w:line="360" w:lineRule="auto"/>
        <w:ind w:left="420" w:leftChars="0" w:hanging="420" w:firstLineChars="0"/>
        <w:rPr>
          <w:rFonts w:hint="default" w:ascii="Times New Roman" w:hAnsi="Times New Roman" w:cs="Times New Roman"/>
          <w:strike w:val="0"/>
          <w:dstrike w:val="0"/>
          <w:color w:val="auto"/>
          <w:sz w:val="24"/>
          <w:szCs w:val="24"/>
        </w:rPr>
      </w:pPr>
      <w:r>
        <w:rPr>
          <w:rFonts w:hint="default" w:ascii="Times New Roman" w:hAnsi="Times New Roman" w:cs="Times New Roman"/>
          <w:strike w:val="0"/>
          <w:dstrike w:val="0"/>
          <w:color w:val="auto"/>
          <w:sz w:val="24"/>
          <w:szCs w:val="24"/>
        </w:rPr>
        <w:t>To conduct a macro- and micro-environment analysis on Netflix</w:t>
      </w:r>
    </w:p>
    <w:p>
      <w:pPr>
        <w:numPr>
          <w:ilvl w:val="0"/>
          <w:numId w:val="1"/>
        </w:numPr>
        <w:spacing w:line="360" w:lineRule="auto"/>
        <w:ind w:left="420" w:leftChars="0" w:hanging="420" w:firstLineChars="0"/>
        <w:rPr>
          <w:rFonts w:hint="default" w:ascii="Times New Roman" w:hAnsi="Times New Roman" w:cs="Times New Roman"/>
          <w:strike w:val="0"/>
          <w:dstrike w:val="0"/>
          <w:color w:val="auto"/>
          <w:sz w:val="24"/>
          <w:szCs w:val="24"/>
        </w:rPr>
      </w:pPr>
      <w:r>
        <w:rPr>
          <w:rFonts w:hint="default" w:ascii="Times New Roman" w:hAnsi="Times New Roman" w:cs="Times New Roman"/>
          <w:strike w:val="0"/>
          <w:dstrike w:val="0"/>
          <w:color w:val="auto"/>
          <w:sz w:val="24"/>
          <w:szCs w:val="24"/>
        </w:rPr>
        <w:t>To identify the problem with the human resources management  process</w:t>
      </w:r>
    </w:p>
    <w:p>
      <w:pPr>
        <w:numPr>
          <w:ilvl w:val="0"/>
          <w:numId w:val="1"/>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To explore the new behaviour in the contemporary workplace</w:t>
      </w:r>
    </w:p>
    <w:p>
      <w:pPr>
        <w:numPr>
          <w:ilvl w:val="0"/>
          <w:numId w:val="1"/>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To analyse the new skills and abilities needed in the new environment</w:t>
      </w:r>
    </w:p>
    <w:p>
      <w:pPr>
        <w:numPr>
          <w:ilvl w:val="0"/>
          <w:numId w:val="1"/>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To recommend alternative human resources management options to Netflix</w:t>
      </w:r>
    </w:p>
    <w:p>
      <w:pPr>
        <w:numPr>
          <w:ilvl w:val="0"/>
          <w:numId w:val="0"/>
        </w:numPr>
        <w:spacing w:line="360" w:lineRule="auto"/>
        <w:rPr>
          <w:rFonts w:hint="default" w:ascii="Times New Roman" w:hAnsi="Times New Roman" w:cs="Times New Roman"/>
          <w:color w:val="auto"/>
          <w:sz w:val="24"/>
          <w:szCs w:val="24"/>
        </w:rPr>
      </w:pPr>
    </w:p>
    <w:p>
      <w:pPr>
        <w:pStyle w:val="3"/>
        <w:bidi w:val="0"/>
        <w:spacing w:line="360" w:lineRule="auto"/>
        <w:rPr>
          <w:rFonts w:hint="default" w:ascii="Times New Roman" w:hAnsi="Times New Roman" w:cs="Times New Roman"/>
          <w:b/>
          <w:sz w:val="28"/>
          <w:szCs w:val="28"/>
        </w:rPr>
      </w:pPr>
      <w:bookmarkStart w:id="20" w:name="_Toc1250846493_WPSOffice_Level2"/>
      <w:r>
        <w:rPr>
          <w:rFonts w:hint="default" w:ascii="Times New Roman" w:hAnsi="Times New Roman" w:cs="Times New Roman"/>
          <w:b/>
          <w:sz w:val="28"/>
          <w:szCs w:val="28"/>
        </w:rPr>
        <w:t>2.2 Rational</w:t>
      </w:r>
      <w:bookmarkEnd w:id="20"/>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necessity of the project arises from the consistent change of the external environment and problems with internal management approaches. In order to have a deep understanding of the emergency of the project, there are two frameworks available for macro- and micro-environment analysis which PESTLE and SWOT model correspondingly (Doyle, 2011; Allen, 2008). Hence, t</w:t>
      </w:r>
      <w:r>
        <w:rPr>
          <w:rFonts w:hint="default" w:ascii="Times New Roman" w:hAnsi="Times New Roman" w:cs="Times New Roman"/>
          <w:b w:val="0"/>
          <w:bCs w:val="0"/>
          <w:color w:val="auto"/>
          <w:sz w:val="24"/>
          <w:szCs w:val="24"/>
        </w:rPr>
        <w:t xml:space="preserve">he PESTLE model </w:t>
      </w:r>
      <w:r>
        <w:rPr>
          <w:rFonts w:hint="default" w:ascii="Times New Roman" w:hAnsi="Times New Roman" w:cs="Times New Roman"/>
          <w:sz w:val="24"/>
          <w:szCs w:val="24"/>
        </w:rPr>
        <w:t>will be used to analyse the macro-environment fronted by the HR function, and</w:t>
      </w:r>
      <w:r>
        <w:rPr>
          <w:rFonts w:hint="default" w:ascii="Times New Roman" w:hAnsi="Times New Roman" w:cs="Times New Roman"/>
          <w:b w:val="0"/>
          <w:bCs w:val="0"/>
          <w:color w:val="auto"/>
          <w:sz w:val="24"/>
          <w:szCs w:val="24"/>
        </w:rPr>
        <w:t xml:space="preserve"> the SWOT model will be u</w:t>
      </w:r>
      <w:r>
        <w:rPr>
          <w:rFonts w:hint="default" w:ascii="Times New Roman" w:hAnsi="Times New Roman" w:cs="Times New Roman"/>
          <w:sz w:val="24"/>
          <w:szCs w:val="24"/>
        </w:rPr>
        <w:t>sed to explore the conditions in Netflix.</w:t>
      </w:r>
    </w:p>
    <w:p>
      <w:pPr>
        <w:numPr>
          <w:ilvl w:val="0"/>
          <w:numId w:val="0"/>
        </w:numPr>
        <w:spacing w:line="360" w:lineRule="auto"/>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rPr>
      </w:pPr>
      <w:bookmarkStart w:id="21" w:name="_Toc84021396_WPSOffice_Level3"/>
      <w:r>
        <w:rPr>
          <w:rFonts w:hint="default" w:ascii="Times New Roman" w:hAnsi="Times New Roman" w:cs="Times New Roman"/>
          <w:sz w:val="24"/>
          <w:szCs w:val="24"/>
        </w:rPr>
        <w:t>2.2.1 External Environment</w:t>
      </w:r>
      <w:bookmarkEnd w:id="21"/>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21st century is called the VUCA world which full of unfathomable changes and complexity. According to Bennett&amp;Lemoine (2014), the fluctuation that VUCA brings to the world can be read as the explosion of information; ambiguity between cause and effect; and unpredictable trends. Besides, five main megatrends influence the VUCA world. Specifically, the new generation of millennials has led to the new expectation for working condition (Knight, 2014); females account a higher workforce proportion; people can work remotely (</w:t>
      </w:r>
      <w:r>
        <w:rPr>
          <w:rFonts w:hint="default" w:ascii="Times New Roman" w:hAnsi="Times New Roman" w:cs="Times New Roman"/>
          <w:b w:val="0"/>
          <w:bCs/>
          <w:sz w:val="24"/>
          <w:szCs w:val="24"/>
        </w:rPr>
        <w:t>Beatson, 2019)</w:t>
      </w:r>
      <w:r>
        <w:rPr>
          <w:rFonts w:hint="default" w:ascii="Times New Roman" w:hAnsi="Times New Roman" w:cs="Times New Roman"/>
          <w:color w:val="auto"/>
          <w:sz w:val="24"/>
          <w:szCs w:val="24"/>
        </w:rPr>
        <w:t>. In addition, the rise of technology is accompanied by the popularity of artificial intelligence. Therefore, the following table uses PESTLE to investigate the macro-environment of HR department:</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44"/>
        <w:gridCol w:w="4644"/>
      </w:tblGrid>
      <w:tr>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b/>
                <w:bCs/>
                <w:color w:val="FFFFFF"/>
                <w:sz w:val="24"/>
                <w:szCs w:val="24"/>
                <w:highlight w:val="none"/>
                <w:vertAlign w:val="baseline"/>
              </w:rPr>
            </w:pPr>
            <w:r>
              <w:rPr>
                <w:rFonts w:hint="default" w:ascii="Times New Roman" w:hAnsi="Times New Roman" w:cs="Times New Roman"/>
                <w:b/>
                <w:bCs/>
                <w:color w:val="FFFFFF"/>
                <w:sz w:val="24"/>
                <w:szCs w:val="24"/>
                <w:highlight w:val="none"/>
                <w:vertAlign w:val="baseline"/>
              </w:rPr>
              <w:t>Political Factor</w:t>
            </w:r>
          </w:p>
        </w:tc>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b/>
                <w:bCs/>
                <w:color w:val="FFFFFF"/>
                <w:sz w:val="24"/>
                <w:szCs w:val="24"/>
                <w:highlight w:val="none"/>
                <w:vertAlign w:val="baseline"/>
              </w:rPr>
            </w:pPr>
            <w:r>
              <w:rPr>
                <w:rFonts w:hint="default" w:ascii="Times New Roman" w:hAnsi="Times New Roman" w:cs="Times New Roman"/>
                <w:b/>
                <w:bCs/>
                <w:color w:val="FFFFFF"/>
                <w:sz w:val="24"/>
                <w:szCs w:val="24"/>
                <w:highlight w:val="none"/>
                <w:vertAlign w:val="baseline"/>
              </w:rPr>
              <w:t>Economic Factor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390" w:hRule="atLeast"/>
        </w:trPr>
        <w:tc>
          <w:tcPr>
            <w:tcW w:w="4644" w:type="dxa"/>
          </w:tcPr>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The shift toward new paradigms in HR (</w:t>
            </w:r>
            <w:r>
              <w:rPr>
                <w:rFonts w:hint="default" w:ascii="Times New Roman" w:hAnsi="Times New Roman" w:cs="Times New Roman"/>
                <w:b w:val="0"/>
                <w:bCs/>
                <w:sz w:val="22"/>
                <w:szCs w:val="22"/>
              </w:rPr>
              <w:t>Novicevic&amp;Harvey, 2004)</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A shift from collective bargaining to individual negotiations (</w:t>
            </w:r>
            <w:r>
              <w:rPr>
                <w:rFonts w:hint="default" w:ascii="Times New Roman" w:hAnsi="Times New Roman" w:cs="Times New Roman"/>
                <w:b w:val="0"/>
                <w:bCs/>
                <w:sz w:val="22"/>
                <w:szCs w:val="22"/>
              </w:rPr>
              <w:t>Novicevic&amp;Harvey, 2004)</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Lesser impact of trade unions (Sheen, 2015)</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National Minimum Wage rates (CIPD, 2018)</w:t>
            </w:r>
          </w:p>
        </w:tc>
        <w:tc>
          <w:tcPr>
            <w:tcW w:w="4644" w:type="dxa"/>
          </w:tcPr>
          <w:p>
            <w:pPr>
              <w:numPr>
                <w:ilvl w:val="0"/>
                <w:numId w:val="2"/>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Globalisation has changed the labour market (</w:t>
            </w:r>
            <w:r>
              <w:rPr>
                <w:rFonts w:hint="default" w:ascii="Times New Roman" w:hAnsi="Times New Roman" w:cs="Times New Roman"/>
                <w:color w:val="auto"/>
                <w:sz w:val="22"/>
                <w:szCs w:val="22"/>
              </w:rPr>
              <w:t xml:space="preserve">Uri-Dadush, 2012; </w:t>
            </w:r>
            <w:r>
              <w:rPr>
                <w:rFonts w:hint="default" w:ascii="Times New Roman" w:hAnsi="Times New Roman" w:cs="Times New Roman"/>
                <w:b w:val="0"/>
                <w:bCs/>
                <w:sz w:val="22"/>
                <w:szCs w:val="22"/>
              </w:rPr>
              <w:t>Bain, 2016</w:t>
            </w:r>
            <w:r>
              <w:rPr>
                <w:rFonts w:hint="default" w:ascii="Times New Roman" w:hAnsi="Times New Roman" w:cs="Times New Roman"/>
                <w:color w:val="auto"/>
                <w:sz w:val="22"/>
                <w:szCs w:val="22"/>
                <w:vertAlign w:val="baseline"/>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color w:val="FFFFFF"/>
                <w:sz w:val="24"/>
                <w:szCs w:val="24"/>
                <w:vertAlign w:val="baseline"/>
              </w:rPr>
            </w:pPr>
            <w:r>
              <w:rPr>
                <w:rFonts w:hint="default" w:ascii="Times New Roman" w:hAnsi="Times New Roman" w:cs="Times New Roman"/>
                <w:color w:val="FFFFFF"/>
                <w:sz w:val="24"/>
                <w:szCs w:val="24"/>
                <w:vertAlign w:val="baseline"/>
              </w:rPr>
              <w:t>Social Environment</w:t>
            </w:r>
          </w:p>
        </w:tc>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color w:val="FFFFFF"/>
                <w:sz w:val="24"/>
                <w:szCs w:val="24"/>
                <w:vertAlign w:val="baseline"/>
              </w:rPr>
            </w:pPr>
            <w:r>
              <w:rPr>
                <w:rFonts w:hint="default" w:ascii="Times New Roman" w:hAnsi="Times New Roman" w:cs="Times New Roman"/>
                <w:color w:val="FFFFFF"/>
                <w:sz w:val="24"/>
                <w:szCs w:val="24"/>
                <w:vertAlign w:val="baseline"/>
              </w:rPr>
              <w:t>Technology Environment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925" w:hRule="atLeast"/>
        </w:trPr>
        <w:tc>
          <w:tcPr>
            <w:tcW w:w="4644" w:type="dxa"/>
          </w:tcPr>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New generation (Millennials) bring new working attitudes and career expectations (Social Attitudes of Young People Community of Interest, 2014)</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A new pattern of work-life balance (McCartney, 2019)</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More connection between agents (Uhl-Bien et al., 2007)</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A more complex and unpredictable environment</w:t>
            </w:r>
          </w:p>
        </w:tc>
        <w:tc>
          <w:tcPr>
            <w:tcW w:w="4644" w:type="dxa"/>
          </w:tcPr>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Artificial intelligence simplifies communication and makes it faster, causing easier mobility (Remote work)</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Information overload</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Replacing some positions and the emerging of new types of work - Gig economy (Brinkley, 2017)</w:t>
            </w:r>
          </w:p>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Employees can utilise the internet tag to put pressure on the organisation. For instance, complaining about the cons of an organisation on the internet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81" w:hRule="atLeast"/>
        </w:trPr>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ind w:leftChars="0"/>
              <w:rPr>
                <w:rFonts w:hint="default" w:ascii="Times New Roman" w:hAnsi="Times New Roman" w:cs="Times New Roman"/>
                <w:b/>
                <w:bCs/>
                <w:color w:val="FFFFFF"/>
                <w:sz w:val="24"/>
                <w:szCs w:val="24"/>
                <w:vertAlign w:val="baseline"/>
              </w:rPr>
            </w:pPr>
            <w:r>
              <w:rPr>
                <w:rFonts w:hint="default" w:ascii="Times New Roman" w:hAnsi="Times New Roman" w:cs="Times New Roman"/>
                <w:b/>
                <w:bCs/>
                <w:color w:val="FFFFFF"/>
                <w:sz w:val="24"/>
                <w:szCs w:val="24"/>
                <w:vertAlign w:val="baseline"/>
              </w:rPr>
              <w:t>Legal Factor</w:t>
            </w:r>
          </w:p>
        </w:tc>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b/>
                <w:bCs/>
                <w:color w:val="FFFFFF"/>
                <w:sz w:val="24"/>
                <w:szCs w:val="24"/>
                <w:vertAlign w:val="baseline"/>
              </w:rPr>
            </w:pPr>
            <w:r>
              <w:rPr>
                <w:rFonts w:hint="default" w:ascii="Times New Roman" w:hAnsi="Times New Roman" w:cs="Times New Roman"/>
                <w:b/>
                <w:bCs/>
                <w:color w:val="FFFFFF"/>
                <w:sz w:val="24"/>
                <w:szCs w:val="24"/>
                <w:vertAlign w:val="baseline"/>
              </w:rPr>
              <w:t>Environmental Factor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688" w:hRule="atLeast"/>
        </w:trPr>
        <w:tc>
          <w:tcPr>
            <w:tcW w:w="4644" w:type="dxa"/>
          </w:tcPr>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More emphasis on confidentiality and  publishing General Data Protection Regulation (GOV.UK, 2018), designed to protect the data of the customer and employees, as well as forcing organisation to obey the regulations</w:t>
            </w:r>
          </w:p>
        </w:tc>
        <w:tc>
          <w:tcPr>
            <w:tcW w:w="4644" w:type="dxa"/>
          </w:tcPr>
          <w:p>
            <w:pPr>
              <w:numPr>
                <w:ilvl w:val="0"/>
                <w:numId w:val="1"/>
              </w:numPr>
              <w:spacing w:line="240" w:lineRule="auto"/>
              <w:ind w:left="420" w:leftChars="0" w:hanging="420" w:firstLineChars="0"/>
              <w:rPr>
                <w:rFonts w:hint="default" w:ascii="Times New Roman" w:hAnsi="Times New Roman" w:cs="Times New Roman"/>
                <w:color w:val="auto"/>
                <w:sz w:val="22"/>
                <w:szCs w:val="22"/>
                <w:vertAlign w:val="baseline"/>
              </w:rPr>
            </w:pPr>
            <w:r>
              <w:rPr>
                <w:rFonts w:hint="default" w:ascii="Times New Roman" w:hAnsi="Times New Roman" w:cs="Times New Roman"/>
                <w:color w:val="auto"/>
                <w:sz w:val="22"/>
                <w:szCs w:val="22"/>
                <w:vertAlign w:val="baseline"/>
              </w:rPr>
              <w:t>Focus on sustainable development and corporate social responsibility</w:t>
            </w:r>
          </w:p>
        </w:tc>
      </w:tr>
    </w:tbl>
    <w:p>
      <w:pPr>
        <w:numPr>
          <w:ilvl w:val="0"/>
          <w:numId w:val="0"/>
        </w:numPr>
        <w:spacing w:line="360" w:lineRule="auto"/>
        <w:rPr>
          <w:rFonts w:hint="default" w:ascii="Times New Roman" w:hAnsi="Times New Roman" w:cs="Times New Roman"/>
          <w:sz w:val="24"/>
          <w:szCs w:val="24"/>
        </w:rPr>
      </w:pPr>
    </w:p>
    <w:p>
      <w:pPr>
        <w:pStyle w:val="4"/>
        <w:bidi w:val="0"/>
        <w:spacing w:line="360" w:lineRule="auto"/>
        <w:rPr>
          <w:rFonts w:hint="default" w:ascii="Times New Roman" w:hAnsi="Times New Roman" w:cs="Times New Roman"/>
          <w:sz w:val="24"/>
          <w:szCs w:val="24"/>
        </w:rPr>
      </w:pPr>
      <w:bookmarkStart w:id="22" w:name="_Toc1250846493_WPSOffice_Level3"/>
      <w:r>
        <w:rPr>
          <w:rFonts w:hint="default" w:ascii="Times New Roman" w:hAnsi="Times New Roman" w:cs="Times New Roman"/>
          <w:sz w:val="24"/>
          <w:szCs w:val="24"/>
        </w:rPr>
        <w:t>2.2.2 Internal Environment</w:t>
      </w:r>
      <w:bookmarkEnd w:id="22"/>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 problems within the organisation can be divided into four categories as is illustrated in the SWOT analysis that can be found within Appendix I. However, specific issues include:</w:t>
      </w:r>
    </w:p>
    <w:p>
      <w:pPr>
        <w:numPr>
          <w:ilvl w:val="0"/>
          <w:numId w:val="3"/>
        </w:numPr>
        <w:spacing w:line="360" w:lineRule="auto"/>
        <w:rPr>
          <w:rFonts w:hint="default" w:ascii="Times New Roman" w:hAnsi="Times New Roman" w:cs="Times New Roman"/>
          <w:sz w:val="24"/>
          <w:szCs w:val="24"/>
          <w:u w:val="single"/>
        </w:rPr>
      </w:pPr>
      <w:r>
        <w:rPr>
          <w:rFonts w:hint="default" w:ascii="Times New Roman" w:hAnsi="Times New Roman" w:cs="Times New Roman"/>
          <w:sz w:val="24"/>
          <w:szCs w:val="24"/>
          <w:u w:val="single"/>
        </w:rPr>
        <w:t>. Human resources management issues</w:t>
      </w:r>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Most HRM issues are stem from the ‘culture of fear’ that Netflix has always advocated (Netflix, 2019). At Netflix, there is a unique approach to determine whether employees should be stay, called ‘The Keeper test’. That is, the test asks managers whether they will struggle to keep the employee in the test. Wharton Magazine (2019) points out that although this strategy can create a high performance for Netflix, it will also lead to a negative atmosphere continuing to percolate because employees are at risk of being fired at any time (Ashforth, 1994; Flint et al., 2018; Glassdoor, 2020; Mail Online., 2018). According to a supported survey by the Wall Street Journal (2018), seventy employees stated that the ‘Keeper test’ always puts employee under the pressure, and it is difficult for the employee to feel safe.</w:t>
      </w:r>
    </w:p>
    <w:p>
      <w:pPr>
        <w:numPr>
          <w:ilvl w:val="0"/>
          <w:numId w:val="0"/>
        </w:numPr>
        <w:spacing w:line="360" w:lineRule="auto"/>
        <w:rPr>
          <w:rFonts w:hint="default" w:ascii="Times New Roman" w:hAnsi="Times New Roman" w:cs="Times New Roman"/>
          <w:sz w:val="24"/>
          <w:szCs w:val="24"/>
        </w:rPr>
      </w:pPr>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Furthermore, there are several voices about Netflix which claims that the human resources management department is the weak link (Gulati, 2018; McCord, 2014) within the organization since they only focus on recruitment and neglect the cultural construction (referred the comments from job website, 2018). One aim of Netflix’s organisational culture (Netflix, 2019) is that ‘encourage independent decision-making by employees’, indicating that Netflix highly focuses highly on freedom, requiring employees to independently prioritize and identify the solutions, which might make the employees feel less guidance about the operation process.</w:t>
      </w:r>
    </w:p>
    <w:p>
      <w:pPr>
        <w:numPr>
          <w:ilvl w:val="0"/>
          <w:numId w:val="0"/>
        </w:numPr>
        <w:spacing w:line="360" w:lineRule="auto"/>
        <w:rPr>
          <w:rFonts w:hint="default" w:ascii="Times New Roman" w:hAnsi="Times New Roman" w:cs="Times New Roman"/>
          <w:sz w:val="24"/>
          <w:szCs w:val="24"/>
        </w:rPr>
      </w:pPr>
    </w:p>
    <w:p>
      <w:pPr>
        <w:numPr>
          <w:ilvl w:val="0"/>
          <w:numId w:val="3"/>
        </w:numPr>
        <w:spacing w:line="360" w:lineRule="auto"/>
        <w:rPr>
          <w:rFonts w:hint="default" w:ascii="Times New Roman" w:hAnsi="Times New Roman" w:cs="Times New Roman"/>
          <w:sz w:val="24"/>
          <w:szCs w:val="24"/>
          <w:u w:val="single"/>
        </w:rPr>
      </w:pPr>
      <w:r>
        <w:rPr>
          <w:rFonts w:hint="default" w:ascii="Times New Roman" w:hAnsi="Times New Roman" w:cs="Times New Roman"/>
          <w:sz w:val="24"/>
          <w:szCs w:val="24"/>
          <w:u w:val="single"/>
        </w:rPr>
        <w:t>. Growing debt burden</w:t>
      </w:r>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 xml:space="preserve">An effective HRM approach can help enterprises to shrink administrative costs. Denning (2018) points out that both the culture of constant feedback and </w:t>
      </w:r>
      <w:r>
        <w:rPr>
          <w:rFonts w:hint="default" w:ascii="Times New Roman" w:hAnsi="Times New Roman" w:cs="Times New Roman"/>
          <w:b w:val="0"/>
          <w:bCs w:val="0"/>
          <w:color w:val="auto"/>
          <w:sz w:val="24"/>
          <w:szCs w:val="24"/>
        </w:rPr>
        <w:t xml:space="preserve">‘The Keeper test’ </w:t>
      </w:r>
      <w:r>
        <w:rPr>
          <w:rFonts w:hint="default" w:ascii="Times New Roman" w:hAnsi="Times New Roman" w:cs="Times New Roman"/>
          <w:sz w:val="24"/>
          <w:szCs w:val="24"/>
        </w:rPr>
        <w:t>have consumed lots of money and energy,and, as outlined in the SWOT analysis (Appendix I) Netflix has already shouldered approximately $20 billion in debt (Thompson, 2019), adding to the embarrassing situation for the organisation. Therefore, it is urgent for Netflix to improve the management process, which might contribute to cost reduction and labour saving, by mastering the rational use of artificial intelligence (</w:t>
      </w:r>
      <w:r>
        <w:rPr>
          <w:rFonts w:hint="default" w:ascii="Times New Roman" w:hAnsi="Times New Roman" w:cs="Times New Roman"/>
          <w:b w:val="0"/>
          <w:bCs/>
          <w:sz w:val="24"/>
          <w:szCs w:val="24"/>
        </w:rPr>
        <w:t>Weeks, 2018)</w:t>
      </w:r>
      <w:r>
        <w:rPr>
          <w:rFonts w:hint="default" w:ascii="Times New Roman" w:hAnsi="Times New Roman" w:cs="Times New Roman"/>
          <w:sz w:val="24"/>
          <w:szCs w:val="24"/>
        </w:rPr>
        <w:t>.</w:t>
      </w:r>
    </w:p>
    <w:p>
      <w:pPr>
        <w:numPr>
          <w:ilvl w:val="0"/>
          <w:numId w:val="0"/>
        </w:numPr>
        <w:spacing w:line="360" w:lineRule="auto"/>
        <w:rPr>
          <w:rFonts w:hint="default" w:ascii="Times New Roman" w:hAnsi="Times New Roman" w:cs="Times New Roman"/>
          <w:sz w:val="24"/>
          <w:szCs w:val="24"/>
        </w:rPr>
      </w:pPr>
    </w:p>
    <w:p>
      <w:pPr>
        <w:numPr>
          <w:ilvl w:val="0"/>
          <w:numId w:val="3"/>
        </w:numPr>
        <w:spacing w:line="360" w:lineRule="auto"/>
        <w:rPr>
          <w:rFonts w:hint="default" w:ascii="Times New Roman" w:hAnsi="Times New Roman" w:cs="Times New Roman"/>
          <w:sz w:val="24"/>
          <w:szCs w:val="24"/>
          <w:u w:val="single"/>
        </w:rPr>
      </w:pPr>
      <w:r>
        <w:rPr>
          <w:rFonts w:hint="default" w:ascii="Times New Roman" w:hAnsi="Times New Roman" w:cs="Times New Roman"/>
          <w:sz w:val="24"/>
          <w:szCs w:val="24"/>
          <w:u w:val="single"/>
        </w:rPr>
        <w:t>. Increasingly complex environment</w:t>
      </w:r>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According to figure 1, the number of employees in Netflix between 2015 and 2019 has nearly doubled from 3,500 to 8,600, meaning that the HR department has had to face more complex workloads and serious challenges than ever before, it is necessary, therefore, for Netflix to enhance their HRM process so that will not be defeated by future complications.</w:t>
      </w:r>
    </w:p>
    <w:p>
      <w:pPr>
        <w:numPr>
          <w:ilvl w:val="0"/>
          <w:numId w:val="0"/>
        </w:numPr>
        <w:spacing w:line="360" w:lineRule="auto"/>
        <w:rPr>
          <w:rFonts w:hint="default" w:ascii="Times New Roman" w:hAnsi="Times New Roman" w:cs="Times New Roman"/>
          <w:sz w:val="24"/>
          <w:szCs w:val="24"/>
        </w:rPr>
      </w:pPr>
    </w:p>
    <w:p>
      <w:pPr>
        <w:numPr>
          <w:ilvl w:val="0"/>
          <w:numId w:val="0"/>
        </w:numPr>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drawing>
          <wp:inline distT="0" distB="0" distL="114300" distR="114300">
            <wp:extent cx="4617720" cy="2821940"/>
            <wp:effectExtent l="0" t="0" r="5080" b="22860"/>
            <wp:docPr id="2" name="图片 2" descr="Netflix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Netflix1"/>
                    <pic:cNvPicPr>
                      <a:picLocks noChangeAspect="1"/>
                    </pic:cNvPicPr>
                  </pic:nvPicPr>
                  <pic:blipFill>
                    <a:blip r:embed="rId7"/>
                    <a:stretch>
                      <a:fillRect/>
                    </a:stretch>
                  </pic:blipFill>
                  <pic:spPr>
                    <a:xfrm>
                      <a:off x="0" y="0"/>
                      <a:ext cx="4617720" cy="2821940"/>
                    </a:xfrm>
                    <a:prstGeom prst="rect">
                      <a:avLst/>
                    </a:prstGeom>
                  </pic:spPr>
                </pic:pic>
              </a:graphicData>
            </a:graphic>
          </wp:inline>
        </w:drawing>
      </w:r>
    </w:p>
    <w:p>
      <w:pPr>
        <w:numPr>
          <w:ilvl w:val="0"/>
          <w:numId w:val="0"/>
        </w:numPr>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Figure 1-The employee count of Netflix from 2015 to 2019</w:t>
      </w:r>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(Source: Statista, 2020)</w:t>
      </w:r>
    </w:p>
    <w:p>
      <w:pPr>
        <w:numPr>
          <w:ilvl w:val="0"/>
          <w:numId w:val="0"/>
        </w:numPr>
        <w:spacing w:line="360" w:lineRule="auto"/>
        <w:rPr>
          <w:rFonts w:hint="default" w:ascii="Times New Roman" w:hAnsi="Times New Roman" w:cs="Times New Roman"/>
          <w:sz w:val="24"/>
          <w:szCs w:val="24"/>
        </w:rPr>
      </w:pPr>
    </w:p>
    <w:p>
      <w:pPr>
        <w:numPr>
          <w:ilvl w:val="0"/>
          <w:numId w:val="0"/>
        </w:numPr>
        <w:spacing w:line="360" w:lineRule="auto"/>
        <w:rPr>
          <w:rFonts w:hint="default" w:ascii="Times New Roman" w:hAnsi="Times New Roman" w:cs="Times New Roman"/>
          <w:sz w:val="24"/>
          <w:szCs w:val="24"/>
        </w:rPr>
      </w:pPr>
      <w:r>
        <w:rPr>
          <w:rFonts w:hint="default" w:ascii="Times New Roman" w:hAnsi="Times New Roman" w:cs="Times New Roman"/>
          <w:sz w:val="24"/>
          <w:szCs w:val="24"/>
        </w:rPr>
        <w:t>These existing problems illustrate the need for improvements in the current human resources management approach.</w:t>
      </w:r>
    </w:p>
    <w:p>
      <w:pPr>
        <w:numPr>
          <w:ilvl w:val="0"/>
          <w:numId w:val="0"/>
        </w:numPr>
        <w:spacing w:line="360" w:lineRule="auto"/>
        <w:rPr>
          <w:rFonts w:hint="default" w:ascii="Times New Roman" w:hAnsi="Times New Roman" w:cs="Times New Roman"/>
          <w:sz w:val="24"/>
          <w:szCs w:val="24"/>
        </w:rPr>
      </w:pPr>
    </w:p>
    <w:p>
      <w:pPr>
        <w:numPr>
          <w:ilvl w:val="0"/>
          <w:numId w:val="0"/>
        </w:num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b/>
          <w:sz w:val="32"/>
          <w:szCs w:val="32"/>
        </w:rPr>
      </w:pPr>
      <w:bookmarkStart w:id="23" w:name="_Toc1250846493_WPSOffice_Level1"/>
      <w:r>
        <w:rPr>
          <w:rFonts w:hint="default" w:ascii="Times New Roman" w:hAnsi="Times New Roman" w:cs="Times New Roman"/>
          <w:b/>
          <w:sz w:val="32"/>
          <w:szCs w:val="32"/>
        </w:rPr>
        <w:t>3.0 Business Case and Project Approach</w:t>
      </w:r>
      <w:bookmarkEnd w:id="23"/>
    </w:p>
    <w:p>
      <w:pPr>
        <w:pStyle w:val="3"/>
        <w:bidi w:val="0"/>
        <w:spacing w:line="360" w:lineRule="auto"/>
        <w:rPr>
          <w:rFonts w:hint="default" w:ascii="Times New Roman" w:hAnsi="Times New Roman" w:cs="Times New Roman"/>
          <w:color w:val="auto"/>
          <w:sz w:val="24"/>
          <w:szCs w:val="24"/>
        </w:rPr>
      </w:pPr>
      <w:bookmarkStart w:id="24" w:name="_Toc1259587368_WPSOffice_Level2"/>
      <w:r>
        <w:rPr>
          <w:rFonts w:hint="default" w:ascii="Times New Roman" w:hAnsi="Times New Roman" w:cs="Times New Roman"/>
          <w:b/>
          <w:color w:val="auto"/>
          <w:sz w:val="28"/>
          <w:szCs w:val="28"/>
        </w:rPr>
        <w:t>3.1 Benefits to the Organisation</w:t>
      </w:r>
      <w:bookmarkEnd w:id="24"/>
    </w:p>
    <w:p>
      <w:pPr>
        <w:numPr>
          <w:ilvl w:val="0"/>
          <w:numId w:val="1"/>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Primarily, through an analysis of the situation of the company, Netflix can be helped to focus on the advantages, and can improve the competitiveness of the company.</w:t>
      </w:r>
    </w:p>
    <w:p>
      <w:pPr>
        <w:numPr>
          <w:ilvl w:val="0"/>
          <w:numId w:val="1"/>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Modifying the leadership of Netflix can help leaders and managers to learn new management approaches and styles, so that Netflix will benefit from management efficiency to create an organizational climate more appropriate for the 21st century.</w:t>
      </w:r>
    </w:p>
    <w:p>
      <w:pPr>
        <w:numPr>
          <w:ilvl w:val="0"/>
          <w:numId w:val="1"/>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Netflix will benefit from recruitment section, since a good leadership style can help organizations create a good atmosphere that attracts more highly skilled employees.</w:t>
      </w:r>
    </w:p>
    <w:p>
      <w:pPr>
        <w:numPr>
          <w:ilvl w:val="0"/>
          <w:numId w:val="1"/>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Through improving management efficiency, Netflix can decrease administrative cost, which benefits the reduction of the debt burden.</w:t>
      </w:r>
    </w:p>
    <w:p>
      <w:pPr>
        <w:numPr>
          <w:ilvl w:val="0"/>
          <w:numId w:val="0"/>
        </w:numPr>
        <w:spacing w:line="360" w:lineRule="auto"/>
        <w:rPr>
          <w:rFonts w:hint="default" w:ascii="Times New Roman" w:hAnsi="Times New Roman" w:cs="Times New Roman"/>
          <w:color w:val="auto"/>
          <w:sz w:val="24"/>
          <w:szCs w:val="24"/>
        </w:rPr>
      </w:pPr>
    </w:p>
    <w:p>
      <w:pPr>
        <w:pStyle w:val="3"/>
        <w:bidi w:val="0"/>
        <w:spacing w:line="360" w:lineRule="auto"/>
        <w:rPr>
          <w:rFonts w:hint="default" w:ascii="Times New Roman" w:hAnsi="Times New Roman" w:cs="Times New Roman"/>
          <w:b/>
          <w:sz w:val="28"/>
          <w:szCs w:val="28"/>
        </w:rPr>
      </w:pPr>
      <w:bookmarkStart w:id="25" w:name="_Toc2138585497_WPSOffice_Level2"/>
      <w:r>
        <w:rPr>
          <w:rFonts w:hint="default" w:ascii="Times New Roman" w:hAnsi="Times New Roman" w:cs="Times New Roman"/>
          <w:b/>
          <w:sz w:val="28"/>
          <w:szCs w:val="28"/>
        </w:rPr>
        <w:t>3.2 Background Literature</w:t>
      </w:r>
      <w:bookmarkEnd w:id="25"/>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Deloitte Insights Report (2019) elaborates on the impact of megatrends on the human resources. The first trend was caused by a rise of technology, and it means the shift from jobs to superjobs (Schwartz et al., 2019) as the vocations in the future will be more data- and information-driven. In addition, this report also points out that development of leadership is a perennial issue, with the era shifting from industrial to a knowledge based era (Uhl-Bien et al., 2007). Hence, leaders should embrace the qualities of the VUCA world, trying to understand and cognitive the AI-driven technologies.</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As noted by Uhl-Bien et al (2007), the traditional leadership paradigm is no longer suitable for contemporary society, which has the characteristics of being technology-driven, having deregulation and globalisation, all of which have formed the new competitive situation (Halal and Taylor, 1999). This complex science suggests that organisations can increase their complexity to to match the external environment level, Ashby (1960) calls it the law of requisite variety. Likewise, the contemporary organisation should be regarded as a complex adaptive system (CAS), because the organisational boundary is dynamic and inter-infiltrate (Cilliers, 2001) and the agents within the system are interacting with each other and the environment.</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However, </w:t>
      </w:r>
      <w:r>
        <w:rPr>
          <w:rFonts w:hint="default" w:ascii="Times New Roman" w:hAnsi="Times New Roman" w:cs="Times New Roman"/>
          <w:b w:val="0"/>
          <w:bCs/>
          <w:sz w:val="24"/>
          <w:szCs w:val="24"/>
        </w:rPr>
        <w:t>Kirk&amp;Kirk (1954)</w:t>
      </w:r>
      <w:r>
        <w:rPr>
          <w:rFonts w:hint="default" w:ascii="Times New Roman" w:hAnsi="Times New Roman" w:cs="Times New Roman"/>
          <w:color w:val="auto"/>
          <w:sz w:val="24"/>
          <w:szCs w:val="24"/>
        </w:rPr>
        <w:t xml:space="preserve"> believes that ‘people never step into the same river twice’, indicating the world is always change, therefore, people need to be ready for change. Cameron and Green (2012) provided new perspectives about conduct changing, i.e., change management approach, leadership style&amp;roles, metaphors paradigms mindsets, which provides different ideas to start to take a revolution.</w:t>
      </w:r>
    </w:p>
    <w:p>
      <w:pPr>
        <w:numPr>
          <w:ilvl w:val="0"/>
          <w:numId w:val="0"/>
        </w:numPr>
        <w:spacing w:line="360" w:lineRule="auto"/>
        <w:rPr>
          <w:rFonts w:hint="default" w:ascii="Times New Roman" w:hAnsi="Times New Roman" w:cs="Times New Roman"/>
          <w:color w:val="auto"/>
          <w:sz w:val="24"/>
          <w:szCs w:val="24"/>
        </w:rPr>
      </w:pPr>
    </w:p>
    <w:p>
      <w:pPr>
        <w:pStyle w:val="3"/>
        <w:bidi w:val="0"/>
        <w:spacing w:line="360" w:lineRule="auto"/>
        <w:rPr>
          <w:rFonts w:hint="default" w:ascii="Times New Roman" w:hAnsi="Times New Roman" w:cs="Times New Roman"/>
          <w:b/>
          <w:sz w:val="28"/>
          <w:szCs w:val="28"/>
        </w:rPr>
      </w:pPr>
      <w:bookmarkStart w:id="26" w:name="_Toc772648240_WPSOffice_Level2"/>
      <w:r>
        <w:rPr>
          <w:rFonts w:hint="default" w:ascii="Times New Roman" w:hAnsi="Times New Roman" w:cs="Times New Roman"/>
          <w:b/>
          <w:sz w:val="28"/>
          <w:szCs w:val="28"/>
        </w:rPr>
        <w:t>3.3 Potential Risks of the Project</w:t>
      </w:r>
      <w:bookmarkEnd w:id="26"/>
    </w:p>
    <w:p>
      <w:pPr>
        <w:numPr>
          <w:ilvl w:val="0"/>
          <w:numId w:val="4"/>
        </w:numPr>
        <w:spacing w:line="360" w:lineRule="auto"/>
        <w:rPr>
          <w:rFonts w:hint="default" w:ascii="Times New Roman" w:hAnsi="Times New Roman" w:cs="Times New Roman"/>
          <w:b w:val="0"/>
          <w:bCs w:val="0"/>
          <w:color w:val="auto"/>
          <w:sz w:val="24"/>
          <w:szCs w:val="24"/>
        </w:rPr>
      </w:pPr>
      <w:r>
        <w:rPr>
          <w:rFonts w:hint="default" w:ascii="Times New Roman" w:hAnsi="Times New Roman" w:cs="Times New Roman"/>
          <w:b w:val="0"/>
          <w:bCs w:val="0"/>
          <w:color w:val="auto"/>
          <w:sz w:val="24"/>
          <w:szCs w:val="24"/>
          <w:u w:val="single"/>
        </w:rPr>
        <w:t>Strategic risk:</w:t>
      </w:r>
      <w:r>
        <w:rPr>
          <w:rFonts w:hint="default" w:ascii="Times New Roman" w:hAnsi="Times New Roman" w:cs="Times New Roman"/>
          <w:color w:val="auto"/>
          <w:sz w:val="24"/>
          <w:szCs w:val="24"/>
        </w:rPr>
        <w:t xml:space="preserve"> Owing to the fact that the concept of ‘human resources management’ is beginning to gain attention recently, and many theories are relatively new concepts, which means there are few case references for business, which might cause the failure of the project.</w:t>
      </w:r>
    </w:p>
    <w:p>
      <w:pPr>
        <w:numPr>
          <w:ilvl w:val="0"/>
          <w:numId w:val="4"/>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u w:val="single"/>
        </w:rPr>
        <w:t>Cost risk:</w:t>
      </w:r>
      <w:r>
        <w:rPr>
          <w:rFonts w:hint="default" w:ascii="Times New Roman" w:hAnsi="Times New Roman" w:cs="Times New Roman"/>
          <w:color w:val="auto"/>
          <w:sz w:val="24"/>
          <w:szCs w:val="24"/>
        </w:rPr>
        <w:t xml:space="preserve"> Generally, an escalation of project costs due to</w:t>
      </w:r>
      <w:r>
        <w:rPr>
          <w:rFonts w:hint="default" w:ascii="Times New Roman" w:hAnsi="Times New Roman" w:cs="Times New Roman"/>
          <w:color w:val="auto"/>
          <w:sz w:val="24"/>
          <w:szCs w:val="24"/>
        </w:rPr>
        <w:t xml:space="preserve"> insufficient accuracy of</w:t>
      </w:r>
      <w:r>
        <w:rPr>
          <w:rFonts w:hint="default" w:ascii="Times New Roman" w:hAnsi="Times New Roman" w:cs="Times New Roman"/>
          <w:color w:val="auto"/>
          <w:sz w:val="24"/>
          <w:szCs w:val="24"/>
        </w:rPr>
        <w:t xml:space="preserve"> cost estimat</w:t>
      </w:r>
      <w:r>
        <w:rPr>
          <w:rFonts w:hint="default" w:ascii="Times New Roman" w:hAnsi="Times New Roman" w:cs="Times New Roman"/>
          <w:color w:val="auto"/>
          <w:sz w:val="24"/>
          <w:szCs w:val="24"/>
        </w:rPr>
        <w:t>es</w:t>
      </w:r>
      <w:r>
        <w:rPr>
          <w:rFonts w:hint="default" w:ascii="Times New Roman" w:hAnsi="Times New Roman" w:cs="Times New Roman"/>
          <w:color w:val="auto"/>
          <w:sz w:val="24"/>
          <w:szCs w:val="24"/>
        </w:rPr>
        <w:t xml:space="preserve"> and the scope of the costs to </w:t>
      </w:r>
      <w:r>
        <w:rPr>
          <w:rFonts w:hint="default" w:ascii="Times New Roman" w:hAnsi="Times New Roman" w:cs="Times New Roman"/>
          <w:color w:val="auto"/>
          <w:sz w:val="24"/>
          <w:szCs w:val="24"/>
        </w:rPr>
        <w:t>increase</w:t>
      </w:r>
      <w:r>
        <w:rPr>
          <w:rFonts w:hint="default" w:ascii="Times New Roman" w:hAnsi="Times New Roman" w:cs="Times New Roman"/>
          <w:color w:val="auto"/>
          <w:sz w:val="24"/>
          <w:szCs w:val="24"/>
        </w:rPr>
        <w:t>, meanwhile, Netflix has a heavy debt, which might deteriorate that burden of organisation.</w:t>
      </w:r>
    </w:p>
    <w:p>
      <w:pPr>
        <w:numPr>
          <w:ilvl w:val="0"/>
          <w:numId w:val="4"/>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u w:val="single"/>
        </w:rPr>
        <w:t>Schedule risk:</w:t>
      </w:r>
      <w:r>
        <w:rPr>
          <w:rFonts w:hint="default" w:ascii="Times New Roman" w:hAnsi="Times New Roman" w:cs="Times New Roman"/>
          <w:color w:val="auto"/>
          <w:sz w:val="24"/>
          <w:szCs w:val="24"/>
        </w:rPr>
        <w:t xml:space="preserve"> The</w:t>
      </w:r>
      <w:r>
        <w:rPr>
          <w:rFonts w:hint="default" w:ascii="Times New Roman" w:hAnsi="Times New Roman" w:cs="Times New Roman"/>
          <w:color w:val="auto"/>
          <w:sz w:val="24"/>
          <w:szCs w:val="24"/>
        </w:rPr>
        <w:t xml:space="preserve"> project</w:t>
      </w:r>
      <w:r>
        <w:rPr>
          <w:rFonts w:hint="default" w:ascii="Times New Roman" w:hAnsi="Times New Roman" w:cs="Times New Roman"/>
          <w:color w:val="auto"/>
          <w:sz w:val="24"/>
          <w:szCs w:val="24"/>
        </w:rPr>
        <w:t xml:space="preserve"> </w:t>
      </w:r>
      <w:r>
        <w:rPr>
          <w:rFonts w:hint="default" w:ascii="Times New Roman" w:hAnsi="Times New Roman" w:cs="Times New Roman"/>
          <w:color w:val="auto"/>
          <w:sz w:val="24"/>
          <w:szCs w:val="24"/>
        </w:rPr>
        <w:t>might</w:t>
      </w:r>
      <w:r>
        <w:rPr>
          <w:rFonts w:hint="default" w:ascii="Times New Roman" w:hAnsi="Times New Roman" w:cs="Times New Roman"/>
          <w:color w:val="auto"/>
          <w:sz w:val="24"/>
          <w:szCs w:val="24"/>
        </w:rPr>
        <w:t xml:space="preserve"> take longer than </w:t>
      </w:r>
      <w:r>
        <w:rPr>
          <w:rFonts w:hint="default" w:ascii="Times New Roman" w:hAnsi="Times New Roman" w:cs="Times New Roman"/>
          <w:color w:val="auto"/>
          <w:sz w:val="24"/>
          <w:szCs w:val="24"/>
        </w:rPr>
        <w:t>predicted, which is a risk for the enterprise as the modification of the</w:t>
      </w:r>
      <w:r>
        <w:rPr>
          <w:rFonts w:hint="default" w:ascii="Times New Roman" w:hAnsi="Times New Roman" w:cs="Times New Roman"/>
          <w:color w:val="auto"/>
          <w:sz w:val="24"/>
          <w:szCs w:val="24"/>
        </w:rPr>
        <w:t xml:space="preserve"> schedule </w:t>
      </w:r>
      <w:r>
        <w:rPr>
          <w:rFonts w:hint="default" w:ascii="Times New Roman" w:hAnsi="Times New Roman" w:cs="Times New Roman"/>
          <w:color w:val="auto"/>
          <w:sz w:val="24"/>
          <w:szCs w:val="24"/>
        </w:rPr>
        <w:t>usually</w:t>
      </w:r>
      <w:r>
        <w:rPr>
          <w:rFonts w:hint="default" w:ascii="Times New Roman" w:hAnsi="Times New Roman" w:cs="Times New Roman"/>
          <w:color w:val="auto"/>
          <w:sz w:val="24"/>
          <w:szCs w:val="24"/>
        </w:rPr>
        <w:t xml:space="preserve"> increase costs</w:t>
      </w:r>
      <w:r>
        <w:rPr>
          <w:rFonts w:hint="default" w:ascii="Times New Roman" w:hAnsi="Times New Roman" w:cs="Times New Roman"/>
          <w:color w:val="auto"/>
          <w:sz w:val="24"/>
          <w:szCs w:val="24"/>
        </w:rPr>
        <w:t>, as well as</w:t>
      </w:r>
      <w:r>
        <w:rPr>
          <w:rFonts w:hint="default" w:ascii="Times New Roman" w:hAnsi="Times New Roman" w:cs="Times New Roman"/>
          <w:color w:val="auto"/>
          <w:sz w:val="24"/>
          <w:szCs w:val="24"/>
        </w:rPr>
        <w:t xml:space="preserve"> delay </w:t>
      </w:r>
      <w:r>
        <w:rPr>
          <w:rFonts w:hint="default" w:ascii="Times New Roman" w:hAnsi="Times New Roman" w:cs="Times New Roman"/>
          <w:color w:val="auto"/>
          <w:sz w:val="24"/>
          <w:szCs w:val="24"/>
        </w:rPr>
        <w:t>gaining the excepted</w:t>
      </w:r>
      <w:r>
        <w:rPr>
          <w:rFonts w:hint="default" w:ascii="Times New Roman" w:hAnsi="Times New Roman" w:cs="Times New Roman"/>
          <w:color w:val="auto"/>
          <w:sz w:val="24"/>
          <w:szCs w:val="24"/>
        </w:rPr>
        <w:t xml:space="preserve"> project benefits, with a possible loss of competitive advantage</w:t>
      </w:r>
      <w:r>
        <w:rPr>
          <w:rFonts w:hint="default" w:ascii="Times New Roman" w:hAnsi="Times New Roman" w:cs="Times New Roman"/>
          <w:color w:val="auto"/>
          <w:sz w:val="24"/>
          <w:szCs w:val="24"/>
        </w:rPr>
        <w:t xml:space="preserve"> (</w:t>
      </w:r>
      <w:r>
        <w:rPr>
          <w:rFonts w:hint="default" w:ascii="Times New Roman" w:hAnsi="Times New Roman" w:cs="Times New Roman"/>
          <w:b w:val="0"/>
          <w:bCs/>
          <w:sz w:val="24"/>
          <w:szCs w:val="24"/>
        </w:rPr>
        <w:t>P</w:t>
      </w:r>
      <w:r>
        <w:rPr>
          <w:rFonts w:hint="default" w:ascii="Times New Roman" w:hAnsi="Times New Roman" w:cs="Times New Roman"/>
          <w:b w:val="0"/>
          <w:bCs/>
          <w:sz w:val="24"/>
          <w:szCs w:val="24"/>
        </w:rPr>
        <w:t xml:space="preserve">roject Management, </w:t>
      </w:r>
      <w:r>
        <w:rPr>
          <w:rFonts w:hint="default" w:ascii="Times New Roman" w:hAnsi="Times New Roman" w:cs="Times New Roman"/>
          <w:b w:val="0"/>
          <w:bCs/>
          <w:sz w:val="24"/>
          <w:szCs w:val="24"/>
        </w:rPr>
        <w:t>2019</w:t>
      </w:r>
      <w:r>
        <w:rPr>
          <w:rFonts w:hint="default" w:ascii="Times New Roman" w:hAnsi="Times New Roman" w:cs="Times New Roman"/>
          <w:color w:val="auto"/>
          <w:sz w:val="24"/>
          <w:szCs w:val="24"/>
        </w:rPr>
        <w:t>) for</w:t>
      </w:r>
      <w:r>
        <w:rPr>
          <w:rFonts w:hint="default" w:ascii="Times New Roman" w:hAnsi="Times New Roman" w:cs="Times New Roman"/>
          <w:color w:val="auto"/>
          <w:sz w:val="24"/>
          <w:szCs w:val="24"/>
        </w:rPr>
        <w:t xml:space="preserve"> the </w:t>
      </w:r>
      <w:r>
        <w:rPr>
          <w:rFonts w:hint="default" w:ascii="Times New Roman" w:hAnsi="Times New Roman" w:cs="Times New Roman"/>
          <w:color w:val="auto"/>
          <w:sz w:val="24"/>
          <w:szCs w:val="24"/>
        </w:rPr>
        <w:t>proposals,</w:t>
      </w:r>
      <w:r>
        <w:rPr>
          <w:rFonts w:hint="default" w:ascii="Times New Roman" w:hAnsi="Times New Roman" w:cs="Times New Roman"/>
          <w:color w:val="auto"/>
          <w:sz w:val="24"/>
          <w:szCs w:val="24"/>
        </w:rPr>
        <w:t xml:space="preserve"> might even be outdated after the implementation of the project.</w:t>
      </w:r>
    </w:p>
    <w:p>
      <w:pPr>
        <w:numPr>
          <w:ilvl w:val="0"/>
          <w:numId w:val="4"/>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u w:val="single"/>
        </w:rPr>
        <w:t>Other risks:</w:t>
      </w:r>
      <w:r>
        <w:rPr>
          <w:rFonts w:hint="default" w:ascii="Times New Roman" w:hAnsi="Times New Roman" w:cs="Times New Roman"/>
          <w:color w:val="auto"/>
          <w:sz w:val="24"/>
          <w:szCs w:val="24"/>
        </w:rPr>
        <w:t xml:space="preserve"> The project were heavy relies on the secondary information. Lacking the primary research could lead to solutions that do not address the core problems and pain points that organizations are truly facing.</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color w:val="auto"/>
          <w:sz w:val="24"/>
          <w:szCs w:val="24"/>
        </w:rPr>
      </w:pPr>
      <w:bookmarkStart w:id="27" w:name="_Toc1259587368_WPSOffice_Level1"/>
      <w:r>
        <w:rPr>
          <w:rFonts w:hint="default" w:ascii="Times New Roman" w:hAnsi="Times New Roman" w:cs="Times New Roman"/>
          <w:b/>
          <w:sz w:val="32"/>
          <w:szCs w:val="32"/>
        </w:rPr>
        <w:t>4.0 Research Methodology</w:t>
      </w:r>
      <w:bookmarkEnd w:id="27"/>
    </w:p>
    <w:p>
      <w:pPr>
        <w:pStyle w:val="3"/>
        <w:bidi w:val="0"/>
        <w:spacing w:line="360" w:lineRule="auto"/>
        <w:rPr>
          <w:rFonts w:hint="default" w:ascii="Times New Roman" w:hAnsi="Times New Roman" w:cs="Times New Roman"/>
          <w:b/>
          <w:sz w:val="28"/>
          <w:szCs w:val="28"/>
        </w:rPr>
      </w:pPr>
      <w:bookmarkStart w:id="28" w:name="_Toc65356271_WPSOffice_Level2"/>
      <w:r>
        <w:rPr>
          <w:rFonts w:hint="default" w:ascii="Times New Roman" w:hAnsi="Times New Roman" w:cs="Times New Roman"/>
          <w:b/>
          <w:sz w:val="28"/>
          <w:szCs w:val="28"/>
        </w:rPr>
        <w:t>4.1 Secondary Research</w:t>
      </w:r>
      <w:bookmarkEnd w:id="28"/>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Stewart and Kamins (1993) describes the secondary research as:</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ind w:left="269" w:leftChars="128" w:right="533" w:rightChars="254" w:firstLine="0" w:firstLineChars="0"/>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‘Consists of sources of data and other information collected by others and achieved in some form. These sources include government reports, industry studies, archived data sets, and syndicated information services as well as the traditional books and journals found in libraries.’</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It should be stated that this project will only use secondary research since Netflix is a company based in America, and since the issues of cost, location and time, it would be difficult for the author to do the primary research at the Netflix headquarter-the United States. Therefore, all information analysis relies on secondary research.</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According to the section 2.2, the main research fields of project are a focus on the change in the external environment faced by the HR function, and the room for improvement in Netflix’s HRM.</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Primarily, most findings and recommendations will base on PESTLE and SWOT analyses. The reports of some scholars help with the understanding of the macro-environment, as well as the specific trends in the current environment, after that, the problems of Netflix will be surveyed, one by one to search and previous cases researched, to find out the relevant theoretical literature for analysis. Consequently, by combining the existing theoretical framework to create new management approaches suitable for Netflix can be proposed.</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Therefore, initial recommendations based on secondary research indicate:</w:t>
      </w: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Netflix can improve the productivity of the HR function by reshaping its leadership</w:t>
      </w: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enhancement of the performance management system</w:t>
      </w: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The desired state is the perfect synergy between AI&amp;Human</w:t>
      </w:r>
    </w:p>
    <w:p>
      <w:pPr>
        <w:numPr>
          <w:ilvl w:val="0"/>
          <w:numId w:val="0"/>
        </w:numPr>
        <w:spacing w:line="360" w:lineRule="auto"/>
        <w:rPr>
          <w:rFonts w:hint="default" w:ascii="Times New Roman" w:hAnsi="Times New Roman" w:cs="Times New Roman"/>
          <w:color w:val="auto"/>
          <w:sz w:val="24"/>
          <w:szCs w:val="24"/>
        </w:rPr>
      </w:pPr>
    </w:p>
    <w:p>
      <w:pPr>
        <w:numPr>
          <w:ilvl w:val="0"/>
          <w:numId w:val="0"/>
        </w:num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b/>
          <w:sz w:val="32"/>
          <w:szCs w:val="32"/>
        </w:rPr>
      </w:pPr>
      <w:bookmarkStart w:id="29" w:name="_Toc2138585497_WPSOffice_Level1"/>
      <w:r>
        <w:rPr>
          <w:rFonts w:hint="default" w:ascii="Times New Roman" w:hAnsi="Times New Roman" w:cs="Times New Roman"/>
          <w:b/>
          <w:sz w:val="32"/>
          <w:szCs w:val="32"/>
        </w:rPr>
        <w:t>5.0 Project Plan</w:t>
      </w:r>
      <w:bookmarkEnd w:id="29"/>
    </w:p>
    <w:p>
      <w:pPr>
        <w:numPr>
          <w:ilvl w:val="0"/>
          <w:numId w:val="0"/>
        </w:numPr>
        <w:spacing w:line="36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As shown in the figure 2-Gantt chart, project will schedule to last for one month, from March 4 to April 4 at 2020, after that, the detailed description of the Gantt chart will be given.</w:t>
      </w:r>
    </w:p>
    <w:p>
      <w:pPr>
        <w:numPr>
          <w:ilvl w:val="0"/>
          <w:numId w:val="0"/>
        </w:numPr>
        <w:spacing w:line="360" w:lineRule="auto"/>
        <w:rPr>
          <w:rFonts w:hint="default" w:ascii="Times New Roman" w:hAnsi="Times New Roman" w:cs="Times New Roman"/>
          <w:b w:val="0"/>
          <w:bCs w:val="0"/>
          <w:color w:val="auto"/>
          <w:sz w:val="24"/>
          <w:szCs w:val="24"/>
        </w:rPr>
      </w:pPr>
      <w:r>
        <w:drawing>
          <wp:inline distT="0" distB="0" distL="114300" distR="114300">
            <wp:extent cx="5756910" cy="3206750"/>
            <wp:effectExtent l="0" t="0" r="8890" b="19050"/>
            <wp:docPr id="6"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3"/>
                    <pic:cNvPicPr>
                      <a:picLocks noChangeAspect="1"/>
                    </pic:cNvPicPr>
                  </pic:nvPicPr>
                  <pic:blipFill>
                    <a:blip r:embed="rId8"/>
                    <a:srcRect t="4201" b="-8196"/>
                    <a:stretch>
                      <a:fillRect/>
                    </a:stretch>
                  </pic:blipFill>
                  <pic:spPr>
                    <a:xfrm>
                      <a:off x="0" y="0"/>
                      <a:ext cx="5756910" cy="3206750"/>
                    </a:xfrm>
                    <a:prstGeom prst="rect">
                      <a:avLst/>
                    </a:prstGeom>
                    <a:noFill/>
                    <a:ln w="9525">
                      <a:noFill/>
                    </a:ln>
                  </pic:spPr>
                </pic:pic>
              </a:graphicData>
            </a:graphic>
          </wp:inline>
        </w:drawing>
      </w:r>
    </w:p>
    <w:p>
      <w:pPr>
        <w:numPr>
          <w:ilvl w:val="0"/>
          <w:numId w:val="0"/>
        </w:numPr>
        <w:spacing w:line="360" w:lineRule="auto"/>
        <w:jc w:val="center"/>
        <w:rPr>
          <w:rFonts w:hint="default" w:ascii="Times New Roman" w:hAnsi="Times New Roman" w:cs="Times New Roman"/>
          <w:sz w:val="24"/>
          <w:szCs w:val="24"/>
        </w:rPr>
      </w:pPr>
      <w:r>
        <w:rPr>
          <w:rFonts w:hint="default" w:ascii="Times New Roman" w:hAnsi="Times New Roman" w:cs="Times New Roman"/>
          <w:sz w:val="24"/>
          <w:szCs w:val="24"/>
        </w:rPr>
        <w:t>Figure 2-Gantt Chart of Project Plan</w:t>
      </w:r>
    </w:p>
    <w:p>
      <w:pPr>
        <w:numPr>
          <w:ilvl w:val="0"/>
          <w:numId w:val="0"/>
        </w:numPr>
        <w:spacing w:line="360" w:lineRule="auto"/>
        <w:rPr>
          <w:rFonts w:hint="default" w:ascii="Times New Roman" w:hAnsi="Times New Roman" w:cs="Times New Roman"/>
          <w:color w:val="auto"/>
          <w:sz w:val="24"/>
          <w:szCs w:val="24"/>
        </w:rPr>
      </w:pPr>
    </w:p>
    <w:p>
      <w:pPr>
        <w:pStyle w:val="3"/>
        <w:bidi w:val="0"/>
        <w:spacing w:line="360" w:lineRule="auto"/>
        <w:rPr>
          <w:rFonts w:hint="default" w:ascii="Times New Roman" w:hAnsi="Times New Roman" w:cs="Times New Roman"/>
          <w:b/>
          <w:sz w:val="28"/>
          <w:szCs w:val="28"/>
        </w:rPr>
      </w:pPr>
      <w:bookmarkStart w:id="30" w:name="_Toc1078703080_WPSOffice_Level2"/>
      <w:r>
        <w:rPr>
          <w:rFonts w:hint="default" w:ascii="Times New Roman" w:hAnsi="Times New Roman" w:cs="Times New Roman"/>
          <w:b/>
          <w:sz w:val="28"/>
          <w:szCs w:val="28"/>
        </w:rPr>
        <w:t>5.1 Description of the Gantt Chart</w:t>
      </w:r>
      <w:bookmarkEnd w:id="30"/>
    </w:p>
    <w:p>
      <w:pPr>
        <w:numPr>
          <w:ilvl w:val="0"/>
          <w:numId w:val="0"/>
        </w:numPr>
        <w:spacing w:line="360" w:lineRule="auto"/>
        <w:rPr>
          <w:rFonts w:hint="default" w:ascii="Times New Roman" w:hAnsi="Times New Roman" w:cs="Times New Roman"/>
          <w:b w:val="0"/>
          <w:bCs w:val="0"/>
          <w:color w:val="auto"/>
          <w:sz w:val="24"/>
          <w:szCs w:val="24"/>
          <w:u w:val="single"/>
        </w:rPr>
      </w:pPr>
      <w:r>
        <w:rPr>
          <w:rFonts w:hint="default" w:ascii="Times New Roman" w:hAnsi="Times New Roman" w:cs="Times New Roman"/>
          <w:b w:val="0"/>
          <w:bCs w:val="0"/>
          <w:color w:val="auto"/>
          <w:sz w:val="24"/>
          <w:szCs w:val="24"/>
          <w:u w:val="single"/>
        </w:rPr>
        <w:t>The first stage is investigation:(14days: 4/3/2020-18/3/2020)</w:t>
      </w: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Identify the existing human resources management problems of Netflix.(4days: 4/3/20-3/8/20)</w:t>
      </w: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Identify the macro environment - current business situation.(4days: 4/3/20-8/3/20)</w:t>
      </w:r>
    </w:p>
    <w:p>
      <w:pPr>
        <w:numPr>
          <w:ilvl w:val="0"/>
          <w:numId w:val="6"/>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5/3/20⇒Political&amp;legal factors analysis.</w:t>
      </w:r>
    </w:p>
    <w:p>
      <w:pPr>
        <w:numPr>
          <w:ilvl w:val="0"/>
          <w:numId w:val="6"/>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6/3/20⇒Economic factors analysis.</w:t>
      </w:r>
    </w:p>
    <w:p>
      <w:pPr>
        <w:numPr>
          <w:ilvl w:val="0"/>
          <w:numId w:val="6"/>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7/3/20⇒Social&amp;environment factors analysis.</w:t>
      </w:r>
    </w:p>
    <w:p>
      <w:pPr>
        <w:numPr>
          <w:ilvl w:val="0"/>
          <w:numId w:val="6"/>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8/3/20⇒Technology factors analysis.</w:t>
      </w:r>
    </w:p>
    <w:p>
      <w:pPr>
        <w:numPr>
          <w:ilvl w:val="0"/>
          <w:numId w:val="0"/>
        </w:numPr>
        <w:spacing w:line="360" w:lineRule="auto"/>
        <w:ind w:leftChars="0"/>
        <w:rPr>
          <w:rFonts w:hint="default" w:ascii="Times New Roman" w:hAnsi="Times New Roman" w:cs="Times New Roman"/>
          <w:color w:val="auto"/>
          <w:sz w:val="24"/>
          <w:szCs w:val="24"/>
        </w:rPr>
      </w:pP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Analyse the changes of macro environment in each part of PESTLE. (4days: 9/3/2020-12/3/20)</w:t>
      </w:r>
    </w:p>
    <w:p>
      <w:pPr>
        <w:numPr>
          <w:ilvl w:val="0"/>
          <w:numId w:val="7"/>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9/3/20⇒Political&amp;legal factors analysis.</w:t>
      </w:r>
    </w:p>
    <w:p>
      <w:pPr>
        <w:numPr>
          <w:ilvl w:val="0"/>
          <w:numId w:val="7"/>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10/3/20⇒Economic factors analysis.</w:t>
      </w:r>
    </w:p>
    <w:p>
      <w:pPr>
        <w:numPr>
          <w:ilvl w:val="0"/>
          <w:numId w:val="7"/>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11/3/20⇒Social</w:t>
      </w:r>
      <w:bookmarkStart w:id="33" w:name="_GoBack"/>
      <w:bookmarkEnd w:id="33"/>
      <w:r>
        <w:rPr>
          <w:rFonts w:hint="default" w:ascii="Times New Roman" w:hAnsi="Times New Roman" w:cs="Times New Roman"/>
          <w:color w:val="auto"/>
          <w:sz w:val="24"/>
          <w:szCs w:val="24"/>
        </w:rPr>
        <w:t>&amp;environment factors analysis.</w:t>
      </w:r>
    </w:p>
    <w:p>
      <w:pPr>
        <w:numPr>
          <w:ilvl w:val="0"/>
          <w:numId w:val="7"/>
        </w:numPr>
        <w:spacing w:line="360" w:lineRule="auto"/>
        <w:ind w:left="425" w:leftChars="0" w:hanging="425"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12/3/20⇒Technology factors analysis.</w:t>
      </w:r>
    </w:p>
    <w:p>
      <w:pPr>
        <w:numPr>
          <w:ilvl w:val="0"/>
          <w:numId w:val="0"/>
        </w:numPr>
        <w:spacing w:line="360" w:lineRule="auto"/>
        <w:ind w:leftChars="0"/>
        <w:rPr>
          <w:rFonts w:hint="default" w:ascii="Times New Roman" w:hAnsi="Times New Roman" w:cs="Times New Roman"/>
          <w:color w:val="auto"/>
          <w:sz w:val="24"/>
          <w:szCs w:val="24"/>
        </w:rPr>
      </w:pP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Rocognize the changes and main trends in contemporary society.(2days: 13/3/20-14/3/20)</w:t>
      </w:r>
    </w:p>
    <w:p>
      <w:pPr>
        <w:numPr>
          <w:ilvl w:val="0"/>
          <w:numId w:val="0"/>
        </w:numPr>
        <w:spacing w:line="360" w:lineRule="auto"/>
        <w:ind w:leftChars="0"/>
        <w:rPr>
          <w:rFonts w:hint="default" w:ascii="Times New Roman" w:hAnsi="Times New Roman" w:cs="Times New Roman"/>
          <w:color w:val="auto"/>
          <w:sz w:val="24"/>
          <w:szCs w:val="24"/>
        </w:rPr>
      </w:pPr>
    </w:p>
    <w:p>
      <w:pPr>
        <w:numPr>
          <w:ilvl w:val="0"/>
          <w:numId w:val="0"/>
        </w:numPr>
        <w:spacing w:line="360" w:lineRule="auto"/>
        <w:ind w:leftChars="0"/>
        <w:rPr>
          <w:rFonts w:hint="default" w:ascii="Times New Roman" w:hAnsi="Times New Roman" w:cs="Times New Roman"/>
          <w:b w:val="0"/>
          <w:bCs w:val="0"/>
          <w:color w:val="auto"/>
          <w:sz w:val="24"/>
          <w:szCs w:val="24"/>
          <w:u w:val="single"/>
        </w:rPr>
      </w:pPr>
      <w:r>
        <w:rPr>
          <w:rFonts w:hint="default" w:ascii="Times New Roman" w:hAnsi="Times New Roman" w:cs="Times New Roman"/>
          <w:b w:val="0"/>
          <w:bCs w:val="0"/>
          <w:color w:val="auto"/>
          <w:sz w:val="24"/>
          <w:szCs w:val="24"/>
          <w:u w:val="single"/>
        </w:rPr>
        <w:t>The second section is to make proposals:(17days: 14/3/2020-30/3/20)</w:t>
      </w: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Combining the internal problems with the change of macro environment to discover the pain points&amp;the room for improvement of Netflix.(3days: 14/3/2020-16/3/2020)</w:t>
      </w:r>
    </w:p>
    <w:p>
      <w:pPr>
        <w:numPr>
          <w:ilvl w:val="0"/>
          <w:numId w:val="0"/>
        </w:numPr>
        <w:spacing w:line="360" w:lineRule="auto"/>
        <w:ind w:leftChars="0"/>
        <w:rPr>
          <w:rFonts w:hint="default" w:ascii="Times New Roman" w:hAnsi="Times New Roman" w:cs="Times New Roman"/>
          <w:color w:val="auto"/>
          <w:sz w:val="24"/>
          <w:szCs w:val="24"/>
        </w:rPr>
      </w:pP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According to the result of discover, bring the problems of Netflix back into the literature review to understand how the previous situation/case has been solved.(7days: 17/3/20 - 23/3/20)</w:t>
      </w:r>
    </w:p>
    <w:p>
      <w:pPr>
        <w:widowControl w:val="0"/>
        <w:numPr>
          <w:ilvl w:val="0"/>
          <w:numId w:val="0"/>
        </w:numPr>
        <w:spacing w:line="360" w:lineRule="auto"/>
        <w:jc w:val="both"/>
        <w:rPr>
          <w:rFonts w:hint="default" w:ascii="Times New Roman" w:hAnsi="Times New Roman" w:cs="Times New Roman"/>
          <w:color w:val="auto"/>
          <w:sz w:val="24"/>
          <w:szCs w:val="24"/>
        </w:rPr>
      </w:pPr>
    </w:p>
    <w:p>
      <w:pPr>
        <w:numPr>
          <w:ilvl w:val="0"/>
          <w:numId w:val="5"/>
        </w:numPr>
        <w:spacing w:line="360" w:lineRule="auto"/>
        <w:ind w:left="420" w:leftChars="0" w:hanging="420" w:firstLineChars="0"/>
        <w:rPr>
          <w:rFonts w:hint="default" w:ascii="Times New Roman" w:hAnsi="Times New Roman" w:cs="Times New Roman"/>
          <w:color w:val="auto"/>
          <w:sz w:val="24"/>
          <w:szCs w:val="24"/>
        </w:rPr>
      </w:pPr>
      <w:r>
        <w:rPr>
          <w:rFonts w:hint="default" w:ascii="Times New Roman" w:hAnsi="Times New Roman" w:cs="Times New Roman"/>
          <w:color w:val="auto"/>
          <w:sz w:val="24"/>
          <w:szCs w:val="24"/>
        </w:rPr>
        <w:t>Offering effective solutions to Netflix's current contentious issues based on the literature reviews, and even innovate new solutions.(7days: 24/3/20-30/3/20)</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0"/>
        </w:numPr>
        <w:spacing w:line="360" w:lineRule="auto"/>
        <w:jc w:val="both"/>
        <w:rPr>
          <w:rFonts w:hint="default" w:ascii="Times New Roman" w:hAnsi="Times New Roman" w:cs="Times New Roman"/>
          <w:b w:val="0"/>
          <w:bCs w:val="0"/>
          <w:color w:val="auto"/>
          <w:sz w:val="24"/>
          <w:szCs w:val="24"/>
          <w:u w:val="single"/>
        </w:rPr>
      </w:pPr>
      <w:r>
        <w:rPr>
          <w:rFonts w:hint="default" w:ascii="Times New Roman" w:hAnsi="Times New Roman" w:cs="Times New Roman"/>
          <w:b w:val="0"/>
          <w:bCs w:val="0"/>
          <w:color w:val="auto"/>
          <w:sz w:val="24"/>
          <w:szCs w:val="24"/>
          <w:u w:val="single"/>
        </w:rPr>
        <w:t>The final stage is integration: (5days: 31/3/20-4/4/20)</w:t>
      </w:r>
    </w:p>
    <w:p>
      <w:pPr>
        <w:widowControl w:val="0"/>
        <w:numPr>
          <w:ilvl w:val="0"/>
          <w:numId w:val="5"/>
        </w:numPr>
        <w:spacing w:line="360" w:lineRule="auto"/>
        <w:ind w:left="420" w:leftChars="0" w:hanging="420" w:firstLineChars="0"/>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Integrating all findings into formal documentation.(2days: 31/3/20-1/4/20)</w:t>
      </w:r>
    </w:p>
    <w:p>
      <w:pPr>
        <w:widowControl w:val="0"/>
        <w:numPr>
          <w:ilvl w:val="0"/>
          <w:numId w:val="0"/>
        </w:numPr>
        <w:spacing w:line="360" w:lineRule="auto"/>
        <w:ind w:leftChars="0"/>
        <w:jc w:val="both"/>
        <w:rPr>
          <w:rFonts w:hint="default" w:ascii="Times New Roman" w:hAnsi="Times New Roman" w:cs="Times New Roman"/>
          <w:color w:val="auto"/>
          <w:sz w:val="24"/>
          <w:szCs w:val="24"/>
        </w:rPr>
      </w:pPr>
    </w:p>
    <w:p>
      <w:pPr>
        <w:widowControl w:val="0"/>
        <w:numPr>
          <w:ilvl w:val="0"/>
          <w:numId w:val="5"/>
        </w:numPr>
        <w:spacing w:line="360" w:lineRule="auto"/>
        <w:ind w:left="420" w:leftChars="0" w:hanging="420" w:firstLineChars="0"/>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Reporting the project to Netflix and discussion the content of project.(1day: 2/4/20)</w:t>
      </w:r>
    </w:p>
    <w:p>
      <w:pPr>
        <w:widowControl w:val="0"/>
        <w:numPr>
          <w:ilvl w:val="0"/>
          <w:numId w:val="0"/>
        </w:numPr>
        <w:spacing w:line="360" w:lineRule="auto"/>
        <w:jc w:val="both"/>
        <w:rPr>
          <w:rFonts w:hint="default" w:ascii="Times New Roman" w:hAnsi="Times New Roman" w:cs="Times New Roman"/>
          <w:color w:val="auto"/>
          <w:sz w:val="24"/>
          <w:szCs w:val="24"/>
        </w:rPr>
      </w:pPr>
    </w:p>
    <w:p>
      <w:pPr>
        <w:widowControl w:val="0"/>
        <w:numPr>
          <w:ilvl w:val="0"/>
          <w:numId w:val="5"/>
        </w:numPr>
        <w:spacing w:line="360" w:lineRule="auto"/>
        <w:ind w:left="420" w:leftChars="0" w:hanging="420" w:firstLineChars="0"/>
        <w:jc w:val="both"/>
        <w:rPr>
          <w:rFonts w:hint="default" w:ascii="Times New Roman" w:hAnsi="Times New Roman" w:cs="Times New Roman"/>
          <w:color w:val="auto"/>
          <w:sz w:val="24"/>
          <w:szCs w:val="24"/>
        </w:rPr>
      </w:pPr>
      <w:r>
        <w:rPr>
          <w:rFonts w:hint="default" w:ascii="Times New Roman" w:hAnsi="Times New Roman" w:cs="Times New Roman"/>
          <w:color w:val="auto"/>
          <w:sz w:val="24"/>
          <w:szCs w:val="24"/>
        </w:rPr>
        <w:t>Modifying the content based on discussion, and form the final instrument for submission for Netflix.(2days: 3/4/20-4/4/20)</w:t>
      </w:r>
    </w:p>
    <w:p>
      <w:pPr>
        <w:numPr>
          <w:ilvl w:val="0"/>
          <w:numId w:val="0"/>
        </w:num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b/>
          <w:sz w:val="32"/>
          <w:szCs w:val="32"/>
        </w:rPr>
      </w:pPr>
      <w:bookmarkStart w:id="31" w:name="_Toc772648240_WPSOffice_Level1"/>
      <w:r>
        <w:rPr>
          <w:rFonts w:hint="default" w:ascii="Times New Roman" w:hAnsi="Times New Roman" w:cs="Times New Roman"/>
          <w:b/>
          <w:sz w:val="32"/>
          <w:szCs w:val="32"/>
        </w:rPr>
        <w:t>6.0 References</w:t>
      </w:r>
      <w:bookmarkEnd w:id="31"/>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Allen, R. (2008) SWOT. </w:t>
      </w:r>
      <w:r>
        <w:rPr>
          <w:rFonts w:hint="default" w:ascii="Times New Roman" w:hAnsi="Times New Roman" w:cs="Times New Roman"/>
          <w:b w:val="0"/>
          <w:bCs/>
          <w:i/>
          <w:iCs/>
          <w:sz w:val="24"/>
          <w:szCs w:val="24"/>
        </w:rPr>
        <w:t>Pocket Fowler's Modern English Usage</w:t>
      </w:r>
      <w:r>
        <w:rPr>
          <w:rFonts w:hint="default" w:ascii="Times New Roman" w:hAnsi="Times New Roman" w:cs="Times New Roman"/>
          <w:b w:val="0"/>
          <w:bCs/>
          <w:sz w:val="24"/>
          <w:szCs w:val="24"/>
        </w:rPr>
        <w:t>, pp.Pocket Fowler's Modern English Usage.</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Ashby, W. R. (1960) </w:t>
      </w:r>
      <w:r>
        <w:rPr>
          <w:rFonts w:hint="default" w:ascii="Times New Roman" w:hAnsi="Times New Roman" w:cs="Times New Roman"/>
          <w:b w:val="0"/>
          <w:bCs/>
          <w:i/>
          <w:iCs/>
          <w:sz w:val="24"/>
          <w:szCs w:val="24"/>
        </w:rPr>
        <w:t>Design for a brain</w:t>
      </w:r>
      <w:r>
        <w:rPr>
          <w:rFonts w:hint="default" w:ascii="Times New Roman" w:hAnsi="Times New Roman" w:cs="Times New Roman"/>
          <w:b w:val="0"/>
          <w:bCs/>
          <w:sz w:val="24"/>
          <w:szCs w:val="24"/>
        </w:rPr>
        <w:t>, (2nd Ed.). New York: Wiley.</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Ashforth, B. (1994) Petty Tyranny in Organizations. </w:t>
      </w:r>
      <w:r>
        <w:rPr>
          <w:rFonts w:hint="default" w:ascii="Times New Roman" w:hAnsi="Times New Roman" w:cs="Times New Roman"/>
          <w:b w:val="0"/>
          <w:bCs/>
          <w:i/>
          <w:iCs/>
          <w:sz w:val="24"/>
          <w:szCs w:val="24"/>
        </w:rPr>
        <w:t>Human Relations,</w:t>
      </w:r>
      <w:r>
        <w:rPr>
          <w:rFonts w:hint="default" w:ascii="Times New Roman" w:hAnsi="Times New Roman" w:cs="Times New Roman"/>
          <w:b w:val="0"/>
          <w:bCs/>
          <w:sz w:val="24"/>
          <w:szCs w:val="24"/>
        </w:rPr>
        <w:t xml:space="preserve"> 47(7), pp.755-778.</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Bain, R. (2016) </w:t>
      </w:r>
      <w:r>
        <w:rPr>
          <w:rFonts w:hint="default" w:ascii="Times New Roman" w:hAnsi="Times New Roman" w:cs="Times New Roman"/>
          <w:b w:val="0"/>
          <w:bCs/>
          <w:i/>
          <w:iCs/>
          <w:sz w:val="24"/>
          <w:szCs w:val="24"/>
        </w:rPr>
        <w:t>Any time, any place, anywhere (Part 2) | CIPD.</w:t>
      </w:r>
      <w:r>
        <w:rPr>
          <w:rFonts w:hint="default" w:ascii="Times New Roman" w:hAnsi="Times New Roman" w:cs="Times New Roman"/>
          <w:b w:val="0"/>
          <w:bCs/>
          <w:sz w:val="24"/>
          <w:szCs w:val="24"/>
        </w:rPr>
        <w:t xml:space="preserve"> [online] CIPD. Available at: https://www.cipd.co.uk/news-views/changing-work-views/future-work/thought-pieces/any-time-any-place-anywhere-2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Bennett, N. &amp; Lemoine, G. (2014) What VUCA Really Means for You. </w:t>
      </w:r>
      <w:r>
        <w:rPr>
          <w:rFonts w:hint="default" w:ascii="Times New Roman" w:hAnsi="Times New Roman" w:cs="Times New Roman"/>
          <w:b w:val="0"/>
          <w:bCs/>
          <w:i/>
          <w:iCs/>
          <w:sz w:val="24"/>
          <w:szCs w:val="24"/>
        </w:rPr>
        <w:t>Harvard Business Review</w:t>
      </w:r>
      <w:r>
        <w:rPr>
          <w:rFonts w:hint="default" w:ascii="Times New Roman" w:hAnsi="Times New Roman" w:cs="Times New Roman"/>
          <w:b w:val="0"/>
          <w:bCs/>
          <w:sz w:val="24"/>
          <w:szCs w:val="24"/>
        </w:rPr>
        <w:t>, 92(1,2), p.27.</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Beatson, M. (2019) </w:t>
      </w:r>
      <w:r>
        <w:rPr>
          <w:rFonts w:hint="default" w:ascii="Times New Roman" w:hAnsi="Times New Roman" w:cs="Times New Roman"/>
          <w:b w:val="0"/>
          <w:bCs/>
          <w:i/>
          <w:iCs/>
          <w:sz w:val="24"/>
          <w:szCs w:val="24"/>
        </w:rPr>
        <w:t>Megatrends: Flexible working</w:t>
      </w:r>
      <w:r>
        <w:rPr>
          <w:rFonts w:hint="default" w:ascii="Times New Roman" w:hAnsi="Times New Roman" w:cs="Times New Roman"/>
          <w:b w:val="0"/>
          <w:bCs/>
          <w:sz w:val="24"/>
          <w:szCs w:val="24"/>
        </w:rPr>
        <w:t>. [online] London: CIPD. Available at: https://www.cipd.co.uk/Images/megatrends-report-flexible-working-1_tcm18-52769.pdf [Accessed 18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Bonciu, F. (2019) Impact of the 4th Industrial Revolution on the World Order. Romanian </w:t>
      </w:r>
      <w:r>
        <w:rPr>
          <w:rFonts w:hint="default" w:ascii="Times New Roman" w:hAnsi="Times New Roman" w:cs="Times New Roman"/>
          <w:b w:val="0"/>
          <w:bCs/>
          <w:i/>
          <w:iCs/>
          <w:sz w:val="24"/>
          <w:szCs w:val="24"/>
        </w:rPr>
        <w:t>Journal of European Affairs</w:t>
      </w:r>
      <w:r>
        <w:rPr>
          <w:rFonts w:hint="default" w:ascii="Times New Roman" w:hAnsi="Times New Roman" w:cs="Times New Roman"/>
          <w:b w:val="0"/>
          <w:bCs/>
          <w:sz w:val="24"/>
          <w:szCs w:val="24"/>
        </w:rPr>
        <w:t>, 19(2), pp.51–62.</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Brinkley, I. (2017) </w:t>
      </w:r>
      <w:r>
        <w:rPr>
          <w:rFonts w:hint="default" w:ascii="Times New Roman" w:hAnsi="Times New Roman" w:cs="Times New Roman"/>
          <w:b w:val="0"/>
          <w:bCs/>
          <w:i/>
          <w:iCs/>
          <w:sz w:val="24"/>
          <w:szCs w:val="24"/>
        </w:rPr>
        <w:t>Enablers and inhibitors for future growth of the gig economy | CIPD Voice.</w:t>
      </w:r>
      <w:r>
        <w:rPr>
          <w:rFonts w:hint="default" w:ascii="Times New Roman" w:hAnsi="Times New Roman" w:cs="Times New Roman"/>
          <w:b w:val="0"/>
          <w:bCs/>
          <w:sz w:val="24"/>
          <w:szCs w:val="24"/>
        </w:rPr>
        <w:t xml:space="preserve"> [online] CIPD. Available at: https://www.cipd.co.uk/news-views/cipd-voice/issue-11/gig-economy-future-growth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Brophy, A. (2019) </w:t>
      </w:r>
      <w:r>
        <w:rPr>
          <w:rFonts w:hint="default" w:ascii="Times New Roman" w:hAnsi="Times New Roman" w:cs="Times New Roman"/>
          <w:b w:val="0"/>
          <w:bCs/>
          <w:i/>
          <w:iCs/>
          <w:sz w:val="24"/>
          <w:szCs w:val="24"/>
        </w:rPr>
        <w:t>Netflix remains number one brand among millennials for the third year | YouGov.</w:t>
      </w:r>
      <w:r>
        <w:rPr>
          <w:rFonts w:hint="default" w:ascii="Times New Roman" w:hAnsi="Times New Roman" w:cs="Times New Roman"/>
          <w:b w:val="0"/>
          <w:bCs/>
          <w:sz w:val="24"/>
          <w:szCs w:val="24"/>
        </w:rPr>
        <w:t xml:space="preserve"> [online] Yougov.co.uk. Available at: https://yougov.co.uk/topics/consumer/articles-reports/2019/10/10/netflix-remains-most-positively-talked-about-brand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Cameron, E. &amp; Green, M. (2012) </w:t>
      </w:r>
      <w:r>
        <w:rPr>
          <w:rFonts w:hint="default" w:ascii="Times New Roman" w:hAnsi="Times New Roman" w:cs="Times New Roman"/>
          <w:b w:val="0"/>
          <w:bCs/>
          <w:i/>
          <w:iCs/>
          <w:sz w:val="24"/>
          <w:szCs w:val="24"/>
        </w:rPr>
        <w:t>Making sense of change management: a complete guide to the models, tools, and techniques of organizational change</w:t>
      </w:r>
      <w:r>
        <w:rPr>
          <w:rFonts w:hint="default" w:ascii="Times New Roman" w:hAnsi="Times New Roman" w:cs="Times New Roman"/>
          <w:b w:val="0"/>
          <w:bCs/>
          <w:sz w:val="24"/>
          <w:szCs w:val="24"/>
        </w:rPr>
        <w:t xml:space="preserve"> 3rd ed., London ; Philadelphia: Kogan Page.</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Chakhoyan, A. (2017) </w:t>
      </w:r>
      <w:r>
        <w:rPr>
          <w:rFonts w:hint="default" w:ascii="Times New Roman" w:hAnsi="Times New Roman" w:cs="Times New Roman"/>
          <w:b w:val="0"/>
          <w:bCs/>
          <w:i/>
          <w:iCs/>
          <w:sz w:val="24"/>
          <w:szCs w:val="24"/>
        </w:rPr>
        <w:t>Is the era of management over?.</w:t>
      </w:r>
      <w:r>
        <w:rPr>
          <w:rFonts w:hint="default" w:ascii="Times New Roman" w:hAnsi="Times New Roman" w:cs="Times New Roman"/>
          <w:b w:val="0"/>
          <w:bCs/>
          <w:sz w:val="24"/>
          <w:szCs w:val="24"/>
        </w:rPr>
        <w:t xml:space="preserve"> [online] World Economic Forum. Available at: https://www.weforum.org/agenda/2017/12/is-management-era-over/ [Accessed 24 Feb. 2020].</w:t>
      </w:r>
    </w:p>
    <w:p>
      <w:pPr>
        <w:spacing w:line="360" w:lineRule="auto"/>
        <w:rPr>
          <w:rFonts w:hint="default" w:ascii="Times New Roman" w:hAnsi="Times New Roman" w:cs="Times New Roman"/>
          <w:b w:val="0"/>
          <w:bCs/>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CIPD. (2013) </w:t>
      </w:r>
      <w:r>
        <w:rPr>
          <w:rFonts w:hint="default" w:ascii="Times New Roman" w:hAnsi="Times New Roman" w:cs="Times New Roman"/>
          <w:i/>
          <w:iCs/>
          <w:color w:val="auto"/>
          <w:sz w:val="24"/>
          <w:szCs w:val="24"/>
        </w:rPr>
        <w:t>Megatrends: The trends shaping work and working lives | CIPD report.</w:t>
      </w:r>
      <w:r>
        <w:rPr>
          <w:rFonts w:hint="default" w:ascii="Times New Roman" w:hAnsi="Times New Roman" w:cs="Times New Roman"/>
          <w:color w:val="auto"/>
          <w:sz w:val="24"/>
          <w:szCs w:val="24"/>
        </w:rPr>
        <w:t xml:space="preserve"> [online] Available at: https://www.cipd.co.uk/knowledge/work/trends/megatrends/trends-shaping-working-lives [Accessed 22 Feb. 2020].</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CIPD. (2014) </w:t>
      </w:r>
      <w:r>
        <w:rPr>
          <w:rFonts w:hint="default" w:ascii="Times New Roman" w:hAnsi="Times New Roman" w:cs="Times New Roman"/>
          <w:i/>
          <w:iCs/>
          <w:color w:val="auto"/>
          <w:sz w:val="24"/>
          <w:szCs w:val="24"/>
        </w:rPr>
        <w:t>HR Megatrends | Reports | CIPD.</w:t>
      </w:r>
      <w:r>
        <w:rPr>
          <w:rFonts w:hint="default" w:ascii="Times New Roman" w:hAnsi="Times New Roman" w:cs="Times New Roman"/>
          <w:color w:val="auto"/>
          <w:sz w:val="24"/>
          <w:szCs w:val="24"/>
        </w:rPr>
        <w:t xml:space="preserve"> [online] Available at: https://www.cipd.co.uk/knowledge/work/trends/megatrends [Accessed 22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CIPD. (2018) </w:t>
      </w:r>
      <w:r>
        <w:rPr>
          <w:rFonts w:hint="default" w:ascii="Times New Roman" w:hAnsi="Times New Roman" w:cs="Times New Roman"/>
          <w:b w:val="0"/>
          <w:bCs/>
          <w:i/>
          <w:iCs/>
          <w:sz w:val="24"/>
          <w:szCs w:val="24"/>
        </w:rPr>
        <w:t>Consultation on April 2019 National Minimum Wage rates</w:t>
      </w:r>
      <w:r>
        <w:rPr>
          <w:rFonts w:hint="default" w:ascii="Times New Roman" w:hAnsi="Times New Roman" w:cs="Times New Roman"/>
          <w:b w:val="0"/>
          <w:bCs/>
          <w:sz w:val="24"/>
          <w:szCs w:val="24"/>
        </w:rPr>
        <w:t>. [online] Available at: https://www.cipd.co.uk/Images/cipd-submission-to-lpc-on-april-2019-nmw-rates_tcm18-43459.pdf [Accessed 21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Doyle, C. (2011) PESTLE. </w:t>
      </w:r>
      <w:r>
        <w:rPr>
          <w:rFonts w:hint="default" w:ascii="Times New Roman" w:hAnsi="Times New Roman" w:cs="Times New Roman"/>
          <w:b w:val="0"/>
          <w:bCs/>
          <w:i/>
          <w:iCs/>
          <w:sz w:val="24"/>
          <w:szCs w:val="24"/>
        </w:rPr>
        <w:t>A Dictionary of Marketing</w:t>
      </w:r>
      <w:r>
        <w:rPr>
          <w:rFonts w:hint="default" w:ascii="Times New Roman" w:hAnsi="Times New Roman" w:cs="Times New Roman"/>
          <w:b w:val="0"/>
          <w:bCs/>
          <w:sz w:val="24"/>
          <w:szCs w:val="24"/>
        </w:rPr>
        <w:t>, pp.A Dictionary of Marketing.</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Dillon, J. (2019) </w:t>
      </w:r>
      <w:r>
        <w:rPr>
          <w:rFonts w:hint="default" w:ascii="Times New Roman" w:hAnsi="Times New Roman" w:cs="Times New Roman"/>
          <w:b w:val="0"/>
          <w:bCs/>
          <w:i/>
          <w:iCs/>
          <w:sz w:val="24"/>
          <w:szCs w:val="24"/>
        </w:rPr>
        <w:t>Netflix's content marketing has changed TV advertising forever.</w:t>
      </w:r>
      <w:r>
        <w:rPr>
          <w:rFonts w:hint="default" w:ascii="Times New Roman" w:hAnsi="Times New Roman" w:cs="Times New Roman"/>
          <w:b w:val="0"/>
          <w:bCs/>
          <w:sz w:val="24"/>
          <w:szCs w:val="24"/>
        </w:rPr>
        <w:t xml:space="preserve"> [online] Gorilla360.com.au. Available at: https://www.gorilla360.com.au/blog/netflix-content-marketing-changed-tv-advertising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Frost, P. (2004) Handling Toxic Emotions: New Challenges for Leaders and their Organizations. </w:t>
      </w:r>
      <w:r>
        <w:rPr>
          <w:rFonts w:hint="default" w:ascii="Times New Roman" w:hAnsi="Times New Roman" w:cs="Times New Roman"/>
          <w:b w:val="0"/>
          <w:bCs/>
          <w:i/>
          <w:iCs/>
          <w:sz w:val="24"/>
          <w:szCs w:val="24"/>
        </w:rPr>
        <w:t>Organizational Dynamics</w:t>
      </w:r>
      <w:r>
        <w:rPr>
          <w:rFonts w:hint="default" w:ascii="Times New Roman" w:hAnsi="Times New Roman" w:cs="Times New Roman"/>
          <w:b w:val="0"/>
          <w:bCs/>
          <w:sz w:val="24"/>
          <w:szCs w:val="24"/>
        </w:rPr>
        <w:t>, 33(2), pp.111–127.</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highlight w:val="none"/>
        </w:rPr>
        <w:t xml:space="preserve">Flint, S. and Ramachandran, S. (2018) At Netflix, Radical Transparency and Blunt Firings </w:t>
      </w:r>
      <w:r>
        <w:rPr>
          <w:rFonts w:hint="default" w:ascii="Times New Roman" w:hAnsi="Times New Roman" w:cs="Times New Roman"/>
          <w:b w:val="0"/>
          <w:bCs/>
          <w:i/>
          <w:iCs/>
          <w:sz w:val="24"/>
          <w:szCs w:val="24"/>
        </w:rPr>
        <w:t>Unsettle the Ranks.</w:t>
      </w:r>
      <w:r>
        <w:rPr>
          <w:rFonts w:hint="default" w:ascii="Times New Roman" w:hAnsi="Times New Roman" w:cs="Times New Roman"/>
          <w:b w:val="0"/>
          <w:bCs/>
          <w:sz w:val="24"/>
          <w:szCs w:val="24"/>
        </w:rPr>
        <w:t xml:space="preserve"> [online] WSJ. Available at: https://www.wsj.com/articles/at-netflix-radical-transparency-and-blunt-firings-unsettle-the-ranks-1540497174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highlight w:val="none"/>
        </w:rPr>
        <w:t xml:space="preserve">Glassdoor.co.uk. (2020) [online] Available at: </w:t>
      </w:r>
      <w:r>
        <w:rPr>
          <w:rFonts w:hint="default" w:ascii="Times New Roman" w:hAnsi="Times New Roman" w:cs="Times New Roman"/>
          <w:b w:val="0"/>
          <w:bCs/>
          <w:sz w:val="24"/>
          <w:szCs w:val="24"/>
        </w:rPr>
        <w:t>https://www.glassdoor.co.uk/Reviews/Netflix-culture-of-fear-Reviews-EI_IE11891.0,7_KH8,23.htm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Gulati, R. (2018) Structure That’s Not Stifling. </w:t>
      </w:r>
      <w:r>
        <w:rPr>
          <w:rFonts w:hint="default" w:ascii="Times New Roman" w:hAnsi="Times New Roman" w:cs="Times New Roman"/>
          <w:b w:val="0"/>
          <w:bCs/>
          <w:i/>
          <w:iCs/>
          <w:sz w:val="24"/>
          <w:szCs w:val="24"/>
        </w:rPr>
        <w:t>Harvard Business Review</w:t>
      </w:r>
      <w:r>
        <w:rPr>
          <w:rFonts w:hint="default" w:ascii="Times New Roman" w:hAnsi="Times New Roman" w:cs="Times New Roman"/>
          <w:b w:val="0"/>
          <w:bCs/>
          <w:sz w:val="24"/>
          <w:szCs w:val="24"/>
        </w:rPr>
        <w:t>, pp.Harvard Business Review, May/Jun 2018.</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GOV.UK. (2018) </w:t>
      </w:r>
      <w:r>
        <w:rPr>
          <w:rFonts w:hint="default" w:ascii="Times New Roman" w:hAnsi="Times New Roman" w:cs="Times New Roman"/>
          <w:b w:val="0"/>
          <w:bCs/>
          <w:i/>
          <w:iCs/>
          <w:sz w:val="24"/>
          <w:szCs w:val="24"/>
        </w:rPr>
        <w:t>Guide to the General Data Protection Regulation</w:t>
      </w:r>
      <w:r>
        <w:rPr>
          <w:rFonts w:hint="default" w:ascii="Times New Roman" w:hAnsi="Times New Roman" w:cs="Times New Roman"/>
          <w:b w:val="0"/>
          <w:bCs/>
          <w:sz w:val="24"/>
          <w:szCs w:val="24"/>
        </w:rPr>
        <w:t>. [online] Available at: https://www.gov.uk/government/publications/guide-to-the-general-data-protection-regulation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Harris, C. &amp; Tregidga, H. (2012) HR managers and environmental sustainability: strategic leaders or passive observers? </w:t>
      </w:r>
      <w:r>
        <w:rPr>
          <w:rFonts w:hint="default" w:ascii="Times New Roman" w:hAnsi="Times New Roman" w:cs="Times New Roman"/>
          <w:b w:val="0"/>
          <w:bCs/>
          <w:i/>
          <w:iCs/>
          <w:sz w:val="24"/>
          <w:szCs w:val="24"/>
        </w:rPr>
        <w:t>The International Journal of Human Resource Management</w:t>
      </w:r>
      <w:r>
        <w:rPr>
          <w:rFonts w:hint="default" w:ascii="Times New Roman" w:hAnsi="Times New Roman" w:cs="Times New Roman"/>
          <w:b w:val="0"/>
          <w:bCs/>
          <w:sz w:val="24"/>
          <w:szCs w:val="24"/>
        </w:rPr>
        <w:t>, 23(2), pp.236–254.</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Knight, R. (2014) Managing People from 5 Generations. </w:t>
      </w:r>
      <w:r>
        <w:rPr>
          <w:rFonts w:hint="default" w:ascii="Times New Roman" w:hAnsi="Times New Roman" w:cs="Times New Roman"/>
          <w:b w:val="0"/>
          <w:bCs/>
          <w:i/>
          <w:iCs/>
          <w:sz w:val="24"/>
          <w:szCs w:val="24"/>
        </w:rPr>
        <w:t>Harvard Business Review Digital Articles</w:t>
      </w:r>
      <w:r>
        <w:rPr>
          <w:rFonts w:hint="default" w:ascii="Times New Roman" w:hAnsi="Times New Roman" w:cs="Times New Roman"/>
          <w:b w:val="0"/>
          <w:bCs/>
          <w:sz w:val="24"/>
          <w:szCs w:val="24"/>
        </w:rPr>
        <w:t>, pp.2–6.</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Kuchler, H., and Bond, S. (2017) Facebook takes on TV and YouTube with long-form video push. </w:t>
      </w:r>
      <w:r>
        <w:rPr>
          <w:rFonts w:hint="default" w:ascii="Times New Roman" w:hAnsi="Times New Roman" w:cs="Times New Roman"/>
          <w:b w:val="0"/>
          <w:bCs/>
          <w:i/>
          <w:iCs/>
          <w:sz w:val="24"/>
          <w:szCs w:val="24"/>
        </w:rPr>
        <w:t>Financial Times.</w:t>
      </w:r>
      <w:r>
        <w:rPr>
          <w:rFonts w:hint="default" w:ascii="Times New Roman" w:hAnsi="Times New Roman" w:cs="Times New Roman"/>
          <w:b w:val="0"/>
          <w:bCs/>
          <w:sz w:val="24"/>
          <w:szCs w:val="24"/>
        </w:rPr>
        <w:t xml:space="preserve"> [Online] Available at: https://www.ft.com/content/2047563c-4bd6-11e7-a3f4-c742b9791d43 [Accessed 25 Feb. 2020]</w:t>
      </w:r>
      <w:r>
        <w:rPr>
          <w:rFonts w:hint="default" w:ascii="Times New Roman" w:hAnsi="Times New Roman" w:cs="Times New Roman"/>
          <w:b w:val="0"/>
          <w:bCs/>
          <w:sz w:val="24"/>
          <w:szCs w:val="24"/>
        </w:rPr>
        <w:t>.</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Kern, M. (2017) 3 Career Killers To Circumvent In 2017: Clearing the 4th Industrial Revolution. </w:t>
      </w:r>
      <w:r>
        <w:rPr>
          <w:rFonts w:hint="default" w:ascii="Times New Roman" w:hAnsi="Times New Roman" w:cs="Times New Roman"/>
          <w:b w:val="0"/>
          <w:bCs/>
          <w:i/>
          <w:iCs/>
          <w:sz w:val="24"/>
          <w:szCs w:val="24"/>
        </w:rPr>
        <w:t>Talent Acquisition Excellence Essentials</w:t>
      </w:r>
      <w:r>
        <w:rPr>
          <w:rFonts w:hint="default" w:ascii="Times New Roman" w:hAnsi="Times New Roman" w:cs="Times New Roman"/>
          <w:b w:val="0"/>
          <w:bCs/>
          <w:sz w:val="24"/>
          <w:szCs w:val="24"/>
        </w:rPr>
        <w:t>, pp.Talent Acquisition Excellence Essentials, Oct 2017.</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Kirk &amp; Kirk, G. S. (1954) </w:t>
      </w:r>
      <w:r>
        <w:rPr>
          <w:rFonts w:hint="default" w:ascii="Times New Roman" w:hAnsi="Times New Roman" w:cs="Times New Roman"/>
          <w:b w:val="0"/>
          <w:bCs/>
          <w:i/>
          <w:iCs/>
          <w:sz w:val="24"/>
          <w:szCs w:val="24"/>
        </w:rPr>
        <w:t>The cosmic fragments</w:t>
      </w:r>
      <w:r>
        <w:rPr>
          <w:rFonts w:hint="default" w:ascii="Times New Roman" w:hAnsi="Times New Roman" w:cs="Times New Roman"/>
          <w:b w:val="0"/>
          <w:bCs/>
          <w:sz w:val="24"/>
          <w:szCs w:val="24"/>
        </w:rPr>
        <w:t>, Cambridge: Cambridge University Press.</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Mail Online. (2018) Netflix employees reveal the company's 'culture of fear'. [online] Available at: https://www.dailymail.co.uk/news/article-6318259/Netflix-employees-reveal-companys-culture-fear.html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Moore, A. (2019) </w:t>
      </w:r>
      <w:r>
        <w:rPr>
          <w:rFonts w:hint="default" w:ascii="Times New Roman" w:hAnsi="Times New Roman" w:cs="Times New Roman"/>
          <w:b w:val="0"/>
          <w:bCs/>
          <w:i/>
          <w:iCs/>
          <w:sz w:val="24"/>
          <w:szCs w:val="24"/>
        </w:rPr>
        <w:t xml:space="preserve">Netflix’s Generic Strategy, Business Model &amp; Intensive Growth Strategies - Rancord Society. </w:t>
      </w:r>
      <w:r>
        <w:rPr>
          <w:rFonts w:hint="default" w:ascii="Times New Roman" w:hAnsi="Times New Roman" w:cs="Times New Roman"/>
          <w:b w:val="0"/>
          <w:bCs/>
          <w:sz w:val="24"/>
          <w:szCs w:val="24"/>
        </w:rPr>
        <w:t>[online] Rancord Society. Available at: https://www.rancord.org/netflix-business-model-generic-strategy-intensive-growth-strategies-competitive-advantage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McCord, P. (2014) How Netflix Reinvented HR. </w:t>
      </w:r>
      <w:r>
        <w:rPr>
          <w:rFonts w:hint="default" w:ascii="Times New Roman" w:hAnsi="Times New Roman" w:cs="Times New Roman"/>
          <w:b w:val="0"/>
          <w:bCs/>
          <w:i/>
          <w:iCs/>
          <w:sz w:val="24"/>
          <w:szCs w:val="24"/>
        </w:rPr>
        <w:t>Harvard Business Review</w:t>
      </w:r>
      <w:r>
        <w:rPr>
          <w:rFonts w:hint="default" w:ascii="Times New Roman" w:hAnsi="Times New Roman" w:cs="Times New Roman"/>
          <w:b w:val="0"/>
          <w:bCs/>
          <w:sz w:val="24"/>
          <w:szCs w:val="24"/>
        </w:rPr>
        <w:t>, 92(1,2), pp.70–76.</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McCartney, C. (2019) </w:t>
      </w:r>
      <w:r>
        <w:rPr>
          <w:rFonts w:hint="default" w:ascii="Times New Roman" w:hAnsi="Times New Roman" w:cs="Times New Roman"/>
          <w:b w:val="0"/>
          <w:bCs/>
          <w:i/>
          <w:iCs/>
          <w:sz w:val="24"/>
          <w:szCs w:val="24"/>
        </w:rPr>
        <w:t>Future of flexible working | CIPD Podcasts.</w:t>
      </w:r>
      <w:r>
        <w:rPr>
          <w:rFonts w:hint="default" w:ascii="Times New Roman" w:hAnsi="Times New Roman" w:cs="Times New Roman"/>
          <w:b w:val="0"/>
          <w:bCs/>
          <w:sz w:val="24"/>
          <w:szCs w:val="24"/>
        </w:rPr>
        <w:t xml:space="preserve"> [online] CIPD. Available at: https://www.cipd.co.uk/podcasts/flexible-working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Mintel. (2016) Music and Video Streaming-UK-April 2016. </w:t>
      </w:r>
      <w:r>
        <w:rPr>
          <w:rFonts w:hint="default" w:ascii="Times New Roman" w:hAnsi="Times New Roman" w:cs="Times New Roman"/>
          <w:b w:val="0"/>
          <w:bCs/>
          <w:i/>
          <w:iCs/>
          <w:sz w:val="24"/>
          <w:szCs w:val="24"/>
        </w:rPr>
        <w:t>Mintel Academic</w:t>
      </w:r>
      <w:r>
        <w:rPr>
          <w:rFonts w:hint="default" w:ascii="Times New Roman" w:hAnsi="Times New Roman" w:cs="Times New Roman"/>
          <w:b w:val="0"/>
          <w:bCs/>
          <w:sz w:val="24"/>
          <w:szCs w:val="24"/>
        </w:rPr>
        <w:t>. [Online] Available at: http://academic.mintel.com/display/770307/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Murgia, M., and Bond, D. (2017) Netflix seeks European crown in local content push. </w:t>
      </w:r>
      <w:r>
        <w:rPr>
          <w:rFonts w:hint="default" w:ascii="Times New Roman" w:hAnsi="Times New Roman" w:cs="Times New Roman"/>
          <w:b w:val="0"/>
          <w:bCs/>
          <w:i/>
          <w:iCs/>
          <w:sz w:val="24"/>
          <w:szCs w:val="24"/>
        </w:rPr>
        <w:t>Financial Times.</w:t>
      </w:r>
      <w:r>
        <w:rPr>
          <w:rFonts w:hint="default" w:ascii="Times New Roman" w:hAnsi="Times New Roman" w:cs="Times New Roman"/>
          <w:b w:val="0"/>
          <w:bCs/>
          <w:sz w:val="24"/>
          <w:szCs w:val="24"/>
        </w:rPr>
        <w:t xml:space="preserve"> [Online] Available at: https://www.ft.com/content/c286c25e-04d5-11e7-aa5b-6bb07f5c8e12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Netflix, Inc. (2019)</w:t>
      </w:r>
      <w:r>
        <w:rPr>
          <w:rFonts w:hint="default" w:ascii="Times New Roman" w:hAnsi="Times New Roman" w:cs="Times New Roman"/>
          <w:b w:val="0"/>
          <w:bCs/>
          <w:i/>
          <w:iCs/>
          <w:sz w:val="24"/>
          <w:szCs w:val="24"/>
        </w:rPr>
        <w:t xml:space="preserve"> 2018 Annual Report</w:t>
      </w:r>
      <w:r>
        <w:rPr>
          <w:rFonts w:hint="default" w:ascii="Times New Roman" w:hAnsi="Times New Roman" w:cs="Times New Roman"/>
          <w:b w:val="0"/>
          <w:bCs/>
          <w:sz w:val="24"/>
          <w:szCs w:val="24"/>
        </w:rPr>
        <w:t>. [online] Available at: https://s22.q4cdn.com/959853165/files/doc_financials/annual_reports/2018/Form-10K_Q418_Filed.pdf [Accessed 23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Novicevic, M.M. &amp; Harvey, M.G. (2004) The political role of corporate human resource management in strategic global leadership development. </w:t>
      </w:r>
      <w:r>
        <w:rPr>
          <w:rFonts w:hint="default" w:ascii="Times New Roman" w:hAnsi="Times New Roman" w:cs="Times New Roman"/>
          <w:b w:val="0"/>
          <w:bCs/>
          <w:i/>
          <w:iCs/>
          <w:sz w:val="24"/>
          <w:szCs w:val="24"/>
        </w:rPr>
        <w:t>The Leadership Quarterly</w:t>
      </w:r>
      <w:r>
        <w:rPr>
          <w:rFonts w:hint="default" w:ascii="Times New Roman" w:hAnsi="Times New Roman" w:cs="Times New Roman"/>
          <w:b w:val="0"/>
          <w:bCs/>
          <w:sz w:val="24"/>
          <w:szCs w:val="24"/>
        </w:rPr>
        <w:t>, 15(4), pp.569–588.</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Perlberg, S. (2015)</w:t>
      </w:r>
      <w:r>
        <w:rPr>
          <w:rFonts w:hint="default" w:ascii="Times New Roman" w:hAnsi="Times New Roman" w:cs="Times New Roman"/>
          <w:b w:val="0"/>
          <w:bCs/>
          <w:i/>
          <w:iCs/>
          <w:sz w:val="24"/>
          <w:szCs w:val="24"/>
        </w:rPr>
        <w:t xml:space="preserve"> How Netflix Is Shaking Up Its Marketing Strategy.</w:t>
      </w:r>
      <w:r>
        <w:rPr>
          <w:rFonts w:hint="default" w:ascii="Times New Roman" w:hAnsi="Times New Roman" w:cs="Times New Roman"/>
          <w:b w:val="0"/>
          <w:bCs/>
          <w:sz w:val="24"/>
          <w:szCs w:val="24"/>
        </w:rPr>
        <w:t xml:space="preserve"> [online] WSJ. Available at: https://blogs.wsj.com/cmo/2015/04/16/netflix-marketing-strategy/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PROJECT MANAGEMENT. (2019</w:t>
      </w:r>
      <w:r>
        <w:rPr>
          <w:rFonts w:hint="default" w:ascii="Times New Roman" w:hAnsi="Times New Roman" w:cs="Times New Roman"/>
          <w:b w:val="0"/>
          <w:bCs/>
          <w:sz w:val="24"/>
          <w:szCs w:val="24"/>
        </w:rPr>
        <w:t>)</w:t>
      </w:r>
      <w:r>
        <w:rPr>
          <w:rFonts w:hint="default" w:ascii="Times New Roman" w:hAnsi="Times New Roman" w:cs="Times New Roman"/>
          <w:b w:val="0"/>
          <w:bCs/>
          <w:sz w:val="24"/>
          <w:szCs w:val="24"/>
        </w:rPr>
        <w:t xml:space="preserve"> </w:t>
      </w:r>
      <w:r>
        <w:rPr>
          <w:rFonts w:hint="default" w:ascii="Times New Roman" w:hAnsi="Times New Roman" w:cs="Times New Roman"/>
          <w:b w:val="0"/>
          <w:bCs/>
          <w:i/>
          <w:iCs/>
          <w:sz w:val="24"/>
          <w:szCs w:val="24"/>
        </w:rPr>
        <w:t>Types of Risk in Project Management.</w:t>
      </w:r>
      <w:r>
        <w:rPr>
          <w:rFonts w:hint="default" w:ascii="Times New Roman" w:hAnsi="Times New Roman" w:cs="Times New Roman"/>
          <w:b w:val="0"/>
          <w:bCs/>
          <w:sz w:val="24"/>
          <w:szCs w:val="24"/>
        </w:rPr>
        <w:t xml:space="preserve"> [online] Available at: https://project-management.com/types-of-risk-in-project-management/ [Accessed 28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Rego et al. (2012) </w:t>
      </w:r>
      <w:r>
        <w:rPr>
          <w:rFonts w:hint="default" w:ascii="Times New Roman" w:hAnsi="Times New Roman" w:cs="Times New Roman"/>
          <w:b w:val="0"/>
          <w:bCs/>
          <w:i/>
          <w:iCs/>
          <w:sz w:val="24"/>
          <w:szCs w:val="24"/>
        </w:rPr>
        <w:t>The virtues of leadership contemporary challenges for global managers</w:t>
      </w:r>
      <w:r>
        <w:rPr>
          <w:rFonts w:hint="default" w:ascii="Times New Roman" w:hAnsi="Times New Roman" w:cs="Times New Roman"/>
          <w:b w:val="0"/>
          <w:bCs/>
          <w:sz w:val="24"/>
          <w:szCs w:val="24"/>
        </w:rPr>
        <w:t xml:space="preserve"> 1st ed., Oxford: Oxford University Press.</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Russell, J. (2017) Netflix enters China via licensing deal with top video streaming service iQiyi. </w:t>
      </w:r>
      <w:r>
        <w:rPr>
          <w:rFonts w:hint="default" w:ascii="Times New Roman" w:hAnsi="Times New Roman" w:cs="Times New Roman"/>
          <w:b w:val="0"/>
          <w:bCs/>
          <w:i/>
          <w:iCs/>
          <w:sz w:val="24"/>
          <w:szCs w:val="24"/>
        </w:rPr>
        <w:t>Tech Crunch.</w:t>
      </w:r>
      <w:r>
        <w:rPr>
          <w:rFonts w:hint="default" w:ascii="Times New Roman" w:hAnsi="Times New Roman" w:cs="Times New Roman"/>
          <w:b w:val="0"/>
          <w:bCs/>
          <w:sz w:val="24"/>
          <w:szCs w:val="24"/>
        </w:rPr>
        <w:t xml:space="preserve"> [Online] Available at: https://techcrunch.com/2017/04/25/netflix-china-iqiyi/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Schwab, K. (2016) </w:t>
      </w:r>
      <w:r>
        <w:rPr>
          <w:rFonts w:hint="default" w:ascii="Times New Roman" w:hAnsi="Times New Roman" w:cs="Times New Roman"/>
          <w:b w:val="0"/>
          <w:bCs/>
          <w:i/>
          <w:iCs/>
          <w:sz w:val="24"/>
          <w:szCs w:val="24"/>
        </w:rPr>
        <w:t>The Fourth Industrial Revolution: what it means and how to respond</w:t>
      </w:r>
      <w:r>
        <w:rPr>
          <w:rFonts w:hint="default" w:ascii="Times New Roman" w:hAnsi="Times New Roman" w:cs="Times New Roman"/>
          <w:b w:val="0"/>
          <w:bCs/>
          <w:sz w:val="24"/>
          <w:szCs w:val="24"/>
        </w:rPr>
        <w:t>. [online] World Economic Forum. Available at: https://www.weforum.org/agenda/2016/01/the-fourth-industrial-revolution-what-it-means-and-how-to-respond/ [Accessed 23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Schwartz, J., Hauptmann, M., Durme, Y., Denny, B., Bersin, J., Volini, E. and Roy, I. (2019) </w:t>
      </w:r>
      <w:r>
        <w:rPr>
          <w:rFonts w:hint="default" w:ascii="Times New Roman" w:hAnsi="Times New Roman" w:cs="Times New Roman"/>
          <w:b w:val="0"/>
          <w:bCs/>
          <w:i/>
          <w:iCs/>
          <w:sz w:val="24"/>
          <w:szCs w:val="24"/>
        </w:rPr>
        <w:t>From jobs to superjobs - 2019 Global Human Capital Trends.</w:t>
      </w:r>
      <w:r>
        <w:rPr>
          <w:rFonts w:hint="default" w:ascii="Times New Roman" w:hAnsi="Times New Roman" w:cs="Times New Roman"/>
          <w:b w:val="0"/>
          <w:bCs/>
          <w:sz w:val="24"/>
          <w:szCs w:val="24"/>
        </w:rPr>
        <w:t xml:space="preserve"> [online] Deloitte Insights. Available at: https://www2.deloitte.com/us/en/insights/focus/human-capital-trends/2019/impact-of-ai-turning-jobs-into-superjobs.html [Accessed 26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Social Attitudes of Young People Community of Interest. (2014) Social Attitudes of Young People. </w:t>
      </w:r>
      <w:r>
        <w:rPr>
          <w:rFonts w:hint="default" w:ascii="Times New Roman" w:hAnsi="Times New Roman" w:cs="Times New Roman"/>
          <w:b w:val="0"/>
          <w:bCs/>
          <w:i/>
          <w:iCs/>
          <w:sz w:val="24"/>
          <w:szCs w:val="24"/>
        </w:rPr>
        <w:t>HM Government Horizon Scanning Programme</w:t>
      </w:r>
      <w:r>
        <w:rPr>
          <w:rFonts w:hint="default" w:ascii="Times New Roman" w:hAnsi="Times New Roman" w:cs="Times New Roman"/>
          <w:b w:val="0"/>
          <w:bCs/>
          <w:sz w:val="24"/>
          <w:szCs w:val="24"/>
        </w:rPr>
        <w:t>. [online]. Available at: https://www.gov.uk/government/uploads/system/uploads/attachment_data/file/389086/Horizon_Scanning_Social_Attutudes_of_Young_People_report.pdf [Accessed 19 Feb. 2020].</w:t>
      </w:r>
    </w:p>
    <w:p>
      <w:pPr>
        <w:spacing w:line="360" w:lineRule="auto"/>
        <w:rPr>
          <w:rFonts w:hint="default" w:ascii="Times New Roman" w:hAnsi="Times New Roman" w:cs="Times New Roman"/>
          <w:b w:val="0"/>
          <w:bCs/>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Uhl-Bien, M., Marion, R. &amp; McKelvey, B. (2007) Complexity Leadership Theory: Shifting leadership from the industrial age to the knowledge era. </w:t>
      </w:r>
      <w:r>
        <w:rPr>
          <w:rFonts w:hint="default" w:ascii="Times New Roman" w:hAnsi="Times New Roman" w:cs="Times New Roman"/>
          <w:i/>
          <w:iCs/>
          <w:color w:val="auto"/>
          <w:sz w:val="24"/>
          <w:szCs w:val="24"/>
        </w:rPr>
        <w:t>The Leadership Quarterly</w:t>
      </w:r>
      <w:r>
        <w:rPr>
          <w:rFonts w:hint="default" w:ascii="Times New Roman" w:hAnsi="Times New Roman" w:cs="Times New Roman"/>
          <w:color w:val="auto"/>
          <w:sz w:val="24"/>
          <w:szCs w:val="24"/>
        </w:rPr>
        <w:t>, 18(4), pp. 298-318.</w:t>
      </w:r>
    </w:p>
    <w:p>
      <w:pPr>
        <w:spacing w:line="480" w:lineRule="auto"/>
        <w:rPr>
          <w:rFonts w:hint="default" w:ascii="Times New Roman" w:hAnsi="Times New Roman" w:cs="Times New Roman"/>
          <w:color w:val="auto"/>
          <w:sz w:val="24"/>
          <w:szCs w:val="24"/>
        </w:rPr>
      </w:pPr>
    </w:p>
    <w:p>
      <w:pPr>
        <w:spacing w:line="480" w:lineRule="auto"/>
        <w:rPr>
          <w:rFonts w:hint="default" w:ascii="Times New Roman" w:hAnsi="Times New Roman" w:cs="Times New Roman"/>
          <w:color w:val="auto"/>
          <w:sz w:val="24"/>
          <w:szCs w:val="24"/>
        </w:rPr>
      </w:pPr>
      <w:r>
        <w:rPr>
          <w:rFonts w:hint="default" w:ascii="Times New Roman" w:hAnsi="Times New Roman" w:cs="Times New Roman"/>
          <w:color w:val="auto"/>
          <w:sz w:val="24"/>
          <w:szCs w:val="24"/>
        </w:rPr>
        <w:t xml:space="preserve">Uri-Dadush, W. (2012) </w:t>
      </w:r>
      <w:r>
        <w:rPr>
          <w:rFonts w:hint="default" w:ascii="Times New Roman" w:hAnsi="Times New Roman" w:cs="Times New Roman"/>
          <w:i/>
          <w:iCs/>
          <w:color w:val="auto"/>
          <w:sz w:val="24"/>
          <w:szCs w:val="24"/>
        </w:rPr>
        <w:t>Globalization, Labor Markets, and Inequality</w:t>
      </w:r>
      <w:r>
        <w:rPr>
          <w:rFonts w:hint="default" w:ascii="Times New Roman" w:hAnsi="Times New Roman" w:cs="Times New Roman"/>
          <w:color w:val="auto"/>
          <w:sz w:val="24"/>
          <w:szCs w:val="24"/>
        </w:rPr>
        <w:t>. [online] Carnegie Endowment for International Peace. Available at: https://carnegieendowment.org/2012/02/02/globalization-labor-markets-and-inequality-pub-47028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Watson, A. (2020) </w:t>
      </w:r>
      <w:r>
        <w:rPr>
          <w:rFonts w:hint="default" w:ascii="Times New Roman" w:hAnsi="Times New Roman" w:cs="Times New Roman"/>
          <w:b w:val="0"/>
          <w:bCs/>
          <w:i/>
          <w:iCs/>
          <w:sz w:val="24"/>
          <w:szCs w:val="24"/>
        </w:rPr>
        <w:t>Netflix - Statistics &amp; Facts</w:t>
      </w:r>
      <w:r>
        <w:rPr>
          <w:rFonts w:hint="default" w:ascii="Times New Roman" w:hAnsi="Times New Roman" w:cs="Times New Roman"/>
          <w:b w:val="0"/>
          <w:bCs/>
          <w:sz w:val="24"/>
          <w:szCs w:val="24"/>
        </w:rPr>
        <w:t>. [online] statista. Available at: https://www.statista.com/topics/842/netflix/ [Accessed 20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Weeks, A. (2018) </w:t>
      </w:r>
      <w:r>
        <w:rPr>
          <w:rFonts w:hint="default" w:ascii="Times New Roman" w:hAnsi="Times New Roman" w:cs="Times New Roman"/>
          <w:b w:val="0"/>
          <w:bCs/>
          <w:i/>
          <w:iCs/>
          <w:sz w:val="24"/>
          <w:szCs w:val="24"/>
        </w:rPr>
        <w:t>Workforce Planning Practice.</w:t>
      </w:r>
      <w:r>
        <w:rPr>
          <w:rFonts w:hint="default" w:ascii="Times New Roman" w:hAnsi="Times New Roman" w:cs="Times New Roman"/>
          <w:b w:val="0"/>
          <w:bCs/>
          <w:sz w:val="24"/>
          <w:szCs w:val="24"/>
        </w:rPr>
        <w:t xml:space="preserve"> [online] London: CIPD. Available at: https://www.cipd.co.uk/Images/workforce-planning-guide_tcm18-42735.pdf [Accessed 24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Wharton Magazine. (2019) </w:t>
      </w:r>
      <w:r>
        <w:rPr>
          <w:rFonts w:hint="default" w:ascii="Times New Roman" w:hAnsi="Times New Roman" w:cs="Times New Roman"/>
          <w:b w:val="0"/>
          <w:bCs/>
          <w:i/>
          <w:iCs/>
          <w:sz w:val="24"/>
          <w:szCs w:val="24"/>
        </w:rPr>
        <w:t>Does Fear Motivate Workers?</w:t>
      </w:r>
      <w:r>
        <w:rPr>
          <w:rFonts w:hint="default" w:ascii="Times New Roman" w:hAnsi="Times New Roman" w:cs="Times New Roman"/>
          <w:b w:val="0"/>
          <w:bCs/>
          <w:sz w:val="24"/>
          <w:szCs w:val="24"/>
        </w:rPr>
        <w:t>. [online] Available at: https://magazine.wharton.upenn.edu/issues/spring-summer-2019/does-fear-motivate-workers/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val="0"/>
          <w:bCs/>
          <w:sz w:val="24"/>
          <w:szCs w:val="24"/>
        </w:rPr>
      </w:pPr>
      <w:r>
        <w:rPr>
          <w:rFonts w:hint="default" w:ascii="Times New Roman" w:hAnsi="Times New Roman" w:cs="Times New Roman"/>
          <w:b w:val="0"/>
          <w:bCs/>
          <w:sz w:val="24"/>
          <w:szCs w:val="24"/>
        </w:rPr>
        <w:t xml:space="preserve">Winkler, E. and Laughlin, L. (2019) </w:t>
      </w:r>
      <w:r>
        <w:rPr>
          <w:rFonts w:hint="default" w:ascii="Times New Roman" w:hAnsi="Times New Roman" w:cs="Times New Roman"/>
          <w:b w:val="0"/>
          <w:bCs/>
          <w:i/>
          <w:iCs/>
          <w:sz w:val="24"/>
          <w:szCs w:val="24"/>
        </w:rPr>
        <w:t>No Reason for Netflix Investors to Chill.</w:t>
      </w:r>
      <w:r>
        <w:rPr>
          <w:rFonts w:hint="default" w:ascii="Times New Roman" w:hAnsi="Times New Roman" w:cs="Times New Roman"/>
          <w:b w:val="0"/>
          <w:bCs/>
          <w:sz w:val="24"/>
          <w:szCs w:val="24"/>
        </w:rPr>
        <w:t xml:space="preserve"> [online] WSJ. Available at: https://www.wsj.com/articles/no-reason-for-netflix-investors-to-chill-11557745201 [Accessed 25 Feb. 2020].</w:t>
      </w:r>
    </w:p>
    <w:p>
      <w:pPr>
        <w:spacing w:line="360" w:lineRule="auto"/>
        <w:rPr>
          <w:rFonts w:hint="default" w:ascii="Times New Roman" w:hAnsi="Times New Roman" w:cs="Times New Roman"/>
          <w:b w:val="0"/>
          <w:bCs/>
          <w:sz w:val="24"/>
          <w:szCs w:val="24"/>
        </w:rPr>
      </w:pPr>
    </w:p>
    <w:p>
      <w:pPr>
        <w:spacing w:line="360" w:lineRule="auto"/>
        <w:rPr>
          <w:rFonts w:hint="default" w:ascii="Times New Roman" w:hAnsi="Times New Roman" w:cs="Times New Roman"/>
          <w:b/>
          <w:sz w:val="28"/>
          <w:szCs w:val="28"/>
        </w:rPr>
      </w:pPr>
      <w:r>
        <w:rPr>
          <w:rFonts w:hint="default" w:ascii="Times New Roman" w:hAnsi="Times New Roman" w:cs="Times New Roman"/>
          <w:b w:val="0"/>
          <w:bCs/>
          <w:sz w:val="24"/>
          <w:szCs w:val="24"/>
        </w:rPr>
        <w:t xml:space="preserve">Wisskirchen, G., Biacabe, B., Bormann, U., Muntz, A., Niehaus, G., Sole, G. and Brauchitsch, B. (2017) </w:t>
      </w:r>
      <w:r>
        <w:rPr>
          <w:rFonts w:hint="default" w:ascii="Times New Roman" w:hAnsi="Times New Roman" w:cs="Times New Roman"/>
          <w:b w:val="0"/>
          <w:bCs/>
          <w:i/>
          <w:iCs/>
          <w:sz w:val="24"/>
          <w:szCs w:val="24"/>
        </w:rPr>
        <w:t>Artificial Intelligence and Robotics and Their Impact on the Workplace</w:t>
      </w:r>
      <w:r>
        <w:rPr>
          <w:rFonts w:hint="default" w:ascii="Times New Roman" w:hAnsi="Times New Roman" w:cs="Times New Roman"/>
          <w:b w:val="0"/>
          <w:bCs/>
          <w:sz w:val="24"/>
          <w:szCs w:val="24"/>
        </w:rPr>
        <w:t>. IBA Global Employment Institute.</w:t>
      </w:r>
    </w:p>
    <w:p>
      <w:pPr>
        <w:numPr>
          <w:ilvl w:val="0"/>
          <w:numId w:val="0"/>
        </w:numPr>
        <w:spacing w:line="360" w:lineRule="auto"/>
        <w:rPr>
          <w:rFonts w:hint="default" w:ascii="Times New Roman" w:hAnsi="Times New Roman" w:cs="Times New Roman"/>
          <w:color w:val="auto"/>
          <w:sz w:val="24"/>
          <w:szCs w:val="24"/>
        </w:rPr>
        <w:sectPr>
          <w:pgSz w:w="11906" w:h="16838"/>
          <w:pgMar w:top="1417" w:right="1417" w:bottom="1417" w:left="1417" w:header="851" w:footer="992" w:gutter="0"/>
          <w:pgNumType w:fmt="decimal"/>
          <w:cols w:space="425" w:num="1"/>
          <w:docGrid w:type="lines" w:linePitch="312" w:charSpace="0"/>
        </w:sectPr>
      </w:pPr>
    </w:p>
    <w:p>
      <w:pPr>
        <w:pStyle w:val="2"/>
        <w:bidi w:val="0"/>
        <w:spacing w:line="360" w:lineRule="auto"/>
        <w:rPr>
          <w:rFonts w:hint="default" w:ascii="Times New Roman" w:hAnsi="Times New Roman" w:cs="Times New Roman"/>
          <w:b/>
          <w:sz w:val="32"/>
          <w:szCs w:val="32"/>
        </w:rPr>
      </w:pPr>
      <w:bookmarkStart w:id="32" w:name="_Toc65356271_WPSOffice_Level1"/>
      <w:r>
        <w:rPr>
          <w:rFonts w:hint="default" w:ascii="Times New Roman" w:hAnsi="Times New Roman" w:cs="Times New Roman"/>
          <w:b/>
          <w:sz w:val="32"/>
          <w:szCs w:val="32"/>
        </w:rPr>
        <w:t>Appendix I - SWOT analysis of Netflix</w:t>
      </w:r>
      <w:bookmarkEnd w:id="32"/>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44"/>
        <w:gridCol w:w="464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b/>
                <w:bCs/>
                <w:color w:val="FFFFFF"/>
                <w:sz w:val="24"/>
                <w:szCs w:val="24"/>
                <w:highlight w:val="none"/>
                <w:vertAlign w:val="baseline"/>
              </w:rPr>
            </w:pPr>
            <w:r>
              <w:rPr>
                <w:rFonts w:hint="default" w:ascii="Times New Roman" w:hAnsi="Times New Roman" w:cs="Times New Roman"/>
                <w:b/>
                <w:bCs/>
                <w:color w:val="FFFFFF"/>
                <w:sz w:val="24"/>
                <w:szCs w:val="24"/>
                <w:highlight w:val="none"/>
                <w:vertAlign w:val="baseline"/>
              </w:rPr>
              <w:t>Strength</w:t>
            </w:r>
          </w:p>
        </w:tc>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b/>
                <w:bCs/>
                <w:color w:val="FFFFFF"/>
                <w:sz w:val="24"/>
                <w:szCs w:val="24"/>
                <w:highlight w:val="none"/>
                <w:vertAlign w:val="baseline"/>
              </w:rPr>
            </w:pPr>
            <w:r>
              <w:rPr>
                <w:rFonts w:hint="default" w:ascii="Times New Roman" w:hAnsi="Times New Roman" w:cs="Times New Roman"/>
                <w:b/>
                <w:bCs/>
                <w:color w:val="FFFFFF"/>
                <w:sz w:val="24"/>
                <w:szCs w:val="24"/>
                <w:highlight w:val="none"/>
                <w:vertAlign w:val="baseline"/>
              </w:rPr>
              <w:t>Weakness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437" w:hRule="atLeast"/>
        </w:trPr>
        <w:tc>
          <w:tcPr>
            <w:tcW w:w="4644" w:type="dxa"/>
          </w:tcPr>
          <w:p>
            <w:pPr>
              <w:numPr>
                <w:ilvl w:val="0"/>
                <w:numId w:val="1"/>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Excellent marketing strategy (Perlberg, 2015; Dillon, 2019).</w:t>
            </w:r>
          </w:p>
          <w:p>
            <w:pPr>
              <w:numPr>
                <w:ilvl w:val="0"/>
                <w:numId w:val="1"/>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 xml:space="preserve">Strong revenue growth </w:t>
            </w:r>
            <w:r>
              <w:rPr>
                <w:rFonts w:hint="default" w:ascii="Times New Roman" w:hAnsi="Times New Roman" w:cs="Times New Roman"/>
                <w:color w:val="auto"/>
                <w:sz w:val="24"/>
                <w:szCs w:val="24"/>
              </w:rPr>
              <w:t>(Watson, 2020; Netflix, 2019; Wisskirchen et al., 2017)</w:t>
            </w:r>
            <w:r>
              <w:rPr>
                <w:rFonts w:hint="default" w:ascii="Times New Roman" w:hAnsi="Times New Roman" w:cs="Times New Roman"/>
                <w:color w:val="auto"/>
                <w:sz w:val="24"/>
                <w:szCs w:val="24"/>
                <w:vertAlign w:val="baseline"/>
              </w:rPr>
              <w:t>.</w:t>
            </w:r>
          </w:p>
          <w:p>
            <w:pPr>
              <w:numPr>
                <w:ilvl w:val="0"/>
                <w:numId w:val="1"/>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Brilliant business model (Moore, 2019).</w:t>
            </w:r>
          </w:p>
          <w:p>
            <w:pPr>
              <w:numPr>
                <w:ilvl w:val="0"/>
                <w:numId w:val="1"/>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Famous brand (</w:t>
            </w:r>
            <w:r>
              <w:rPr>
                <w:rFonts w:hint="default" w:ascii="Times New Roman" w:hAnsi="Times New Roman" w:cs="Times New Roman"/>
                <w:b w:val="0"/>
                <w:bCs/>
                <w:sz w:val="24"/>
                <w:szCs w:val="24"/>
              </w:rPr>
              <w:t>Brophy, 2019).</w:t>
            </w:r>
          </w:p>
        </w:tc>
        <w:tc>
          <w:tcPr>
            <w:tcW w:w="4644" w:type="dxa"/>
          </w:tcPr>
          <w:p>
            <w:pPr>
              <w:numPr>
                <w:ilvl w:val="0"/>
                <w:numId w:val="8"/>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Growing debt burdens (Denning, 2019; Winkler and Laughlin, 2019).</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b/>
                <w:bCs/>
                <w:color w:val="FFFFFF"/>
                <w:sz w:val="24"/>
                <w:szCs w:val="24"/>
                <w:vertAlign w:val="baseline"/>
              </w:rPr>
            </w:pPr>
            <w:r>
              <w:rPr>
                <w:rFonts w:hint="default" w:ascii="Times New Roman" w:hAnsi="Times New Roman" w:cs="Times New Roman"/>
                <w:b/>
                <w:bCs/>
                <w:color w:val="FFFFFF"/>
                <w:sz w:val="24"/>
                <w:szCs w:val="24"/>
                <w:vertAlign w:val="baseline"/>
              </w:rPr>
              <w:t>Opportunity</w:t>
            </w:r>
          </w:p>
        </w:tc>
        <w:tc>
          <w:tcPr>
            <w:tcW w:w="4644" w:type="dxa"/>
            <w:tcBorders>
              <w:top w:val="single" w:color="4F81BD" w:sz="8" w:space="0"/>
              <w:left w:val="single" w:color="4F81BD" w:sz="8" w:space="0"/>
              <w:bottom w:val="single" w:color="4F81BD" w:sz="8" w:space="0"/>
              <w:right w:val="single" w:color="4F81BD" w:sz="8" w:space="0"/>
            </w:tcBorders>
            <w:shd w:val="clear" w:color="auto" w:fill="4F81BD"/>
          </w:tcPr>
          <w:p>
            <w:pPr>
              <w:numPr>
                <w:ilvl w:val="0"/>
                <w:numId w:val="0"/>
              </w:numPr>
              <w:spacing w:line="360" w:lineRule="auto"/>
              <w:rPr>
                <w:rFonts w:hint="default" w:ascii="Times New Roman" w:hAnsi="Times New Roman" w:cs="Times New Roman"/>
                <w:b/>
                <w:bCs/>
                <w:color w:val="FFFFFF"/>
                <w:sz w:val="24"/>
                <w:szCs w:val="24"/>
                <w:vertAlign w:val="baseline"/>
              </w:rPr>
            </w:pPr>
            <w:r>
              <w:rPr>
                <w:rFonts w:hint="default" w:ascii="Times New Roman" w:hAnsi="Times New Roman" w:cs="Times New Roman"/>
                <w:b/>
                <w:bCs/>
                <w:color w:val="FFFFFF"/>
                <w:sz w:val="24"/>
                <w:szCs w:val="24"/>
                <w:vertAlign w:val="baseline"/>
              </w:rPr>
              <w:t>Threat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1925" w:hRule="atLeast"/>
        </w:trPr>
        <w:tc>
          <w:tcPr>
            <w:tcW w:w="4644" w:type="dxa"/>
          </w:tcPr>
          <w:p>
            <w:pPr>
              <w:numPr>
                <w:ilvl w:val="0"/>
                <w:numId w:val="8"/>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The rise of technology (Mintel, 2016)</w:t>
            </w:r>
          </w:p>
          <w:p>
            <w:pPr>
              <w:numPr>
                <w:ilvl w:val="0"/>
                <w:numId w:val="8"/>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New market in China (Russell, 2017)</w:t>
            </w:r>
          </w:p>
          <w:p>
            <w:pPr>
              <w:numPr>
                <w:ilvl w:val="0"/>
                <w:numId w:val="8"/>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Growing popularity of e-commerce in the UK and Europe</w:t>
            </w:r>
            <w:r>
              <w:rPr>
                <w:rFonts w:hint="default" w:ascii="Times New Roman" w:hAnsi="Times New Roman" w:cs="Times New Roman"/>
                <w:color w:val="auto"/>
                <w:sz w:val="24"/>
                <w:szCs w:val="24"/>
                <w:vertAlign w:val="baseline"/>
              </w:rPr>
              <w:t xml:space="preserve"> (Murgia, 2017)</w:t>
            </w:r>
          </w:p>
        </w:tc>
        <w:tc>
          <w:tcPr>
            <w:tcW w:w="4644" w:type="dxa"/>
          </w:tcPr>
          <w:p>
            <w:pPr>
              <w:numPr>
                <w:ilvl w:val="0"/>
                <w:numId w:val="8"/>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Technological changes</w:t>
            </w:r>
            <w:r>
              <w:rPr>
                <w:rFonts w:hint="default" w:ascii="Times New Roman" w:hAnsi="Times New Roman" w:cs="Times New Roman"/>
                <w:color w:val="auto"/>
                <w:sz w:val="24"/>
                <w:szCs w:val="24"/>
                <w:vertAlign w:val="baseline"/>
              </w:rPr>
              <w:t xml:space="preserve"> (CIPD, 2013)</w:t>
            </w:r>
          </w:p>
          <w:p>
            <w:pPr>
              <w:numPr>
                <w:ilvl w:val="0"/>
                <w:numId w:val="8"/>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Changes in US postal rates (</w:t>
            </w:r>
            <w:r>
              <w:rPr>
                <w:rFonts w:hint="default" w:ascii="Times New Roman" w:hAnsi="Times New Roman" w:cs="Times New Roman"/>
                <w:b w:val="0"/>
                <w:bCs/>
                <w:sz w:val="24"/>
                <w:szCs w:val="24"/>
              </w:rPr>
              <w:t>Watson, 2020)</w:t>
            </w:r>
          </w:p>
          <w:p>
            <w:pPr>
              <w:numPr>
                <w:ilvl w:val="0"/>
                <w:numId w:val="8"/>
              </w:numPr>
              <w:spacing w:line="360" w:lineRule="auto"/>
              <w:ind w:left="420" w:leftChars="0" w:hanging="420" w:firstLineChars="0"/>
              <w:rPr>
                <w:rFonts w:hint="default" w:ascii="Times New Roman" w:hAnsi="Times New Roman" w:cs="Times New Roman"/>
                <w:color w:val="auto"/>
                <w:sz w:val="24"/>
                <w:szCs w:val="24"/>
                <w:vertAlign w:val="baseline"/>
              </w:rPr>
            </w:pPr>
            <w:r>
              <w:rPr>
                <w:rFonts w:hint="default" w:ascii="Times New Roman" w:hAnsi="Times New Roman" w:cs="Times New Roman"/>
                <w:color w:val="auto"/>
                <w:sz w:val="24"/>
                <w:szCs w:val="24"/>
                <w:vertAlign w:val="baseline"/>
              </w:rPr>
              <w:t>Intense competition</w:t>
            </w:r>
            <w:r>
              <w:rPr>
                <w:rFonts w:hint="default" w:ascii="Times New Roman" w:hAnsi="Times New Roman" w:cs="Times New Roman"/>
                <w:color w:val="auto"/>
                <w:sz w:val="24"/>
                <w:szCs w:val="24"/>
                <w:vertAlign w:val="baseline"/>
              </w:rPr>
              <w:t xml:space="preserve"> (Kuchler&amp;Bond, 2017)</w:t>
            </w:r>
          </w:p>
        </w:tc>
      </w:tr>
    </w:tbl>
    <w:p>
      <w:pPr>
        <w:numPr>
          <w:ilvl w:val="0"/>
          <w:numId w:val="0"/>
        </w:numPr>
        <w:spacing w:line="360" w:lineRule="auto"/>
        <w:rPr>
          <w:rFonts w:hint="default" w:ascii="Times New Roman" w:hAnsi="Times New Roman" w:cs="Times New Roman"/>
          <w:color w:val="auto"/>
          <w:sz w:val="24"/>
          <w:szCs w:val="24"/>
        </w:rPr>
      </w:pPr>
    </w:p>
    <w:sectPr>
      <w:pgSz w:w="11906" w:h="16838"/>
      <w:pgMar w:top="1417" w:right="1417" w:bottom="1417" w:left="1417" w:header="851" w:footer="992" w:gutter="0"/>
      <w:pgNumType w:fmt="decimal"/>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 w:name="Roboto">
    <w:altName w:val="苹方-简"/>
    <w:panose1 w:val="00000000000000000000"/>
    <w:charset w:val="00"/>
    <w:family w:val="auto"/>
    <w:pitch w:val="default"/>
    <w:sig w:usb0="00000000" w:usb1="00000000" w:usb2="00000000" w:usb3="00000000" w:csb0="00000000" w:csb1="00000000"/>
  </w:font>
  <w:font w:name="proxima-nova">
    <w:altName w:val="苹方-简"/>
    <w:panose1 w:val="00000000000000000000"/>
    <w:charset w:val="00"/>
    <w:family w:val="auto"/>
    <w:pitch w:val="default"/>
    <w:sig w:usb0="00000000" w:usb1="00000000" w:usb2="00000000" w:usb3="00000000" w:csb0="00000000" w:csb1="00000000"/>
  </w:font>
  <w:font w:name="冬青黑体简体中文">
    <w:panose1 w:val="020B0300000000000000"/>
    <w:charset w:val="86"/>
    <w:family w:val="auto"/>
    <w:pitch w:val="default"/>
    <w:sig w:usb0="A00002BF" w:usb1="1ACF7CFA" w:usb2="00000016" w:usb3="00000000" w:csb0="00060007" w:csb1="00000000"/>
  </w:font>
  <w:font w:name="PingFangHK">
    <w:altName w:val="苹方-简"/>
    <w:panose1 w:val="00000000000000000000"/>
    <w:charset w:val="00"/>
    <w:family w:val="auto"/>
    <w:pitch w:val="default"/>
    <w:sig w:usb0="00000000" w:usb1="00000000" w:usb2="00000000" w:usb3="00000000" w:csb0="00000000" w:csb1="00000000"/>
  </w:font>
  <w:font w:name="Tahoma">
    <w:panose1 w:val="020B0804030504040204"/>
    <w:charset w:val="00"/>
    <w:family w:val="auto"/>
    <w:pitch w:val="default"/>
    <w:sig w:usb0="E1002AFF" w:usb1="C000605B" w:usb2="00000029" w:usb3="00000000" w:csb0="200101FF" w:csb1="20280000"/>
  </w:font>
  <w:font w:name="Open Sans">
    <w:altName w:val="苹方-简"/>
    <w:panose1 w:val="00000000000000000000"/>
    <w:charset w:val="00"/>
    <w:family w:val="auto"/>
    <w:pitch w:val="default"/>
    <w:sig w:usb0="00000000" w:usb1="00000000" w:usb2="00000000" w:usb3="00000000" w:csb0="00000000" w:csb1="00000000"/>
  </w:font>
  <w:font w:name="Source Sans Pro">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GothamNarrow">
    <w:altName w:val="苹方-简"/>
    <w:panose1 w:val="00000000000000000000"/>
    <w:charset w:val="00"/>
    <w:family w:val="auto"/>
    <w:pitch w:val="default"/>
    <w:sig w:usb0="00000000" w:usb1="00000000" w:usb2="00000000" w:usb3="00000000" w:csb0="00000000" w:csb1="00000000"/>
  </w:font>
  <w:font w:name="Wingdings">
    <w:panose1 w:val="05000000000000000000"/>
    <w:charset w:val="00"/>
    <w:family w:val="auto"/>
    <w:pitch w:val="default"/>
    <w:sig w:usb0="00000000" w:usb1="00000000" w:usb2="00000000" w:usb3="00000000" w:csb0="80000000" w:csb1="00000000"/>
  </w:font>
  <w:font w:name="Merriweather">
    <w:altName w:val="苹方-简"/>
    <w:panose1 w:val="00000000000000000000"/>
    <w:charset w:val="00"/>
    <w:family w:val="auto"/>
    <w:pitch w:val="default"/>
    <w:sig w:usb0="00000000" w:usb1="00000000" w:usb2="00000000" w:usb3="00000000" w:csb0="00000000" w:csb1="00000000"/>
  </w:font>
  <w:font w:name="Arial">
    <w:panose1 w:val="020B0604020202090204"/>
    <w:charset w:val="00"/>
    <w:family w:val="auto"/>
    <w:pitch w:val="default"/>
    <w:sig w:usb0="E0000AFF" w:usb1="00007843" w:usb2="00000001" w:usb3="00000000" w:csb0="400001BF" w:csb1="DFF70000"/>
  </w:font>
  <w:font w:name="GT America">
    <w:altName w:val="苹方-简"/>
    <w:panose1 w:val="00000000000000000000"/>
    <w:charset w:val="00"/>
    <w:family w:val="auto"/>
    <w:pitch w:val="default"/>
    <w:sig w:usb0="00000000" w:usb1="00000000" w:usb2="00000000" w:usb3="00000000" w:csb0="00000000" w:csb1="00000000"/>
  </w:font>
  <w:font w:name="Georgia">
    <w:panose1 w:val="02040802050405020203"/>
    <w:charset w:val="00"/>
    <w:family w:val="auto"/>
    <w:pitch w:val="default"/>
    <w:sig w:usb0="00000287" w:usb1="00000000" w:usb2="00000000" w:usb3="00000000" w:csb0="2000009F" w:csb1="00000000"/>
  </w:font>
  <w:font w:name="Apple Chancery">
    <w:panose1 w:val="03020702040506060504"/>
    <w:charset w:val="00"/>
    <w:family w:val="auto"/>
    <w:pitch w:val="default"/>
    <w:sig w:usb0="80000067" w:usb1="00000003" w:usb2="00000000" w:usb3="00000000" w:csb0="200001F3" w:csb1="CDFC0000"/>
  </w:font>
  <w:font w:name="HelveticaNeue">
    <w:altName w:val="苹方-简"/>
    <w:panose1 w:val="00000000000000000000"/>
    <w:charset w:val="00"/>
    <w:family w:val="auto"/>
    <w:pitch w:val="default"/>
    <w:sig w:usb0="00000000" w:usb1="00000000" w:usb2="00000000" w:usb3="00000000" w:csb0="00000000" w:csb1="00000000"/>
  </w:font>
  <w:font w:name=".pingfang sc">
    <w:altName w:val="苹方-简"/>
    <w:panose1 w:val="00000000000000000000"/>
    <w:charset w:val="00"/>
    <w:family w:val="auto"/>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Arial Rounded MT Bold">
    <w:panose1 w:val="020F0704030504030204"/>
    <w:charset w:val="00"/>
    <w:family w:val="auto"/>
    <w:pitch w:val="default"/>
    <w:sig w:usb0="00000003" w:usb1="00000000" w:usb2="00000000" w:usb3="00000000" w:csb0="20000001" w:csb1="00000000"/>
  </w:font>
  <w:font w:name="兰亭黑-简">
    <w:panose1 w:val="02000000000000000000"/>
    <w:charset w:val="86"/>
    <w:family w:val="auto"/>
    <w:pitch w:val="default"/>
    <w:sig w:usb0="00000001" w:usb1="08000000" w:usb2="00000000" w:usb3="00000000" w:csb0="00040000" w:csb1="00000000"/>
  </w:font>
  <w:font w:name="RobotoRegular">
    <w:altName w:val="苹方-简"/>
    <w:panose1 w:val="00000000000000000000"/>
    <w:charset w:val="00"/>
    <w:family w:val="auto"/>
    <w:pitch w:val="default"/>
    <w:sig w:usb0="00000000" w:usb1="00000000" w:usb2="00000000" w:usb3="00000000" w:csb0="00000000" w:csb1="00000000"/>
  </w:font>
  <w:font w:name="Avenir Next Condensed">
    <w:panose1 w:val="020B0806020202020204"/>
    <w:charset w:val="00"/>
    <w:family w:val="auto"/>
    <w:pitch w:val="default"/>
    <w:sig w:usb0="8000002F" w:usb1="5000204A" w:usb2="00000000" w:usb3="00000000" w:csb0="0000009B" w:csb1="00000000"/>
  </w:font>
  <w:font w:name="-webkit-standard">
    <w:altName w:val="苹方-简"/>
    <w:panose1 w:val="00000000000000000000"/>
    <w:charset w:val="00"/>
    <w:family w:val="auto"/>
    <w:pitch w:val="default"/>
    <w:sig w:usb0="00000000" w:usb1="00000000" w:usb2="00000000" w:usb3="00000000" w:csb0="00000000" w:csb1="00000000"/>
  </w:font>
  <w:font w:name="Verdana">
    <w:panose1 w:val="020B0604030504040204"/>
    <w:charset w:val="00"/>
    <w:family w:val="auto"/>
    <w:pitch w:val="default"/>
    <w:sig w:usb0="A10006FF" w:usb1="4000205B" w:usb2="00000010" w:usb3="00000000" w:csb0="2000019F" w:csb1="00000000"/>
  </w:font>
  <w:font w:name="Symbol">
    <w:panose1 w:val="05050102010706020507"/>
    <w:charset w:val="00"/>
    <w:family w:val="auto"/>
    <w:pitch w:val="default"/>
    <w:sig w:usb0="00000000" w:usb1="00000000" w:usb2="00000000" w:usb3="00000000" w:csb0="80000000" w:csb1="00000000"/>
  </w:font>
  <w:font w:name="Noto Sans Symbols">
    <w:altName w:val="苹方-简"/>
    <w:panose1 w:val="00000000000000000000"/>
    <w:charset w:val="00"/>
    <w:family w:val="auto"/>
    <w:pitch w:val="default"/>
    <w:sig w:usb0="00000000" w:usb1="00000000" w:usb2="00000000" w:usb3="00000000" w:csb0="00000000" w:csb1="00000000"/>
  </w:font>
  <w:font w:name="Wingdings">
    <w:panose1 w:val="05000000000000000000"/>
    <w:charset w:val="02"/>
    <w:family w:val="decorative"/>
    <w:pitch w:val="default"/>
    <w:sig w:usb0="00000000" w:usb1="00000000" w:usb2="00000000" w:usb3="00000000" w:csb0="80000000" w:csb1="00000000"/>
  </w:font>
  <w:font w:name="Calibri Light">
    <w:altName w:val="Helvetica Neue"/>
    <w:panose1 w:val="020F0302020204030204"/>
    <w:charset w:val="00"/>
    <w:family w:val="swiss"/>
    <w:pitch w:val="default"/>
    <w:sig w:usb0="00000000" w:usb1="00000000" w:usb2="00000000" w:usb3="00000000" w:csb0="0000019F" w:csb1="00000000"/>
  </w:font>
  <w:font w:name="Calibri">
    <w:altName w:val="Helvetica Neue"/>
    <w:panose1 w:val="020F0502020204030204"/>
    <w:charset w:val="86"/>
    <w:family w:val="swiss"/>
    <w:pitch w:val="default"/>
    <w:sig w:usb0="00000000" w:usb1="00000000" w:usb2="00000001" w:usb3="00000000" w:csb0="0000019F" w:csb1="00000000"/>
  </w:font>
  <w:font w:name="Courier New">
    <w:panose1 w:val="02070309020205020404"/>
    <w:charset w:val="00"/>
    <w:family w:val="modern"/>
    <w:pitch w:val="default"/>
    <w:sig w:usb0="E0002A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Helvetica Neue">
    <w:panose1 w:val="02000503000000020004"/>
    <w:charset w:val="86"/>
    <w:family w:val="swiss"/>
    <w:pitch w:val="default"/>
    <w:sig w:usb0="E50002FF" w:usb1="500079DB" w:usb2="00000010" w:usb3="00000000" w:csb0="00000000" w:csb1="00000000"/>
  </w:font>
  <w:font w:name="system-ui">
    <w:altName w:val="苹方-简"/>
    <w:panose1 w:val="00000000000000000000"/>
    <w:charset w:val="00"/>
    <w:family w:val="auto"/>
    <w:pitch w:val="default"/>
    <w:sig w:usb0="00000000" w:usb1="00000000" w:usb2="00000000" w:usb3="00000000" w:csb0="00000000" w:csb1="00000000"/>
  </w:font>
  <w:font w:name="AdvTT6120e2aa">
    <w:altName w:val="苹方-简"/>
    <w:panose1 w:val="00000000000000000000"/>
    <w:charset w:val="00"/>
    <w:family w:val="auto"/>
    <w:pitch w:val="default"/>
    <w:sig w:usb0="00000000" w:usb1="00000000" w:usb2="00000000" w:usb3="00000000" w:csb0="00000000" w:csb1="00000000"/>
  </w:font>
  <w:font w:name="AdvTT50a2f13e . I">
    <w:altName w:val="苹方-简"/>
    <w:panose1 w:val="00000000000000000000"/>
    <w:charset w:val="00"/>
    <w:family w:val="auto"/>
    <w:pitch w:val="default"/>
    <w:sig w:usb0="00000000" w:usb1="00000000" w:usb2="00000000" w:usb3="00000000" w:csb0="00000000" w:csb1="00000000"/>
  </w:font>
  <w:font w:name="Apple Color Emoji">
    <w:panose1 w:val="00000000000000000000"/>
    <w:charset w:val="00"/>
    <w:family w:val="auto"/>
    <w:pitch w:val="default"/>
    <w:sig w:usb0="00000003" w:usb1="18000000" w:usb2="14000000" w:usb3="00000000" w:csb0="00000001" w:csb1="00000000"/>
  </w:font>
  <w:font w:name="NexusSerif">
    <w:altName w:val="苹方-简"/>
    <w:panose1 w:val="00000000000000000000"/>
    <w:charset w:val="00"/>
    <w:family w:val="auto"/>
    <w:pitch w:val="default"/>
    <w:sig w:usb0="00000000" w:usb1="00000000" w:usb2="00000000" w:usb3="00000000" w:csb0="00000000" w:csb1="00000000"/>
  </w:font>
  <w:font w:name="BlinkMacSystemFont">
    <w:altName w:val="苹方-简"/>
    <w:panose1 w:val="00000000000000000000"/>
    <w:charset w:val="00"/>
    <w:family w:val="auto"/>
    <w:pitch w:val="default"/>
    <w:sig w:usb0="00000000" w:usb1="00000000" w:usb2="00000000" w:usb3="00000000" w:csb0="0000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65408" behindDoc="0" locked="0" layoutInCell="1" allowOverlap="1">
              <wp:simplePos x="0" y="0"/>
              <wp:positionH relativeFrom="margin">
                <wp:align>center</wp:align>
              </wp:positionH>
              <wp:positionV relativeFrom="paragraph">
                <wp:posOffset>0</wp:posOffset>
              </wp:positionV>
              <wp:extent cx="1828800" cy="1828800"/>
              <wp:effectExtent l="0" t="0" r="0" b="0"/>
              <wp:wrapNone/>
              <wp:docPr id="4" name="文本框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65408;mso-width-relative:page;mso-height-relative:page;" filled="f" stroked="f" coordsize="21600,21600" o:gfxdata="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">
              <v:fill on="f" focussize="0,0"/>
              <v:stroke on="f" weight="0.5pt"/>
              <v:imagedata o:title=""/>
              <o:lock v:ext="edit" aspectratio="f"/>
              <v:textbox inset="0mm,0mm,0mm,0mm" style="mso-fit-shape-to-text:t;">
                <w:txbxContent>
                  <w:p>
                    <w:pPr>
                      <w:snapToGrid w:val="0"/>
                      <w:rPr>
                        <w:sz w:val="18"/>
                      </w:rPr>
                    </w:pPr>
                    <w:r>
                      <w:rPr>
                        <w:sz w:val="18"/>
                      </w:rPr>
                      <w:fldChar w:fldCharType="begin"/>
                    </w:r>
                    <w:r>
                      <w:rPr>
                        <w:sz w:val="18"/>
                      </w:rPr>
                      <w:instrText xml:space="preserve"> PAGE  \* MERGEFORMAT </w:instrText>
                    </w:r>
                    <w:r>
                      <w:rPr>
                        <w:sz w:val="18"/>
                      </w:rPr>
                      <w:fldChar w:fldCharType="separate"/>
                    </w:r>
                    <w:r>
                      <w:rPr>
                        <w:sz w:val="18"/>
                      </w:rPr>
                      <w:t>1</w:t>
                    </w:r>
                    <w:r>
                      <w:rPr>
                        <w:sz w:val="18"/>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E43E54F"/>
    <w:multiLevelType w:val="singleLevel"/>
    <w:tmpl w:val="5E43E54F"/>
    <w:lvl w:ilvl="0" w:tentative="0">
      <w:start w:val="1"/>
      <w:numFmt w:val="bullet"/>
      <w:lvlText w:val=""/>
      <w:lvlJc w:val="left"/>
      <w:pPr>
        <w:ind w:left="420" w:leftChars="0" w:hanging="420" w:firstLineChars="0"/>
      </w:pPr>
      <w:rPr>
        <w:rFonts w:hint="default" w:ascii="Wingdings" w:hAnsi="Wingdings"/>
      </w:rPr>
    </w:lvl>
  </w:abstractNum>
  <w:abstractNum w:abstractNumId="1">
    <w:nsid w:val="5E4D1B0A"/>
    <w:multiLevelType w:val="singleLevel"/>
    <w:tmpl w:val="5E4D1B0A"/>
    <w:lvl w:ilvl="0" w:tentative="0">
      <w:start w:val="1"/>
      <w:numFmt w:val="bullet"/>
      <w:lvlText w:val=""/>
      <w:lvlJc w:val="left"/>
      <w:pPr>
        <w:ind w:left="420" w:leftChars="0" w:hanging="420" w:firstLineChars="0"/>
      </w:pPr>
      <w:rPr>
        <w:rFonts w:hint="default" w:ascii="Wingdings" w:hAnsi="Wingdings"/>
      </w:rPr>
    </w:lvl>
  </w:abstractNum>
  <w:abstractNum w:abstractNumId="2">
    <w:nsid w:val="5E4F6B79"/>
    <w:multiLevelType w:val="singleLevel"/>
    <w:tmpl w:val="5E4F6B79"/>
    <w:lvl w:ilvl="0" w:tentative="0">
      <w:start w:val="1"/>
      <w:numFmt w:val="bullet"/>
      <w:lvlText w:val=""/>
      <w:lvlJc w:val="left"/>
      <w:pPr>
        <w:ind w:left="420" w:leftChars="0" w:hanging="420" w:firstLineChars="0"/>
      </w:pPr>
      <w:rPr>
        <w:rFonts w:hint="default" w:ascii="Wingdings" w:hAnsi="Wingdings"/>
      </w:rPr>
    </w:lvl>
  </w:abstractNum>
  <w:abstractNum w:abstractNumId="3">
    <w:nsid w:val="5E4FF186"/>
    <w:multiLevelType w:val="singleLevel"/>
    <w:tmpl w:val="5E4FF186"/>
    <w:lvl w:ilvl="0" w:tentative="0">
      <w:start w:val="1"/>
      <w:numFmt w:val="decimal"/>
      <w:suff w:val="space"/>
      <w:lvlText w:val="%1)"/>
      <w:lvlJc w:val="left"/>
    </w:lvl>
  </w:abstractNum>
  <w:abstractNum w:abstractNumId="4">
    <w:nsid w:val="5E52EB71"/>
    <w:multiLevelType w:val="singleLevel"/>
    <w:tmpl w:val="5E52EB71"/>
    <w:lvl w:ilvl="0" w:tentative="0">
      <w:start w:val="1"/>
      <w:numFmt w:val="bullet"/>
      <w:lvlText w:val=""/>
      <w:lvlJc w:val="left"/>
      <w:pPr>
        <w:ind w:left="420" w:leftChars="0" w:hanging="420" w:firstLineChars="0"/>
      </w:pPr>
      <w:rPr>
        <w:rFonts w:hint="default" w:ascii="Wingdings" w:hAnsi="Wingdings"/>
      </w:rPr>
    </w:lvl>
  </w:abstractNum>
  <w:abstractNum w:abstractNumId="5">
    <w:nsid w:val="5E55A7D0"/>
    <w:multiLevelType w:val="singleLevel"/>
    <w:tmpl w:val="5E55A7D0"/>
    <w:lvl w:ilvl="0" w:tentative="0">
      <w:start w:val="1"/>
      <w:numFmt w:val="lowerLetter"/>
      <w:lvlText w:val="%1."/>
      <w:lvlJc w:val="left"/>
      <w:pPr>
        <w:ind w:left="425" w:leftChars="0" w:hanging="425" w:firstLineChars="0"/>
      </w:pPr>
      <w:rPr>
        <w:rFonts w:hint="default"/>
      </w:rPr>
    </w:lvl>
  </w:abstractNum>
  <w:abstractNum w:abstractNumId="6">
    <w:nsid w:val="5E55A94B"/>
    <w:multiLevelType w:val="singleLevel"/>
    <w:tmpl w:val="5E55A94B"/>
    <w:lvl w:ilvl="0" w:tentative="0">
      <w:start w:val="1"/>
      <w:numFmt w:val="lowerLetter"/>
      <w:lvlText w:val="%1."/>
      <w:lvlJc w:val="left"/>
      <w:pPr>
        <w:ind w:left="425" w:leftChars="0" w:hanging="425" w:firstLineChars="0"/>
      </w:pPr>
      <w:rPr>
        <w:rFonts w:hint="default"/>
      </w:rPr>
    </w:lvl>
  </w:abstractNum>
  <w:abstractNum w:abstractNumId="7">
    <w:nsid w:val="5E57989B"/>
    <w:multiLevelType w:val="singleLevel"/>
    <w:tmpl w:val="5E57989B"/>
    <w:lvl w:ilvl="0" w:tentative="0">
      <w:start w:val="1"/>
      <w:numFmt w:val="decimal"/>
      <w:suff w:val="nothing"/>
      <w:lvlText w:val="%1)"/>
      <w:lvlJc w:val="left"/>
    </w:lvl>
  </w:abstractNum>
  <w:num w:numId="1">
    <w:abstractNumId w:val="0"/>
  </w:num>
  <w:num w:numId="2">
    <w:abstractNumId w:val="1"/>
  </w:num>
  <w:num w:numId="3">
    <w:abstractNumId w:val="7"/>
  </w:num>
  <w:num w:numId="4">
    <w:abstractNumId w:val="3"/>
  </w:num>
  <w:num w:numId="5">
    <w:abstractNumId w:val="4"/>
  </w:num>
  <w:num w:numId="6">
    <w:abstractNumId w:val="5"/>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8"/>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FFA0B2A"/>
    <w:rsid w:val="073F7BED"/>
    <w:rsid w:val="07DF2148"/>
    <w:rsid w:val="09DF8528"/>
    <w:rsid w:val="0AFF1C2A"/>
    <w:rsid w:val="0BFE317D"/>
    <w:rsid w:val="0F9D5D11"/>
    <w:rsid w:val="0FDF4AC6"/>
    <w:rsid w:val="11FBFE34"/>
    <w:rsid w:val="151DDAF5"/>
    <w:rsid w:val="17DD19DD"/>
    <w:rsid w:val="19D9830E"/>
    <w:rsid w:val="1B592AAA"/>
    <w:rsid w:val="1B7B8C70"/>
    <w:rsid w:val="1BAFC30B"/>
    <w:rsid w:val="1BD6F599"/>
    <w:rsid w:val="1DC63858"/>
    <w:rsid w:val="1E7F59C3"/>
    <w:rsid w:val="1EB9BF6F"/>
    <w:rsid w:val="1EBBB024"/>
    <w:rsid w:val="1EBF7CCF"/>
    <w:rsid w:val="1ECE7FDF"/>
    <w:rsid w:val="1EEF5690"/>
    <w:rsid w:val="1EFAAD20"/>
    <w:rsid w:val="1F5E49BD"/>
    <w:rsid w:val="1FFBAD20"/>
    <w:rsid w:val="1FFFF9D5"/>
    <w:rsid w:val="23F6EA25"/>
    <w:rsid w:val="25BB3466"/>
    <w:rsid w:val="25F49AB6"/>
    <w:rsid w:val="26FB7729"/>
    <w:rsid w:val="275F5CF2"/>
    <w:rsid w:val="277FABF8"/>
    <w:rsid w:val="27BF3E39"/>
    <w:rsid w:val="27F74667"/>
    <w:rsid w:val="289FB9EB"/>
    <w:rsid w:val="2AFF41F4"/>
    <w:rsid w:val="2B51C9C7"/>
    <w:rsid w:val="2BC7C8B2"/>
    <w:rsid w:val="2BE6D0BD"/>
    <w:rsid w:val="2BF6B8FA"/>
    <w:rsid w:val="2BFEDE62"/>
    <w:rsid w:val="2D63145E"/>
    <w:rsid w:val="2D75C77A"/>
    <w:rsid w:val="2D7794A6"/>
    <w:rsid w:val="2DCED416"/>
    <w:rsid w:val="2DF92D9B"/>
    <w:rsid w:val="2DFF0ED2"/>
    <w:rsid w:val="2DFF6FD9"/>
    <w:rsid w:val="2E37BB6A"/>
    <w:rsid w:val="2E4FB4E1"/>
    <w:rsid w:val="2E7F7409"/>
    <w:rsid w:val="2EEACBC9"/>
    <w:rsid w:val="2F5E59FA"/>
    <w:rsid w:val="2F7FE4F7"/>
    <w:rsid w:val="2F9D4338"/>
    <w:rsid w:val="2FAF4F8E"/>
    <w:rsid w:val="2FDD0608"/>
    <w:rsid w:val="2FEFAC3A"/>
    <w:rsid w:val="2FF38970"/>
    <w:rsid w:val="2FFA58C6"/>
    <w:rsid w:val="31EF1AD7"/>
    <w:rsid w:val="337F7DE8"/>
    <w:rsid w:val="33F92CB5"/>
    <w:rsid w:val="3462DF0A"/>
    <w:rsid w:val="35D7DA88"/>
    <w:rsid w:val="366ED48C"/>
    <w:rsid w:val="36B30E51"/>
    <w:rsid w:val="37BF4A97"/>
    <w:rsid w:val="37EF55B6"/>
    <w:rsid w:val="37FB3AFB"/>
    <w:rsid w:val="37FB5B7B"/>
    <w:rsid w:val="37FF1ADB"/>
    <w:rsid w:val="37FFC3C6"/>
    <w:rsid w:val="382FB67A"/>
    <w:rsid w:val="387E2BF6"/>
    <w:rsid w:val="38BFB3DC"/>
    <w:rsid w:val="38F659D3"/>
    <w:rsid w:val="39FFB682"/>
    <w:rsid w:val="3A53427D"/>
    <w:rsid w:val="3A79F7CE"/>
    <w:rsid w:val="3A7DA404"/>
    <w:rsid w:val="3AFE2386"/>
    <w:rsid w:val="3AFEE8D9"/>
    <w:rsid w:val="3B1C2EDB"/>
    <w:rsid w:val="3BD75390"/>
    <w:rsid w:val="3BED3D4F"/>
    <w:rsid w:val="3BF37C53"/>
    <w:rsid w:val="3BFE576A"/>
    <w:rsid w:val="3BFF379D"/>
    <w:rsid w:val="3CFF3669"/>
    <w:rsid w:val="3D6FEECE"/>
    <w:rsid w:val="3DEB4B47"/>
    <w:rsid w:val="3DFA2056"/>
    <w:rsid w:val="3DFD059F"/>
    <w:rsid w:val="3E3F548A"/>
    <w:rsid w:val="3E5C7B8C"/>
    <w:rsid w:val="3E66776F"/>
    <w:rsid w:val="3EB59741"/>
    <w:rsid w:val="3EBF5A02"/>
    <w:rsid w:val="3ED7F7A3"/>
    <w:rsid w:val="3EEFF978"/>
    <w:rsid w:val="3EF5F5E7"/>
    <w:rsid w:val="3EF7FE92"/>
    <w:rsid w:val="3EF90FA9"/>
    <w:rsid w:val="3EFEAA6E"/>
    <w:rsid w:val="3F2D1058"/>
    <w:rsid w:val="3F7B5698"/>
    <w:rsid w:val="3F7DFD3A"/>
    <w:rsid w:val="3F96921A"/>
    <w:rsid w:val="3FB19B98"/>
    <w:rsid w:val="3FBEC420"/>
    <w:rsid w:val="3FBF32B9"/>
    <w:rsid w:val="3FBF808F"/>
    <w:rsid w:val="3FC7C2B9"/>
    <w:rsid w:val="3FCE58C2"/>
    <w:rsid w:val="3FDE7EBA"/>
    <w:rsid w:val="3FE2A0E5"/>
    <w:rsid w:val="3FEBD83F"/>
    <w:rsid w:val="3FFA0B2A"/>
    <w:rsid w:val="3FFBAD38"/>
    <w:rsid w:val="3FFED5BC"/>
    <w:rsid w:val="3FFF6A9C"/>
    <w:rsid w:val="423FCEE8"/>
    <w:rsid w:val="439EB931"/>
    <w:rsid w:val="45FFDECC"/>
    <w:rsid w:val="4666C379"/>
    <w:rsid w:val="46FAFF51"/>
    <w:rsid w:val="47BCEE13"/>
    <w:rsid w:val="47E77384"/>
    <w:rsid w:val="47F73C14"/>
    <w:rsid w:val="48EFC400"/>
    <w:rsid w:val="496B73A8"/>
    <w:rsid w:val="496FDCD5"/>
    <w:rsid w:val="49BFFD72"/>
    <w:rsid w:val="4A7F40AC"/>
    <w:rsid w:val="4BBBB924"/>
    <w:rsid w:val="4BBE9ACE"/>
    <w:rsid w:val="4BF9C5B2"/>
    <w:rsid w:val="4BFF78AE"/>
    <w:rsid w:val="4E4B9579"/>
    <w:rsid w:val="4E6EADA4"/>
    <w:rsid w:val="4EED71A2"/>
    <w:rsid w:val="4EFF2A97"/>
    <w:rsid w:val="4F370770"/>
    <w:rsid w:val="4F7DC9C7"/>
    <w:rsid w:val="4FBE1958"/>
    <w:rsid w:val="4FBF8ED9"/>
    <w:rsid w:val="4FDEB5A0"/>
    <w:rsid w:val="4FE91907"/>
    <w:rsid w:val="4FFBC9B4"/>
    <w:rsid w:val="516FB3E0"/>
    <w:rsid w:val="51DFFE87"/>
    <w:rsid w:val="53DFAFF2"/>
    <w:rsid w:val="53F31EE1"/>
    <w:rsid w:val="53FB1E77"/>
    <w:rsid w:val="53FF9565"/>
    <w:rsid w:val="545F0081"/>
    <w:rsid w:val="552B9B07"/>
    <w:rsid w:val="55EFFA33"/>
    <w:rsid w:val="56FE4047"/>
    <w:rsid w:val="577F38ED"/>
    <w:rsid w:val="579974C0"/>
    <w:rsid w:val="57B93623"/>
    <w:rsid w:val="57BE80F1"/>
    <w:rsid w:val="57CE9625"/>
    <w:rsid w:val="57DB5452"/>
    <w:rsid w:val="57DD859E"/>
    <w:rsid w:val="57FB8EF0"/>
    <w:rsid w:val="57FF7B12"/>
    <w:rsid w:val="5A5EFDFD"/>
    <w:rsid w:val="5ABBBC95"/>
    <w:rsid w:val="5AEB300B"/>
    <w:rsid w:val="5B3D0B74"/>
    <w:rsid w:val="5B3D37A0"/>
    <w:rsid w:val="5B778B83"/>
    <w:rsid w:val="5B7D73E7"/>
    <w:rsid w:val="5BA9F873"/>
    <w:rsid w:val="5BB75B58"/>
    <w:rsid w:val="5BFBCB77"/>
    <w:rsid w:val="5BFFA956"/>
    <w:rsid w:val="5C656674"/>
    <w:rsid w:val="5CBD637A"/>
    <w:rsid w:val="5CFD8145"/>
    <w:rsid w:val="5D3A0A8F"/>
    <w:rsid w:val="5D3D3AC8"/>
    <w:rsid w:val="5D6F9F9A"/>
    <w:rsid w:val="5D9F55E8"/>
    <w:rsid w:val="5D9FB3B9"/>
    <w:rsid w:val="5DD7C8C6"/>
    <w:rsid w:val="5DDBAD76"/>
    <w:rsid w:val="5DE50934"/>
    <w:rsid w:val="5DE65E16"/>
    <w:rsid w:val="5DF581C6"/>
    <w:rsid w:val="5DF5971D"/>
    <w:rsid w:val="5DFEFF13"/>
    <w:rsid w:val="5DFF8093"/>
    <w:rsid w:val="5E5AE685"/>
    <w:rsid w:val="5E65833D"/>
    <w:rsid w:val="5E7C7722"/>
    <w:rsid w:val="5E7DF622"/>
    <w:rsid w:val="5E7EE8E9"/>
    <w:rsid w:val="5E9B4306"/>
    <w:rsid w:val="5EADCA02"/>
    <w:rsid w:val="5EC6189D"/>
    <w:rsid w:val="5ED61B5B"/>
    <w:rsid w:val="5EE34FED"/>
    <w:rsid w:val="5EFDB97B"/>
    <w:rsid w:val="5F177EE9"/>
    <w:rsid w:val="5F5DB69E"/>
    <w:rsid w:val="5F7B5014"/>
    <w:rsid w:val="5F7F4C58"/>
    <w:rsid w:val="5FB15ADC"/>
    <w:rsid w:val="5FB6E7C1"/>
    <w:rsid w:val="5FCD7464"/>
    <w:rsid w:val="5FD73DFA"/>
    <w:rsid w:val="5FDAA96D"/>
    <w:rsid w:val="5FEAB920"/>
    <w:rsid w:val="5FEB3308"/>
    <w:rsid w:val="5FED24B9"/>
    <w:rsid w:val="5FEF0CA4"/>
    <w:rsid w:val="5FF764AB"/>
    <w:rsid w:val="5FF7A2B9"/>
    <w:rsid w:val="5FF7B337"/>
    <w:rsid w:val="5FF7B36F"/>
    <w:rsid w:val="5FFB2D5D"/>
    <w:rsid w:val="5FFBA56F"/>
    <w:rsid w:val="5FFBCDB9"/>
    <w:rsid w:val="5FFF6050"/>
    <w:rsid w:val="5FFFA260"/>
    <w:rsid w:val="60FFEAF8"/>
    <w:rsid w:val="61359353"/>
    <w:rsid w:val="616F0739"/>
    <w:rsid w:val="619F109B"/>
    <w:rsid w:val="62CDCE87"/>
    <w:rsid w:val="63DD82B1"/>
    <w:rsid w:val="64E62AA3"/>
    <w:rsid w:val="65F50B78"/>
    <w:rsid w:val="66F3ECAC"/>
    <w:rsid w:val="66FAAA2F"/>
    <w:rsid w:val="66FFF5B5"/>
    <w:rsid w:val="677C52DD"/>
    <w:rsid w:val="67BF5138"/>
    <w:rsid w:val="67BF7C7D"/>
    <w:rsid w:val="67BFA484"/>
    <w:rsid w:val="67BFB6C8"/>
    <w:rsid w:val="67CF2629"/>
    <w:rsid w:val="67F3C728"/>
    <w:rsid w:val="67FB096B"/>
    <w:rsid w:val="67FF8EA2"/>
    <w:rsid w:val="68FE113B"/>
    <w:rsid w:val="69D5F44B"/>
    <w:rsid w:val="69FA34C8"/>
    <w:rsid w:val="69FB3BE5"/>
    <w:rsid w:val="6A6AD0D1"/>
    <w:rsid w:val="6AA714A3"/>
    <w:rsid w:val="6AB7412E"/>
    <w:rsid w:val="6AFEDD3E"/>
    <w:rsid w:val="6BBF2F8B"/>
    <w:rsid w:val="6BD32E15"/>
    <w:rsid w:val="6BD75D14"/>
    <w:rsid w:val="6BEFA250"/>
    <w:rsid w:val="6BF5F82F"/>
    <w:rsid w:val="6BFA89A7"/>
    <w:rsid w:val="6BFBA0CA"/>
    <w:rsid w:val="6BFDE19A"/>
    <w:rsid w:val="6C309A6D"/>
    <w:rsid w:val="6D6F1814"/>
    <w:rsid w:val="6D75986E"/>
    <w:rsid w:val="6DAF07B1"/>
    <w:rsid w:val="6E7FF489"/>
    <w:rsid w:val="6E892EBB"/>
    <w:rsid w:val="6EBB3D83"/>
    <w:rsid w:val="6EBB525B"/>
    <w:rsid w:val="6EBD5B6C"/>
    <w:rsid w:val="6EBF0040"/>
    <w:rsid w:val="6EC3E8AF"/>
    <w:rsid w:val="6EF5B38E"/>
    <w:rsid w:val="6EFBD7BF"/>
    <w:rsid w:val="6EFE7FDB"/>
    <w:rsid w:val="6EFF176E"/>
    <w:rsid w:val="6F2EE6CC"/>
    <w:rsid w:val="6F394993"/>
    <w:rsid w:val="6F3DF468"/>
    <w:rsid w:val="6F4A5D02"/>
    <w:rsid w:val="6F5FBCF4"/>
    <w:rsid w:val="6F6AAB78"/>
    <w:rsid w:val="6F7F13CA"/>
    <w:rsid w:val="6F9B0046"/>
    <w:rsid w:val="6F9E7CFE"/>
    <w:rsid w:val="6FA59717"/>
    <w:rsid w:val="6FB786E9"/>
    <w:rsid w:val="6FBCF6B9"/>
    <w:rsid w:val="6FCFDB71"/>
    <w:rsid w:val="6FD71BE5"/>
    <w:rsid w:val="6FEF60E1"/>
    <w:rsid w:val="6FF8A51A"/>
    <w:rsid w:val="6FFB0B3E"/>
    <w:rsid w:val="6FFD7791"/>
    <w:rsid w:val="6FFE3903"/>
    <w:rsid w:val="6FFF789C"/>
    <w:rsid w:val="7137D0A9"/>
    <w:rsid w:val="71D7662A"/>
    <w:rsid w:val="71FD048F"/>
    <w:rsid w:val="7277887E"/>
    <w:rsid w:val="72FE8BB6"/>
    <w:rsid w:val="737FF7E2"/>
    <w:rsid w:val="73F79FF7"/>
    <w:rsid w:val="73FA82E6"/>
    <w:rsid w:val="73FAB05B"/>
    <w:rsid w:val="74BFF2EA"/>
    <w:rsid w:val="74CF4867"/>
    <w:rsid w:val="75ADF202"/>
    <w:rsid w:val="75AFB4CA"/>
    <w:rsid w:val="75DC0353"/>
    <w:rsid w:val="75FB2A73"/>
    <w:rsid w:val="75FD0F7A"/>
    <w:rsid w:val="763A8CCD"/>
    <w:rsid w:val="769DB880"/>
    <w:rsid w:val="76AB2E71"/>
    <w:rsid w:val="76BE54FB"/>
    <w:rsid w:val="76D5E60B"/>
    <w:rsid w:val="76DF2D3E"/>
    <w:rsid w:val="76E3488C"/>
    <w:rsid w:val="76EBA8C6"/>
    <w:rsid w:val="76FB0BF9"/>
    <w:rsid w:val="76FC06F0"/>
    <w:rsid w:val="773786A6"/>
    <w:rsid w:val="773A89B5"/>
    <w:rsid w:val="776E4624"/>
    <w:rsid w:val="779F11CF"/>
    <w:rsid w:val="77BB637B"/>
    <w:rsid w:val="77BB71B8"/>
    <w:rsid w:val="77C781F6"/>
    <w:rsid w:val="77D5F602"/>
    <w:rsid w:val="77DA4A94"/>
    <w:rsid w:val="77DBF752"/>
    <w:rsid w:val="77E4F932"/>
    <w:rsid w:val="77E75C74"/>
    <w:rsid w:val="77EE64B8"/>
    <w:rsid w:val="77EF384D"/>
    <w:rsid w:val="77F453F9"/>
    <w:rsid w:val="77F75D87"/>
    <w:rsid w:val="77F7DA95"/>
    <w:rsid w:val="77FAC475"/>
    <w:rsid w:val="77FE2067"/>
    <w:rsid w:val="77FF1A86"/>
    <w:rsid w:val="77FF841F"/>
    <w:rsid w:val="77FFCC4A"/>
    <w:rsid w:val="77FFD053"/>
    <w:rsid w:val="77FFF23C"/>
    <w:rsid w:val="78EFA83C"/>
    <w:rsid w:val="795F8B29"/>
    <w:rsid w:val="799EA995"/>
    <w:rsid w:val="79CF28F2"/>
    <w:rsid w:val="79F073BC"/>
    <w:rsid w:val="7ADF7AB6"/>
    <w:rsid w:val="7AFDE248"/>
    <w:rsid w:val="7B4F81A4"/>
    <w:rsid w:val="7B7F0875"/>
    <w:rsid w:val="7B7F3DAE"/>
    <w:rsid w:val="7B9184AF"/>
    <w:rsid w:val="7BA70698"/>
    <w:rsid w:val="7BA726DC"/>
    <w:rsid w:val="7BA72B0D"/>
    <w:rsid w:val="7BABCB23"/>
    <w:rsid w:val="7BB7870F"/>
    <w:rsid w:val="7BBB688E"/>
    <w:rsid w:val="7BBC3565"/>
    <w:rsid w:val="7BBF7399"/>
    <w:rsid w:val="7BBFA646"/>
    <w:rsid w:val="7BD31942"/>
    <w:rsid w:val="7BD7CAE3"/>
    <w:rsid w:val="7BDF1734"/>
    <w:rsid w:val="7BDFB6A1"/>
    <w:rsid w:val="7BEEF296"/>
    <w:rsid w:val="7BF27C8D"/>
    <w:rsid w:val="7BF78019"/>
    <w:rsid w:val="7BF9D09E"/>
    <w:rsid w:val="7BFA61E5"/>
    <w:rsid w:val="7BFD8ADA"/>
    <w:rsid w:val="7BFDC76A"/>
    <w:rsid w:val="7BFEEAFC"/>
    <w:rsid w:val="7BFEF3C1"/>
    <w:rsid w:val="7BFF339E"/>
    <w:rsid w:val="7BFFA8B2"/>
    <w:rsid w:val="7C7B759B"/>
    <w:rsid w:val="7CCD71D0"/>
    <w:rsid w:val="7CDB30DE"/>
    <w:rsid w:val="7CFACF90"/>
    <w:rsid w:val="7CFAF952"/>
    <w:rsid w:val="7CFE73E3"/>
    <w:rsid w:val="7CFEF997"/>
    <w:rsid w:val="7D3FCE3E"/>
    <w:rsid w:val="7D4F0F7A"/>
    <w:rsid w:val="7D4F6489"/>
    <w:rsid w:val="7D5E86E5"/>
    <w:rsid w:val="7D7A03C4"/>
    <w:rsid w:val="7D7D34E4"/>
    <w:rsid w:val="7D9E0A74"/>
    <w:rsid w:val="7DA83A76"/>
    <w:rsid w:val="7DB4DA71"/>
    <w:rsid w:val="7DB7A2EC"/>
    <w:rsid w:val="7DBDE9D8"/>
    <w:rsid w:val="7DC32D79"/>
    <w:rsid w:val="7DDE44A4"/>
    <w:rsid w:val="7DE2D41F"/>
    <w:rsid w:val="7DE3881C"/>
    <w:rsid w:val="7DF32726"/>
    <w:rsid w:val="7DF65C15"/>
    <w:rsid w:val="7DF79A2E"/>
    <w:rsid w:val="7DF93D5F"/>
    <w:rsid w:val="7DFD3420"/>
    <w:rsid w:val="7DFF9837"/>
    <w:rsid w:val="7DFFC8BD"/>
    <w:rsid w:val="7DFFE49D"/>
    <w:rsid w:val="7E37BFC8"/>
    <w:rsid w:val="7E3F8C46"/>
    <w:rsid w:val="7E49C0C3"/>
    <w:rsid w:val="7E4C63BD"/>
    <w:rsid w:val="7E5EBF9B"/>
    <w:rsid w:val="7E9FC812"/>
    <w:rsid w:val="7EAD225D"/>
    <w:rsid w:val="7EB0E292"/>
    <w:rsid w:val="7EDF8577"/>
    <w:rsid w:val="7EEF30AB"/>
    <w:rsid w:val="7EF47652"/>
    <w:rsid w:val="7EF6EFD3"/>
    <w:rsid w:val="7EFB47A8"/>
    <w:rsid w:val="7EFD11AD"/>
    <w:rsid w:val="7EFD4B73"/>
    <w:rsid w:val="7EFFA3C6"/>
    <w:rsid w:val="7F2DF68A"/>
    <w:rsid w:val="7F3724AA"/>
    <w:rsid w:val="7F47A03D"/>
    <w:rsid w:val="7F6B8F4C"/>
    <w:rsid w:val="7F6FEB4A"/>
    <w:rsid w:val="7F6FF51D"/>
    <w:rsid w:val="7F754955"/>
    <w:rsid w:val="7F75820A"/>
    <w:rsid w:val="7F777D74"/>
    <w:rsid w:val="7F7784D6"/>
    <w:rsid w:val="7F79F06E"/>
    <w:rsid w:val="7F7BABA6"/>
    <w:rsid w:val="7F7DA43F"/>
    <w:rsid w:val="7F7E38A3"/>
    <w:rsid w:val="7F7E5264"/>
    <w:rsid w:val="7F7EB3B5"/>
    <w:rsid w:val="7F7F041A"/>
    <w:rsid w:val="7F7F0D67"/>
    <w:rsid w:val="7F7F12A1"/>
    <w:rsid w:val="7F7F8D30"/>
    <w:rsid w:val="7F7FCFA5"/>
    <w:rsid w:val="7F7FF497"/>
    <w:rsid w:val="7F8258A0"/>
    <w:rsid w:val="7F9F0944"/>
    <w:rsid w:val="7F9FD653"/>
    <w:rsid w:val="7FAB0D55"/>
    <w:rsid w:val="7FAD77F8"/>
    <w:rsid w:val="7FAF3411"/>
    <w:rsid w:val="7FAFA88A"/>
    <w:rsid w:val="7FAFCD7A"/>
    <w:rsid w:val="7FB712D1"/>
    <w:rsid w:val="7FB77A15"/>
    <w:rsid w:val="7FB98747"/>
    <w:rsid w:val="7FBD57D4"/>
    <w:rsid w:val="7FBF63E1"/>
    <w:rsid w:val="7FBF6ADB"/>
    <w:rsid w:val="7FC9D29D"/>
    <w:rsid w:val="7FCF5298"/>
    <w:rsid w:val="7FD26EC0"/>
    <w:rsid w:val="7FDBC3DE"/>
    <w:rsid w:val="7FDC4A8B"/>
    <w:rsid w:val="7FDE6451"/>
    <w:rsid w:val="7FDF8A38"/>
    <w:rsid w:val="7FDFCCF9"/>
    <w:rsid w:val="7FDFE743"/>
    <w:rsid w:val="7FDFEF71"/>
    <w:rsid w:val="7FE035B9"/>
    <w:rsid w:val="7FE925BA"/>
    <w:rsid w:val="7FF1C982"/>
    <w:rsid w:val="7FF6B9B2"/>
    <w:rsid w:val="7FF75421"/>
    <w:rsid w:val="7FF78788"/>
    <w:rsid w:val="7FF7AB97"/>
    <w:rsid w:val="7FF85869"/>
    <w:rsid w:val="7FFA24F5"/>
    <w:rsid w:val="7FFA4362"/>
    <w:rsid w:val="7FFBFBD3"/>
    <w:rsid w:val="7FFCC1A5"/>
    <w:rsid w:val="7FFD3182"/>
    <w:rsid w:val="7FFD7395"/>
    <w:rsid w:val="7FFD8F37"/>
    <w:rsid w:val="7FFDA77E"/>
    <w:rsid w:val="7FFDE9D3"/>
    <w:rsid w:val="7FFDF400"/>
    <w:rsid w:val="7FFEAAE4"/>
    <w:rsid w:val="7FFEB009"/>
    <w:rsid w:val="7FFEC8A6"/>
    <w:rsid w:val="7FFEF90F"/>
    <w:rsid w:val="7FFF1118"/>
    <w:rsid w:val="7FFF2288"/>
    <w:rsid w:val="7FFF50A4"/>
    <w:rsid w:val="7FFF61ED"/>
    <w:rsid w:val="7FFFA323"/>
    <w:rsid w:val="7FFFDED3"/>
    <w:rsid w:val="836A1F2C"/>
    <w:rsid w:val="843FCB81"/>
    <w:rsid w:val="87B0430B"/>
    <w:rsid w:val="8B279FA3"/>
    <w:rsid w:val="8BB61F09"/>
    <w:rsid w:val="8CB4784F"/>
    <w:rsid w:val="8DD355F2"/>
    <w:rsid w:val="8EDFD447"/>
    <w:rsid w:val="8EF77547"/>
    <w:rsid w:val="8EFD550C"/>
    <w:rsid w:val="8FE9F593"/>
    <w:rsid w:val="8FFE72B8"/>
    <w:rsid w:val="90AF6669"/>
    <w:rsid w:val="914BC686"/>
    <w:rsid w:val="93CB6430"/>
    <w:rsid w:val="949D5B8D"/>
    <w:rsid w:val="9674D887"/>
    <w:rsid w:val="96EB7C3D"/>
    <w:rsid w:val="97731C20"/>
    <w:rsid w:val="9775A347"/>
    <w:rsid w:val="9777F87C"/>
    <w:rsid w:val="97EEC5E6"/>
    <w:rsid w:val="9AEDBA99"/>
    <w:rsid w:val="9AF3C35B"/>
    <w:rsid w:val="9AFF927E"/>
    <w:rsid w:val="9BFB36EB"/>
    <w:rsid w:val="9D5F35E6"/>
    <w:rsid w:val="9EEF1C30"/>
    <w:rsid w:val="9F3B38CB"/>
    <w:rsid w:val="9F7E20D1"/>
    <w:rsid w:val="9FDF1C4F"/>
    <w:rsid w:val="9FDFC833"/>
    <w:rsid w:val="9FEBCC77"/>
    <w:rsid w:val="9FF77687"/>
    <w:rsid w:val="9FFE5E62"/>
    <w:rsid w:val="A136EC41"/>
    <w:rsid w:val="A7E74728"/>
    <w:rsid w:val="A7FDB63E"/>
    <w:rsid w:val="A7FF74DA"/>
    <w:rsid w:val="AA776B68"/>
    <w:rsid w:val="AAFBC0FF"/>
    <w:rsid w:val="AB7DEC96"/>
    <w:rsid w:val="AC770201"/>
    <w:rsid w:val="AE3F727D"/>
    <w:rsid w:val="AE8D6A67"/>
    <w:rsid w:val="AF56106A"/>
    <w:rsid w:val="AFABCF44"/>
    <w:rsid w:val="AFBF40BE"/>
    <w:rsid w:val="AFBFB0AB"/>
    <w:rsid w:val="AFC75552"/>
    <w:rsid w:val="AFE58FB4"/>
    <w:rsid w:val="AFF4F9A0"/>
    <w:rsid w:val="AFF71CB8"/>
    <w:rsid w:val="AFF775A1"/>
    <w:rsid w:val="AFFDFFEF"/>
    <w:rsid w:val="AFFFB7CF"/>
    <w:rsid w:val="B37F3B37"/>
    <w:rsid w:val="B3ED44E7"/>
    <w:rsid w:val="B3EFAFB9"/>
    <w:rsid w:val="B55765ED"/>
    <w:rsid w:val="B5A7D43C"/>
    <w:rsid w:val="B5BFF48E"/>
    <w:rsid w:val="B5EFBA33"/>
    <w:rsid w:val="B5EFD6C7"/>
    <w:rsid w:val="B637C9C1"/>
    <w:rsid w:val="B65F0C5D"/>
    <w:rsid w:val="B6EFDE83"/>
    <w:rsid w:val="B7555A13"/>
    <w:rsid w:val="B764927E"/>
    <w:rsid w:val="B7B48C62"/>
    <w:rsid w:val="B7BDB863"/>
    <w:rsid w:val="B7BFE63C"/>
    <w:rsid w:val="B7F6467C"/>
    <w:rsid w:val="B7F6CA0F"/>
    <w:rsid w:val="B8BBDAD8"/>
    <w:rsid w:val="B8BC469C"/>
    <w:rsid w:val="B93D483D"/>
    <w:rsid w:val="B9B6C5A0"/>
    <w:rsid w:val="B9BD555A"/>
    <w:rsid w:val="B9F51F96"/>
    <w:rsid w:val="B9FD755F"/>
    <w:rsid w:val="BA7D0F5D"/>
    <w:rsid w:val="BAFE6792"/>
    <w:rsid w:val="BB3DDB8F"/>
    <w:rsid w:val="BBB2DC43"/>
    <w:rsid w:val="BBBF31BD"/>
    <w:rsid w:val="BBBFAB13"/>
    <w:rsid w:val="BBD783A0"/>
    <w:rsid w:val="BBEF72C4"/>
    <w:rsid w:val="BBF8FD06"/>
    <w:rsid w:val="BBF96DF7"/>
    <w:rsid w:val="BCAF8121"/>
    <w:rsid w:val="BCDDAFD8"/>
    <w:rsid w:val="BCF328AD"/>
    <w:rsid w:val="BD7FBB02"/>
    <w:rsid w:val="BDB76773"/>
    <w:rsid w:val="BDD9259A"/>
    <w:rsid w:val="BDFAE85B"/>
    <w:rsid w:val="BDFF1056"/>
    <w:rsid w:val="BE5FC095"/>
    <w:rsid w:val="BEB78C09"/>
    <w:rsid w:val="BECF5A94"/>
    <w:rsid w:val="BEDEB4C7"/>
    <w:rsid w:val="BEF76666"/>
    <w:rsid w:val="BF2F187D"/>
    <w:rsid w:val="BF3FE2EB"/>
    <w:rsid w:val="BF76880F"/>
    <w:rsid w:val="BFB96421"/>
    <w:rsid w:val="BFBEBCD2"/>
    <w:rsid w:val="BFBF6D9A"/>
    <w:rsid w:val="BFD73047"/>
    <w:rsid w:val="BFD772C4"/>
    <w:rsid w:val="BFDBCBDB"/>
    <w:rsid w:val="BFDCF1E7"/>
    <w:rsid w:val="BFE09074"/>
    <w:rsid w:val="BFE3E629"/>
    <w:rsid w:val="BFE6FCDB"/>
    <w:rsid w:val="BFEFB2D8"/>
    <w:rsid w:val="BFEFE0EC"/>
    <w:rsid w:val="BFF6440C"/>
    <w:rsid w:val="BFFB6F33"/>
    <w:rsid w:val="BFFE62F8"/>
    <w:rsid w:val="BFFF1278"/>
    <w:rsid w:val="BFFF59D5"/>
    <w:rsid w:val="BFFFB4BC"/>
    <w:rsid w:val="BFFFFEDE"/>
    <w:rsid w:val="C3BF4CA3"/>
    <w:rsid w:val="C3CF31B5"/>
    <w:rsid w:val="C5FDD5B9"/>
    <w:rsid w:val="C67FD327"/>
    <w:rsid w:val="C6DED604"/>
    <w:rsid w:val="C6FEBF03"/>
    <w:rsid w:val="C93C5CD0"/>
    <w:rsid w:val="C99BDB74"/>
    <w:rsid w:val="CA79339E"/>
    <w:rsid w:val="CB550C3E"/>
    <w:rsid w:val="CBEB5B00"/>
    <w:rsid w:val="CD4BA9D7"/>
    <w:rsid w:val="CD6F42D0"/>
    <w:rsid w:val="CDB7E060"/>
    <w:rsid w:val="CDC70B25"/>
    <w:rsid w:val="CDF3AABE"/>
    <w:rsid w:val="CDF791C6"/>
    <w:rsid w:val="CF7B5761"/>
    <w:rsid w:val="CFBF82F1"/>
    <w:rsid w:val="CFBFCB0D"/>
    <w:rsid w:val="CFDF3C96"/>
    <w:rsid w:val="D0EF14A2"/>
    <w:rsid w:val="D2B74175"/>
    <w:rsid w:val="D37F8F57"/>
    <w:rsid w:val="D3FFD28E"/>
    <w:rsid w:val="D57FE3A9"/>
    <w:rsid w:val="D5F3AE59"/>
    <w:rsid w:val="D6FC4DE3"/>
    <w:rsid w:val="D71F1B5E"/>
    <w:rsid w:val="D76B1379"/>
    <w:rsid w:val="D7CC9631"/>
    <w:rsid w:val="D7EAE7B2"/>
    <w:rsid w:val="D7F7976A"/>
    <w:rsid w:val="D7F79EEC"/>
    <w:rsid w:val="D7FF0250"/>
    <w:rsid w:val="D97FC1F0"/>
    <w:rsid w:val="D9BBEBC1"/>
    <w:rsid w:val="D9BF71E1"/>
    <w:rsid w:val="D9EFA6B0"/>
    <w:rsid w:val="DB27CB52"/>
    <w:rsid w:val="DB7BE2BF"/>
    <w:rsid w:val="DBBE1177"/>
    <w:rsid w:val="DBBFACD5"/>
    <w:rsid w:val="DBCBFF5F"/>
    <w:rsid w:val="DBDADE87"/>
    <w:rsid w:val="DBFFE035"/>
    <w:rsid w:val="DC75993E"/>
    <w:rsid w:val="DCB56E41"/>
    <w:rsid w:val="DCB95749"/>
    <w:rsid w:val="DD6BB26C"/>
    <w:rsid w:val="DD7F630F"/>
    <w:rsid w:val="DDD3523A"/>
    <w:rsid w:val="DDDF7026"/>
    <w:rsid w:val="DDEB8E47"/>
    <w:rsid w:val="DDF1AFAA"/>
    <w:rsid w:val="DDFF0CF1"/>
    <w:rsid w:val="DE2AE811"/>
    <w:rsid w:val="DE5973AD"/>
    <w:rsid w:val="DE7F7015"/>
    <w:rsid w:val="DE9B2660"/>
    <w:rsid w:val="DE9E2495"/>
    <w:rsid w:val="DEAF36F0"/>
    <w:rsid w:val="DEBF2975"/>
    <w:rsid w:val="DEDBA884"/>
    <w:rsid w:val="DEEAB4A5"/>
    <w:rsid w:val="DEEDAC39"/>
    <w:rsid w:val="DF27C377"/>
    <w:rsid w:val="DF3BBD9E"/>
    <w:rsid w:val="DF542849"/>
    <w:rsid w:val="DF761A9E"/>
    <w:rsid w:val="DF77759D"/>
    <w:rsid w:val="DF7F5C2A"/>
    <w:rsid w:val="DF9F2EE1"/>
    <w:rsid w:val="DFAFD3B4"/>
    <w:rsid w:val="DFB1067C"/>
    <w:rsid w:val="DFBBA83F"/>
    <w:rsid w:val="DFC637B3"/>
    <w:rsid w:val="DFCF0C36"/>
    <w:rsid w:val="DFDF7C07"/>
    <w:rsid w:val="DFE773D5"/>
    <w:rsid w:val="DFFB928E"/>
    <w:rsid w:val="DFFDAD90"/>
    <w:rsid w:val="DFFF046A"/>
    <w:rsid w:val="DFFF442B"/>
    <w:rsid w:val="DFFF839D"/>
    <w:rsid w:val="E37E604F"/>
    <w:rsid w:val="E3BE7BF3"/>
    <w:rsid w:val="E3FD53DB"/>
    <w:rsid w:val="E47EC7FD"/>
    <w:rsid w:val="E4EE3742"/>
    <w:rsid w:val="E5DBBEC2"/>
    <w:rsid w:val="E6B99494"/>
    <w:rsid w:val="E6BB40CE"/>
    <w:rsid w:val="E6DC9C1B"/>
    <w:rsid w:val="E6FBCA8F"/>
    <w:rsid w:val="E6FFF48D"/>
    <w:rsid w:val="E73A5647"/>
    <w:rsid w:val="E7464138"/>
    <w:rsid w:val="E77F9BED"/>
    <w:rsid w:val="E78FA483"/>
    <w:rsid w:val="E7DFDC66"/>
    <w:rsid w:val="E7EF4DC4"/>
    <w:rsid w:val="E7FF0D24"/>
    <w:rsid w:val="E8BB41CC"/>
    <w:rsid w:val="E97FA9BD"/>
    <w:rsid w:val="E9B77D05"/>
    <w:rsid w:val="E9EFA46F"/>
    <w:rsid w:val="EA7E2254"/>
    <w:rsid w:val="EAFB63D7"/>
    <w:rsid w:val="EB9FBA50"/>
    <w:rsid w:val="EBDD714E"/>
    <w:rsid w:val="EBEEBCF5"/>
    <w:rsid w:val="EBF738DB"/>
    <w:rsid w:val="EC7D5DE3"/>
    <w:rsid w:val="EC7D708B"/>
    <w:rsid w:val="ECB37F90"/>
    <w:rsid w:val="ED7FCA4A"/>
    <w:rsid w:val="EDBF60C7"/>
    <w:rsid w:val="EDDF895B"/>
    <w:rsid w:val="EDECBD91"/>
    <w:rsid w:val="EDEF7077"/>
    <w:rsid w:val="EDF2B18A"/>
    <w:rsid w:val="EE05CBCF"/>
    <w:rsid w:val="EE5A8D83"/>
    <w:rsid w:val="EE6F6EF6"/>
    <w:rsid w:val="EE7E318A"/>
    <w:rsid w:val="EE8FA770"/>
    <w:rsid w:val="EEA97012"/>
    <w:rsid w:val="EEBDC116"/>
    <w:rsid w:val="EEDA8464"/>
    <w:rsid w:val="EEF76E04"/>
    <w:rsid w:val="EEFB711C"/>
    <w:rsid w:val="EEFEE238"/>
    <w:rsid w:val="EF264F5A"/>
    <w:rsid w:val="EF5F5247"/>
    <w:rsid w:val="EF7DB017"/>
    <w:rsid w:val="EF7F5038"/>
    <w:rsid w:val="EF9369BC"/>
    <w:rsid w:val="EFBE8A58"/>
    <w:rsid w:val="EFCEF4D5"/>
    <w:rsid w:val="EFCF351B"/>
    <w:rsid w:val="EFD25D69"/>
    <w:rsid w:val="EFD94303"/>
    <w:rsid w:val="EFDFD0D9"/>
    <w:rsid w:val="EFEB37EA"/>
    <w:rsid w:val="EFEF3EDC"/>
    <w:rsid w:val="EFF24641"/>
    <w:rsid w:val="EFF58153"/>
    <w:rsid w:val="EFFE6405"/>
    <w:rsid w:val="EFFE9C98"/>
    <w:rsid w:val="EFFF7EEC"/>
    <w:rsid w:val="EFFFBF45"/>
    <w:rsid w:val="EFFFDFA1"/>
    <w:rsid w:val="F07F5882"/>
    <w:rsid w:val="F0AE44DC"/>
    <w:rsid w:val="F17FC5FA"/>
    <w:rsid w:val="F18BCFB3"/>
    <w:rsid w:val="F1FF15AC"/>
    <w:rsid w:val="F27F53E1"/>
    <w:rsid w:val="F29F40C2"/>
    <w:rsid w:val="F2DF2394"/>
    <w:rsid w:val="F2EE7F75"/>
    <w:rsid w:val="F3768F87"/>
    <w:rsid w:val="F3BFF681"/>
    <w:rsid w:val="F3CF74E5"/>
    <w:rsid w:val="F3FBD6D3"/>
    <w:rsid w:val="F3FFD270"/>
    <w:rsid w:val="F476E515"/>
    <w:rsid w:val="F4F732D7"/>
    <w:rsid w:val="F57925AA"/>
    <w:rsid w:val="F5B341E0"/>
    <w:rsid w:val="F5B9225F"/>
    <w:rsid w:val="F5D700F4"/>
    <w:rsid w:val="F5ED8CE0"/>
    <w:rsid w:val="F5EFAD84"/>
    <w:rsid w:val="F5F2CE54"/>
    <w:rsid w:val="F5F465FD"/>
    <w:rsid w:val="F5F515DA"/>
    <w:rsid w:val="F5FD8EA0"/>
    <w:rsid w:val="F62F6004"/>
    <w:rsid w:val="F63EC179"/>
    <w:rsid w:val="F65D21E7"/>
    <w:rsid w:val="F65D6D77"/>
    <w:rsid w:val="F65DD35A"/>
    <w:rsid w:val="F67E81FC"/>
    <w:rsid w:val="F67F4212"/>
    <w:rsid w:val="F693A4AF"/>
    <w:rsid w:val="F6C5DE3D"/>
    <w:rsid w:val="F6F7CDD6"/>
    <w:rsid w:val="F6FE12A8"/>
    <w:rsid w:val="F7771C35"/>
    <w:rsid w:val="F7788E24"/>
    <w:rsid w:val="F77EC58E"/>
    <w:rsid w:val="F77F8140"/>
    <w:rsid w:val="F77F914B"/>
    <w:rsid w:val="F797ED3E"/>
    <w:rsid w:val="F79E3421"/>
    <w:rsid w:val="F7AF84C1"/>
    <w:rsid w:val="F7D9BE9E"/>
    <w:rsid w:val="F7DE527A"/>
    <w:rsid w:val="F7DEB907"/>
    <w:rsid w:val="F7EE0E77"/>
    <w:rsid w:val="F7F541D0"/>
    <w:rsid w:val="F7FACD33"/>
    <w:rsid w:val="F7FBB0CA"/>
    <w:rsid w:val="F7FF31DE"/>
    <w:rsid w:val="F7FF3C59"/>
    <w:rsid w:val="F7FF674D"/>
    <w:rsid w:val="F7FF915F"/>
    <w:rsid w:val="F7FFBE65"/>
    <w:rsid w:val="F7FFCB63"/>
    <w:rsid w:val="F89542FF"/>
    <w:rsid w:val="F92B99A8"/>
    <w:rsid w:val="F95EE358"/>
    <w:rsid w:val="F9B26827"/>
    <w:rsid w:val="F9DBB583"/>
    <w:rsid w:val="F9ED8309"/>
    <w:rsid w:val="FA3E045A"/>
    <w:rsid w:val="FA6F8001"/>
    <w:rsid w:val="FA7B104F"/>
    <w:rsid w:val="FABB7944"/>
    <w:rsid w:val="FADDAC8F"/>
    <w:rsid w:val="FAEEBA6A"/>
    <w:rsid w:val="FAF2CFF0"/>
    <w:rsid w:val="FAF53DCF"/>
    <w:rsid w:val="FAFBFB42"/>
    <w:rsid w:val="FAFF4301"/>
    <w:rsid w:val="FB1C882E"/>
    <w:rsid w:val="FB67DCB5"/>
    <w:rsid w:val="FB72E6CC"/>
    <w:rsid w:val="FB7B8B3F"/>
    <w:rsid w:val="FB9FAF24"/>
    <w:rsid w:val="FBADA556"/>
    <w:rsid w:val="FBB92F52"/>
    <w:rsid w:val="FBBF878A"/>
    <w:rsid w:val="FBC3F090"/>
    <w:rsid w:val="FBDD0006"/>
    <w:rsid w:val="FBDDEDA0"/>
    <w:rsid w:val="FBDFEEEF"/>
    <w:rsid w:val="FBEB8F52"/>
    <w:rsid w:val="FBEBDC24"/>
    <w:rsid w:val="FBEDB37C"/>
    <w:rsid w:val="FBEE7A00"/>
    <w:rsid w:val="FBF12ED5"/>
    <w:rsid w:val="FBF7C751"/>
    <w:rsid w:val="FC7FCB18"/>
    <w:rsid w:val="FC8F31BE"/>
    <w:rsid w:val="FC9B6630"/>
    <w:rsid w:val="FCBF0BDB"/>
    <w:rsid w:val="FCBF4E92"/>
    <w:rsid w:val="FCCD068C"/>
    <w:rsid w:val="FCF9CF36"/>
    <w:rsid w:val="FD0DF927"/>
    <w:rsid w:val="FD1DA144"/>
    <w:rsid w:val="FD67D4BD"/>
    <w:rsid w:val="FD773FF8"/>
    <w:rsid w:val="FD7A3B8D"/>
    <w:rsid w:val="FD7C3A23"/>
    <w:rsid w:val="FD7FC7A8"/>
    <w:rsid w:val="FD9D4B16"/>
    <w:rsid w:val="FDAED849"/>
    <w:rsid w:val="FDBCB8D2"/>
    <w:rsid w:val="FDCF7335"/>
    <w:rsid w:val="FDD7BE78"/>
    <w:rsid w:val="FDDD0474"/>
    <w:rsid w:val="FDEE23C7"/>
    <w:rsid w:val="FDEF338E"/>
    <w:rsid w:val="FDEFAC57"/>
    <w:rsid w:val="FDEFB5EB"/>
    <w:rsid w:val="FDF1292B"/>
    <w:rsid w:val="FDFB529C"/>
    <w:rsid w:val="FDFD4B29"/>
    <w:rsid w:val="FDFFE2F6"/>
    <w:rsid w:val="FE6517C2"/>
    <w:rsid w:val="FE7D8D16"/>
    <w:rsid w:val="FE7F35F3"/>
    <w:rsid w:val="FE7FCD2F"/>
    <w:rsid w:val="FECD5DDB"/>
    <w:rsid w:val="FEDBC23F"/>
    <w:rsid w:val="FEDE73BE"/>
    <w:rsid w:val="FEE1C132"/>
    <w:rsid w:val="FEEB1716"/>
    <w:rsid w:val="FEEEF792"/>
    <w:rsid w:val="FEEF4CB8"/>
    <w:rsid w:val="FEF0797C"/>
    <w:rsid w:val="FEF5A027"/>
    <w:rsid w:val="FEF6B548"/>
    <w:rsid w:val="FEF74725"/>
    <w:rsid w:val="FEF7C609"/>
    <w:rsid w:val="FEF987F8"/>
    <w:rsid w:val="FEFAC331"/>
    <w:rsid w:val="FEFAECDE"/>
    <w:rsid w:val="FEFB77AF"/>
    <w:rsid w:val="FEFF0113"/>
    <w:rsid w:val="FEFF83F7"/>
    <w:rsid w:val="FEFF8EEF"/>
    <w:rsid w:val="FEFFA15C"/>
    <w:rsid w:val="FEFFB157"/>
    <w:rsid w:val="FF0E8FA1"/>
    <w:rsid w:val="FF1F6816"/>
    <w:rsid w:val="FF1FF6DF"/>
    <w:rsid w:val="FF3F0C4D"/>
    <w:rsid w:val="FF3FD2E0"/>
    <w:rsid w:val="FF5FD2F9"/>
    <w:rsid w:val="FF6CFE75"/>
    <w:rsid w:val="FF6E17E0"/>
    <w:rsid w:val="FF73E7AF"/>
    <w:rsid w:val="FF7727C1"/>
    <w:rsid w:val="FF7BAADE"/>
    <w:rsid w:val="FF7E7CF0"/>
    <w:rsid w:val="FF7EAB4A"/>
    <w:rsid w:val="FF7FAC31"/>
    <w:rsid w:val="FF876249"/>
    <w:rsid w:val="FF87C654"/>
    <w:rsid w:val="FF8D1028"/>
    <w:rsid w:val="FF9B4697"/>
    <w:rsid w:val="FF9F67AA"/>
    <w:rsid w:val="FFAA2306"/>
    <w:rsid w:val="FFB560FD"/>
    <w:rsid w:val="FFB685DE"/>
    <w:rsid w:val="FFB7FFEF"/>
    <w:rsid w:val="FFBB1C24"/>
    <w:rsid w:val="FFBF0E12"/>
    <w:rsid w:val="FFBFB2E9"/>
    <w:rsid w:val="FFBFDA12"/>
    <w:rsid w:val="FFC70BED"/>
    <w:rsid w:val="FFCDBE69"/>
    <w:rsid w:val="FFCDFDF7"/>
    <w:rsid w:val="FFCEE0B6"/>
    <w:rsid w:val="FFDDAD32"/>
    <w:rsid w:val="FFDE30C7"/>
    <w:rsid w:val="FFDE987E"/>
    <w:rsid w:val="FFDEFA39"/>
    <w:rsid w:val="FFDFA233"/>
    <w:rsid w:val="FFE11076"/>
    <w:rsid w:val="FFE28E1F"/>
    <w:rsid w:val="FFE2C5D3"/>
    <w:rsid w:val="FFE8A995"/>
    <w:rsid w:val="FFEEE27A"/>
    <w:rsid w:val="FFEF351B"/>
    <w:rsid w:val="FFEF55AC"/>
    <w:rsid w:val="FFEF71CF"/>
    <w:rsid w:val="FFEF89CD"/>
    <w:rsid w:val="FFEFAB85"/>
    <w:rsid w:val="FFF041A9"/>
    <w:rsid w:val="FFF43621"/>
    <w:rsid w:val="FFF519E4"/>
    <w:rsid w:val="FFF635F9"/>
    <w:rsid w:val="FFF68AB9"/>
    <w:rsid w:val="FFF6FE7D"/>
    <w:rsid w:val="FFF70229"/>
    <w:rsid w:val="FFF742B5"/>
    <w:rsid w:val="FFF76C4E"/>
    <w:rsid w:val="FFF79077"/>
    <w:rsid w:val="FFF915FD"/>
    <w:rsid w:val="FFF9D196"/>
    <w:rsid w:val="FFFA416F"/>
    <w:rsid w:val="FFFA888F"/>
    <w:rsid w:val="FFFA8F3D"/>
    <w:rsid w:val="FFFB354D"/>
    <w:rsid w:val="FFFB8FD8"/>
    <w:rsid w:val="FFFC71CA"/>
    <w:rsid w:val="FFFC7525"/>
    <w:rsid w:val="FFFDE68E"/>
    <w:rsid w:val="FFFF11FB"/>
    <w:rsid w:val="FFFF58B8"/>
    <w:rsid w:val="FFFF7718"/>
    <w:rsid w:val="FFFFA94B"/>
    <w:rsid w:val="FFFFD258"/>
    <w:rsid w:val="FFFFE47D"/>
    <w:rsid w:val="FFFFF6B3"/>
    <w:rsid w:val="FFFFFBC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qFormat="1" w:unhideWhenUsed="0" w:uiPriority="0" w:semiHidden="0" w:name="footnote text"/>
    <w:lsdException w:qFormat="1"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qFormat="1"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qFormat="1"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keepNext/>
      <w:keepLines/>
      <w:spacing w:before="340" w:beforeLines="0" w:beforeAutospacing="0" w:after="330" w:afterLines="0" w:afterAutospacing="0" w:line="576" w:lineRule="auto"/>
      <w:outlineLvl w:val="0"/>
    </w:pPr>
    <w:rPr>
      <w:b/>
      <w:kern w:val="44"/>
      <w:sz w:val="44"/>
    </w:rPr>
  </w:style>
  <w:style w:type="paragraph" w:styleId="3">
    <w:name w:val="heading 2"/>
    <w:basedOn w:val="1"/>
    <w:next w:val="1"/>
    <w:unhideWhenUsed/>
    <w:qFormat/>
    <w:uiPriority w:val="0"/>
    <w:pPr>
      <w:keepNext/>
      <w:keepLines/>
      <w:spacing w:before="260" w:beforeLines="0" w:beforeAutospacing="0" w:after="260" w:afterLines="0" w:afterAutospacing="0" w:line="413" w:lineRule="auto"/>
      <w:outlineLvl w:val="1"/>
    </w:pPr>
    <w:rPr>
      <w:rFonts w:ascii="DejaVu Sans" w:hAnsi="DejaVu Sans" w:eastAsia="方正黑体_GBK"/>
      <w:b/>
      <w:sz w:val="32"/>
    </w:rPr>
  </w:style>
  <w:style w:type="paragraph" w:styleId="4">
    <w:name w:val="heading 3"/>
    <w:basedOn w:val="1"/>
    <w:next w:val="1"/>
    <w:unhideWhenUsed/>
    <w:qFormat/>
    <w:uiPriority w:val="0"/>
    <w:pPr>
      <w:keepNext/>
      <w:keepLines/>
      <w:spacing w:before="260" w:beforeLines="0" w:beforeAutospacing="0" w:after="260" w:afterLines="0" w:afterAutospacing="0" w:line="413" w:lineRule="auto"/>
      <w:outlineLvl w:val="2"/>
    </w:pPr>
    <w:rPr>
      <w:b/>
      <w:sz w:val="32"/>
    </w:rPr>
  </w:style>
  <w:style w:type="character" w:default="1" w:styleId="9">
    <w:name w:val="Default Paragraph Font"/>
    <w:semiHidden/>
    <w:qFormat/>
    <w:uiPriority w:val="0"/>
  </w:style>
  <w:style w:type="table" w:default="1" w:styleId="12">
    <w:name w:val="Normal Table"/>
    <w:semiHidden/>
    <w:qFormat/>
    <w:uiPriority w:val="0"/>
    <w:tblPr>
      <w:tblCellMar>
        <w:top w:w="0" w:type="dxa"/>
        <w:left w:w="108" w:type="dxa"/>
        <w:bottom w:w="0" w:type="dxa"/>
        <w:right w:w="108" w:type="dxa"/>
      </w:tblCellMar>
    </w:tblPr>
  </w:style>
  <w:style w:type="paragraph" w:styleId="5">
    <w:name w:val="annotation text"/>
    <w:basedOn w:val="1"/>
    <w:qFormat/>
    <w:uiPriority w:val="0"/>
    <w:pPr>
      <w:jc w:val="left"/>
    </w:pPr>
  </w:style>
  <w:style w:type="paragraph" w:styleId="6">
    <w:name w:val="footer"/>
    <w:basedOn w:val="1"/>
    <w:qFormat/>
    <w:uiPriority w:val="0"/>
    <w:pPr>
      <w:tabs>
        <w:tab w:val="center" w:pos="4153"/>
        <w:tab w:val="right" w:pos="8306"/>
      </w:tabs>
      <w:snapToGrid w:val="0"/>
      <w:jc w:val="left"/>
    </w:pPr>
    <w:rPr>
      <w:sz w:val="18"/>
    </w:rPr>
  </w:style>
  <w:style w:type="paragraph" w:styleId="7">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DejaVu Sans" w:hAnsi="DejaVu Sans"/>
      <w:sz w:val="18"/>
    </w:rPr>
  </w:style>
  <w:style w:type="paragraph" w:styleId="8">
    <w:name w:val="footnote text"/>
    <w:basedOn w:val="1"/>
    <w:qFormat/>
    <w:uiPriority w:val="0"/>
    <w:pPr>
      <w:snapToGrid w:val="0"/>
      <w:jc w:val="left"/>
    </w:pPr>
    <w:rPr>
      <w:sz w:val="18"/>
    </w:rPr>
  </w:style>
  <w:style w:type="character" w:styleId="10">
    <w:name w:val="FollowedHyperlink"/>
    <w:basedOn w:val="9"/>
    <w:qFormat/>
    <w:uiPriority w:val="0"/>
    <w:rPr>
      <w:color w:val="800080"/>
      <w:u w:val="single"/>
    </w:rPr>
  </w:style>
  <w:style w:type="character" w:styleId="11">
    <w:name w:val="footnote reference"/>
    <w:basedOn w:val="9"/>
    <w:qFormat/>
    <w:uiPriority w:val="0"/>
    <w:rPr>
      <w:vertAlign w:val="superscript"/>
    </w:rPr>
  </w:style>
  <w:style w:type="table" w:styleId="13">
    <w:name w:val="Table Grid"/>
    <w:basedOn w:val="12"/>
    <w:qFormat/>
    <w:uiPriority w:val="0"/>
    <w:pPr>
      <w:widowControl w:val="0"/>
      <w:jc w:val="both"/>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customStyle="1" w:styleId="14">
    <w:name w:val="WPSOffice手动目录 1"/>
    <w:qFormat/>
    <w:uiPriority w:val="0"/>
    <w:pPr>
      <w:ind w:leftChars="0"/>
    </w:pPr>
    <w:rPr>
      <w:rFonts w:asciiTheme="minorHAnsi" w:hAnsiTheme="minorHAnsi" w:eastAsiaTheme="minorEastAsia" w:cstheme="minorBidi"/>
      <w:sz w:val="20"/>
      <w:szCs w:val="20"/>
    </w:rPr>
  </w:style>
  <w:style w:type="paragraph" w:customStyle="1" w:styleId="15">
    <w:name w:val="WPSOffice手动目录 2"/>
    <w:qFormat/>
    <w:uiPriority w:val="0"/>
    <w:pPr>
      <w:ind w:leftChars="200"/>
    </w:pPr>
    <w:rPr>
      <w:rFonts w:asciiTheme="minorHAnsi" w:hAnsiTheme="minorHAnsi" w:eastAsiaTheme="minorEastAsia" w:cstheme="minorBidi"/>
      <w:sz w:val="20"/>
      <w:szCs w:val="20"/>
    </w:rPr>
  </w:style>
  <w:style w:type="paragraph" w:customStyle="1" w:styleId="16">
    <w:name w:val="WPSOffice手动目录 3"/>
    <w:qFormat/>
    <w:uiPriority w:val="0"/>
    <w:pPr>
      <w:ind w:leftChars="400"/>
    </w:pPr>
    <w:rPr>
      <w:rFonts w:asciiTheme="minorHAnsi" w:hAnsiTheme="minorHAnsi" w:eastAsiaTheme="minorEastAsia" w:cstheme="minorBidi"/>
      <w:sz w:val="20"/>
      <w:szCs w:val="20"/>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image" Target="media/image3.png"/><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2.xml"/><Relationship Id="rId3" Type="http://schemas.openxmlformats.org/officeDocument/2006/relationships/footer" Target="footer1.xml"/><Relationship Id="rId2" Type="http://schemas.openxmlformats.org/officeDocument/2006/relationships/settings" Target="settings.xml"/><Relationship Id="rId12" Type="http://schemas.openxmlformats.org/officeDocument/2006/relationships/glossaryDocument" Target="glossary/document.xml"/><Relationship Id="rId11" Type="http://schemas.openxmlformats.org/officeDocument/2006/relationships/fontTable" Target="fontTable.xml"/><Relationship Id="rId10" Type="http://schemas.openxmlformats.org/officeDocument/2006/relationships/numbering" Target="numbering.xml"/><Relationship Id="rId1" Type="http://schemas.openxmlformats.org/officeDocument/2006/relationships/styles" Target="styles.xml"/></Relationships>
</file>

<file path=word/glossary/_rels/document.xml.rels><?xml version="1.0" encoding="UTF-8" standalone="yes"?>
<Relationships xmlns="http://schemas.openxmlformats.org/package/2006/relationships"><Relationship Id="rId3"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docParts>
    <w:docPart>
      <w:docPartPr>
        <w:name w:val="{1c18c506-c4e5-4dff-8e7e-2f49ffb1013b}"/>
        <w:style w:val=""/>
        <w:category>
          <w:name w:val="常规"/>
          <w:gallery w:val="placeholder"/>
        </w:category>
        <w:types>
          <w:type w:val="bbPlcHdr"/>
        </w:types>
        <w:behaviors>
          <w:behavior w:val="content"/>
        </w:behaviors>
        <w:description w:val=""/>
        <w:guid w:val="{1c18c506-c4e5-4dff-8e7e-2f49ffb1013b}"/>
      </w:docPartPr>
      <w:docPartBody>
        <w:p>
          <w:r>
            <w:rPr>
              <w:color w:val="808080"/>
            </w:rPr>
            <w:t>单击此处输入文字。</w:t>
          </w:r>
        </w:p>
      </w:docPartBody>
    </w:docPart>
    <w:docPart>
      <w:docPartPr>
        <w:name w:val="{6e331a12-a123-4db7-b596-dcb2845ba9ad}"/>
        <w:style w:val=""/>
        <w:category>
          <w:name w:val="常规"/>
          <w:gallery w:val="placeholder"/>
        </w:category>
        <w:types>
          <w:type w:val="bbPlcHdr"/>
        </w:types>
        <w:behaviors>
          <w:behavior w:val="content"/>
        </w:behaviors>
        <w:description w:val=""/>
        <w:guid w:val="{6e331a12-a123-4db7-b596-dcb2845ba9ad}"/>
      </w:docPartPr>
      <w:docPartBody>
        <w:p>
          <w:r>
            <w:rPr>
              <w:color w:val="808080"/>
            </w:rPr>
            <w:t>单击此处输入文字。</w:t>
          </w:r>
        </w:p>
      </w:docPartBody>
    </w:docPart>
    <w:docPart>
      <w:docPartPr>
        <w:name w:val="{5378f466-2e15-47fe-8eaa-d71a383f4fb9}"/>
        <w:style w:val=""/>
        <w:category>
          <w:name w:val="常规"/>
          <w:gallery w:val="placeholder"/>
        </w:category>
        <w:types>
          <w:type w:val="bbPlcHdr"/>
        </w:types>
        <w:behaviors>
          <w:behavior w:val="content"/>
        </w:behaviors>
        <w:description w:val=""/>
        <w:guid w:val="{5378f466-2e15-47fe-8eaa-d71a383f4fb9}"/>
      </w:docPartPr>
      <w:docPartBody>
        <w:p>
          <w:r>
            <w:rPr>
              <w:color w:val="808080"/>
            </w:rPr>
            <w:t>单击此处输入文字。</w:t>
          </w:r>
        </w:p>
      </w:docPartBody>
    </w:docPart>
    <w:docPart>
      <w:docPartPr>
        <w:name w:val="{6fafd23e-72af-4286-8bf1-7ee941985e75}"/>
        <w:style w:val=""/>
        <w:category>
          <w:name w:val="常规"/>
          <w:gallery w:val="placeholder"/>
        </w:category>
        <w:types>
          <w:type w:val="bbPlcHdr"/>
        </w:types>
        <w:behaviors>
          <w:behavior w:val="content"/>
        </w:behaviors>
        <w:description w:val=""/>
        <w:guid w:val="{6fafd23e-72af-4286-8bf1-7ee941985e75}"/>
      </w:docPartPr>
      <w:docPartBody>
        <w:p>
          <w:r>
            <w:rPr>
              <w:color w:val="808080"/>
            </w:rPr>
            <w:t>单击此处输入文字。</w:t>
          </w:r>
        </w:p>
      </w:docPartBody>
    </w:docPart>
    <w:docPart>
      <w:docPartPr>
        <w:name w:val="{8b31276a-b67a-4588-bc08-af85689ba6a0}"/>
        <w:style w:val=""/>
        <w:category>
          <w:name w:val="常规"/>
          <w:gallery w:val="placeholder"/>
        </w:category>
        <w:types>
          <w:type w:val="bbPlcHdr"/>
        </w:types>
        <w:behaviors>
          <w:behavior w:val="content"/>
        </w:behaviors>
        <w:description w:val=""/>
        <w:guid w:val="{8b31276a-b67a-4588-bc08-af85689ba6a0}"/>
      </w:docPartPr>
      <w:docPartBody>
        <w:p>
          <w:r>
            <w:rPr>
              <w:color w:val="808080"/>
            </w:rPr>
            <w:t>单击此处输入文字。</w:t>
          </w:r>
        </w:p>
      </w:docPartBody>
    </w:docPart>
    <w:docPart>
      <w:docPartPr>
        <w:name w:val="{2bcd4db6-ddf5-433c-84fa-42fc61609342}"/>
        <w:style w:val=""/>
        <w:category>
          <w:name w:val="常规"/>
          <w:gallery w:val="placeholder"/>
        </w:category>
        <w:types>
          <w:type w:val="bbPlcHdr"/>
        </w:types>
        <w:behaviors>
          <w:behavior w:val="content"/>
        </w:behaviors>
        <w:description w:val=""/>
        <w:guid w:val="{2bcd4db6-ddf5-433c-84fa-42fc61609342}"/>
      </w:docPartPr>
      <w:docPartBody>
        <w:p>
          <w:r>
            <w:rPr>
              <w:color w:val="808080"/>
            </w:rPr>
            <w:t>单击此处输入文字。</w:t>
          </w:r>
        </w:p>
      </w:docPartBody>
    </w:docPart>
    <w:docPart>
      <w:docPartPr>
        <w:name w:val="{7cbf692a-218e-4242-8da2-541bc2dad3e4}"/>
        <w:style w:val=""/>
        <w:category>
          <w:name w:val="常规"/>
          <w:gallery w:val="placeholder"/>
        </w:category>
        <w:types>
          <w:type w:val="bbPlcHdr"/>
        </w:types>
        <w:behaviors>
          <w:behavior w:val="content"/>
        </w:behaviors>
        <w:description w:val=""/>
        <w:guid w:val="{7cbf692a-218e-4242-8da2-541bc2dad3e4}"/>
      </w:docPartPr>
      <w:docPartBody>
        <w:p>
          <w:r>
            <w:rPr>
              <w:color w:val="808080"/>
            </w:rPr>
            <w:t>单击此处输入文字。</w:t>
          </w:r>
        </w:p>
      </w:docPartBody>
    </w:docPart>
    <w:docPart>
      <w:docPartPr>
        <w:name w:val="{6448032f-02c4-485b-9241-07ee23b650b8}"/>
        <w:style w:val=""/>
        <w:category>
          <w:name w:val="常规"/>
          <w:gallery w:val="placeholder"/>
        </w:category>
        <w:types>
          <w:type w:val="bbPlcHdr"/>
        </w:types>
        <w:behaviors>
          <w:behavior w:val="content"/>
        </w:behaviors>
        <w:description w:val=""/>
        <w:guid w:val="{6448032f-02c4-485b-9241-07ee23b650b8}"/>
      </w:docPartPr>
      <w:docPartBody>
        <w:p>
          <w:r>
            <w:rPr>
              <w:color w:val="808080"/>
            </w:rPr>
            <w:t>单击此处输入文字。</w:t>
          </w:r>
        </w:p>
      </w:docPartBody>
    </w:docPart>
    <w:docPart>
      <w:docPartPr>
        <w:name w:val="{7a739403-e74a-48be-8149-555d9a90622b}"/>
        <w:style w:val=""/>
        <w:category>
          <w:name w:val="常规"/>
          <w:gallery w:val="placeholder"/>
        </w:category>
        <w:types>
          <w:type w:val="bbPlcHdr"/>
        </w:types>
        <w:behaviors>
          <w:behavior w:val="content"/>
        </w:behaviors>
        <w:description w:val=""/>
        <w:guid w:val="{7a739403-e74a-48be-8149-555d9a90622b}"/>
      </w:docPartPr>
      <w:docPartBody>
        <w:p>
          <w:r>
            <w:rPr>
              <w:color w:val="808080"/>
            </w:rPr>
            <w:t>单击此处输入文字。</w:t>
          </w:r>
        </w:p>
      </w:docPartBody>
    </w:docPart>
    <w:docPart>
      <w:docPartPr>
        <w:name w:val="{bad6194d-0808-4f29-bd3d-1ba3388784c9}"/>
        <w:style w:val=""/>
        <w:category>
          <w:name w:val="常规"/>
          <w:gallery w:val="placeholder"/>
        </w:category>
        <w:types>
          <w:type w:val="bbPlcHdr"/>
        </w:types>
        <w:behaviors>
          <w:behavior w:val="content"/>
        </w:behaviors>
        <w:description w:val=""/>
        <w:guid w:val="{bad6194d-0808-4f29-bd3d-1ba3388784c9}"/>
      </w:docPartPr>
      <w:docPartBody>
        <w:p>
          <w:r>
            <w:rPr>
              <w:color w:val="808080"/>
            </w:rPr>
            <w:t>单击此处输入文字。</w:t>
          </w:r>
        </w:p>
      </w:docPartBody>
    </w:docPart>
    <w:docPart>
      <w:docPartPr>
        <w:name w:val="{85cadec6-d908-4cf5-bb4f-acf3b1d533d6}"/>
        <w:style w:val=""/>
        <w:category>
          <w:name w:val="常规"/>
          <w:gallery w:val="placeholder"/>
        </w:category>
        <w:types>
          <w:type w:val="bbPlcHdr"/>
        </w:types>
        <w:behaviors>
          <w:behavior w:val="content"/>
        </w:behaviors>
        <w:description w:val=""/>
        <w:guid w:val="{85cadec6-d908-4cf5-bb4f-acf3b1d533d6}"/>
      </w:docPartPr>
      <w:docPartBody>
        <w:p>
          <w:r>
            <w:rPr>
              <w:color w:val="808080"/>
            </w:rPr>
            <w:t>单击此处输入文字。</w:t>
          </w:r>
        </w:p>
      </w:docPartBody>
    </w:docPart>
    <w:docPart>
      <w:docPartPr>
        <w:name w:val="{800a15ae-2cf0-431e-afea-c18c26ca4cd3}"/>
        <w:style w:val=""/>
        <w:category>
          <w:name w:val="常规"/>
          <w:gallery w:val="placeholder"/>
        </w:category>
        <w:types>
          <w:type w:val="bbPlcHdr"/>
        </w:types>
        <w:behaviors>
          <w:behavior w:val="content"/>
        </w:behaviors>
        <w:description w:val=""/>
        <w:guid w:val="{800a15ae-2cf0-431e-afea-c18c26ca4cd3}"/>
      </w:docPartPr>
      <w:docPartBody>
        <w:p>
          <w:r>
            <w:rPr>
              <w:color w:val="808080"/>
            </w:rPr>
            <w:t>单击此处输入文字。</w:t>
          </w:r>
        </w:p>
      </w:docPartBody>
    </w:docPart>
    <w:docPart>
      <w:docPartPr>
        <w:name w:val="{7886956b-6274-4a46-ba2a-903b458ed6a5}"/>
        <w:style w:val=""/>
        <w:category>
          <w:name w:val="常规"/>
          <w:gallery w:val="placeholder"/>
        </w:category>
        <w:types>
          <w:type w:val="bbPlcHdr"/>
        </w:types>
        <w:behaviors>
          <w:behavior w:val="content"/>
        </w:behaviors>
        <w:description w:val=""/>
        <w:guid w:val="{7886956b-6274-4a46-ba2a-903b458ed6a5}"/>
      </w:docPartPr>
      <w:docPartBody>
        <w:p>
          <w:r>
            <w:rPr>
              <w:color w:val="808080"/>
            </w:rPr>
            <w:t>单击此处输入文字。</w:t>
          </w:r>
        </w:p>
      </w:docPartBody>
    </w:docPart>
    <w:docPart>
      <w:docPartPr>
        <w:name w:val="{430144f7-e38e-4ba6-b51f-91f53f96d066}"/>
        <w:style w:val=""/>
        <w:category>
          <w:name w:val="常规"/>
          <w:gallery w:val="placeholder"/>
        </w:category>
        <w:types>
          <w:type w:val="bbPlcHdr"/>
        </w:types>
        <w:behaviors>
          <w:behavior w:val="content"/>
        </w:behaviors>
        <w:description w:val=""/>
        <w:guid w:val="{430144f7-e38e-4ba6-b51f-91f53f96d066}"/>
      </w:docPartPr>
      <w:docPartBody>
        <w:p>
          <w:r>
            <w:rPr>
              <w:color w:val="808080"/>
            </w:rPr>
            <w:t>单击此处输入文字。</w:t>
          </w:r>
        </w:p>
      </w:docPartBody>
    </w:docPart>
    <w:docPart>
      <w:docPartPr>
        <w:name w:val="{aecba971-5bff-45d8-91cd-66879985e3cf}"/>
        <w:style w:val=""/>
        <w:category>
          <w:name w:val="常规"/>
          <w:gallery w:val="placeholder"/>
        </w:category>
        <w:types>
          <w:type w:val="bbPlcHdr"/>
        </w:types>
        <w:behaviors>
          <w:behavior w:val="content"/>
        </w:behaviors>
        <w:description w:val=""/>
        <w:guid w:val="{aecba971-5bff-45d8-91cd-66879985e3cf}"/>
      </w:docPartPr>
      <w:docPartBody>
        <w:p>
          <w:r>
            <w:rPr>
              <w:color w:val="808080"/>
            </w:rPr>
            <w:t>单击此处输入文字。</w:t>
          </w:r>
        </w:p>
      </w:docPartBody>
    </w:docPart>
    <w:docPart>
      <w:docPartPr>
        <w:name w:val="{d0ec0c07-5713-46fd-b0a8-fa3f03c63cf6}"/>
        <w:style w:val=""/>
        <w:category>
          <w:name w:val="常规"/>
          <w:gallery w:val="placeholder"/>
        </w:category>
        <w:types>
          <w:type w:val="bbPlcHdr"/>
        </w:types>
        <w:behaviors>
          <w:behavior w:val="content"/>
        </w:behaviors>
        <w:description w:val=""/>
        <w:guid w:val="{d0ec0c07-5713-46fd-b0a8-fa3f03c63cf6}"/>
      </w:docPartPr>
      <w:docPartBody>
        <w:p>
          <w:r>
            <w:rPr>
              <w:color w:val="808080"/>
            </w:rPr>
            <w:t>单击此处输入文字。</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86"/>
    <w:family w:val="auto"/>
    <w:pitch w:val="default"/>
    <w:sig w:usb0="00000000" w:usb1="00000000" w:usb2="00000000" w:usb3="00000000" w:csb0="00000000" w:csb1="00000000"/>
  </w:font>
  <w:font w:name="DejaVu Sans">
    <w:altName w:val="苹方-简"/>
    <w:panose1 w:val="02020603050405020304"/>
    <w:charset w:val="00"/>
    <w:family w:val="roman"/>
    <w:pitch w:val="default"/>
    <w:sig w:usb0="20007A87" w:usb1="80000000" w:usb2="00000008" w:usb3="00000000" w:csb0="000001FF" w:csb1="00000000"/>
  </w:font>
  <w:font w:name="方正书宋_GBK">
    <w:altName w:val="汉仪书宋二KW"/>
    <w:panose1 w:val="02000000000000000000"/>
    <w:charset w:val="86"/>
    <w:family w:val="auto"/>
    <w:pitch w:val="default"/>
    <w:sig w:usb0="00000001" w:usb1="08000000" w:usb2="00000000" w:usb3="00000000" w:csb0="00040000" w:csb1="00000000"/>
  </w:font>
  <w:font w:name="方正黑体_GBK">
    <w:altName w:val="苹方-简"/>
    <w:panose1 w:val="02000000000000000000"/>
    <w:charset w:val="00"/>
    <w:family w:val="auto"/>
    <w:pitch w:val="default"/>
    <w:sig w:usb0="00000001" w:usb1="08000000" w:usb2="00000000" w:usb3="00000000" w:csb0="00040000" w:csb1="00000000"/>
  </w:font>
  <w:font w:name="Cambria">
    <w:panose1 w:val="02040503050406030204"/>
    <w:charset w:val="00"/>
    <w:family w:val="roman"/>
    <w:pitch w:val="default"/>
    <w:sig w:usb0="E00006FF" w:usb1="420024FF" w:usb2="02000000" w:usb3="00000000" w:csb0="2000019F" w:csb1="00000000"/>
  </w:font>
  <w:font w:name="Calibri">
    <w:altName w:val="Helvetica Neue"/>
    <w:panose1 w:val="020F0502020204030204"/>
    <w:charset w:val="00"/>
    <w:family w:val="swiss"/>
    <w:pitch w:val="default"/>
    <w:sig w:usb0="00000000" w:usb1="00000000" w:usb2="00000001" w:usb3="00000000" w:csb0="0000019F" w:csb1="00000000"/>
  </w:font>
  <w:font w:name="汉仪书宋二KW">
    <w:panose1 w:val="00020600040101010101"/>
    <w:charset w:val="86"/>
    <w:family w:val="auto"/>
    <w:pitch w:val="default"/>
    <w:sig w:usb0="A00002BF" w:usb1="18EF7CFA" w:usb2="00000016" w:usb3="00000000" w:csb0="00040000" w:csb1="00000000"/>
  </w:font>
  <w:font w:name="苹方-简">
    <w:panose1 w:val="020B0400000000000000"/>
    <w:charset w:val="86"/>
    <w:family w:val="auto"/>
    <w:pitch w:val="default"/>
    <w:sig w:usb0="A00002FF" w:usb1="7ACFFDFB" w:usb2="00000017" w:usb3="00000000" w:csb0="00040001" w:csb1="00000000"/>
  </w:font>
  <w:font w:name="Helvetica Neue">
    <w:panose1 w:val="02000503000000020004"/>
    <w:charset w:val="00"/>
    <w:family w:val="auto"/>
    <w:pitch w:val="default"/>
    <w:sig w:usb0="E50002FF" w:usb1="500079DB" w:usb2="00000010" w:usb3="00000000" w:csb0="0000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compat>
    <w:useFELayout/>
    <w:splitPgBreakAndParaMark/>
    <w:compatSetting w:name="compatibilityMode" w:uri="http://schemas.microsoft.com/office/word" w:val="14"/>
  </w:compat>
  <w:rsids>
    <w:rsidRoot w:val="00000000"/>
  </w:rsids>
  <m:mathPr>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glossary/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style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
    <customSectPr/>
    <customSectPr/>
    <customSectPr/>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Office_2.0.0.3163_F1E327BC-269C-435d-A152-05C5408002CA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2020-02-12T12:43:00Z</dcterms:created>
  <dc:creator>pin</dc:creator>
  <cp:lastModifiedBy>pin</cp:lastModifiedBy>
  <dcterms:modified xsi:type="dcterms:W3CDTF">2020-02-28T11:44:14Z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2052-2.0.0.3163</vt:lpwstr>
  </property>
</Properties>
</file>