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2EF21B" w14:textId="3B9F23B5" w:rsidR="00EC7200" w:rsidRDefault="008E4F36">
      <w:pPr>
        <w:rPr>
          <w:rFonts w:ascii="Times New Roman" w:hAnsi="Times New Roman" w:cs="Times New Roman"/>
        </w:rPr>
      </w:pPr>
      <w:r>
        <w:rPr>
          <w:rFonts w:ascii="Times New Roman" w:hAnsi="Times New Roman" w:cs="Times New Roman"/>
        </w:rPr>
        <w:t xml:space="preserve">Name: </w:t>
      </w:r>
      <w:r w:rsidR="00DB428A">
        <w:rPr>
          <w:rFonts w:ascii="Times New Roman" w:hAnsi="Times New Roman" w:cs="Times New Roman"/>
        </w:rPr>
        <w:t>Jac Thomas</w:t>
      </w:r>
    </w:p>
    <w:p w14:paraId="18CC4DB6" w14:textId="0AB7E214" w:rsidR="00DB428A" w:rsidRDefault="008E4F36">
      <w:pPr>
        <w:rPr>
          <w:rFonts w:ascii="Times New Roman" w:hAnsi="Times New Roman" w:cs="Times New Roman"/>
        </w:rPr>
      </w:pPr>
      <w:r>
        <w:rPr>
          <w:rFonts w:ascii="Times New Roman" w:hAnsi="Times New Roman" w:cs="Times New Roman"/>
        </w:rPr>
        <w:t xml:space="preserve">Student Number: </w:t>
      </w:r>
      <w:r w:rsidR="00DB428A">
        <w:rPr>
          <w:rFonts w:ascii="Times New Roman" w:hAnsi="Times New Roman" w:cs="Times New Roman"/>
        </w:rPr>
        <w:t>2204038</w:t>
      </w:r>
    </w:p>
    <w:p w14:paraId="0D9D710B" w14:textId="77777777" w:rsidR="008E4F36" w:rsidRDefault="008E4F36">
      <w:pPr>
        <w:rPr>
          <w:rFonts w:ascii="Times New Roman" w:hAnsi="Times New Roman" w:cs="Times New Roman"/>
        </w:rPr>
      </w:pPr>
    </w:p>
    <w:p w14:paraId="4FEE9B17" w14:textId="2A3422B2" w:rsidR="008E4F36" w:rsidRDefault="008E4F36" w:rsidP="008E4F36">
      <w:pPr>
        <w:pStyle w:val="Heading1"/>
        <w:jc w:val="center"/>
        <w:rPr>
          <w:rFonts w:ascii="Times New Roman" w:hAnsi="Times New Roman" w:cs="Times New Roman"/>
          <w:u w:val="single"/>
        </w:rPr>
      </w:pPr>
      <w:r w:rsidRPr="008E4F36">
        <w:rPr>
          <w:rFonts w:ascii="Times New Roman" w:hAnsi="Times New Roman" w:cs="Times New Roman"/>
          <w:u w:val="single"/>
        </w:rPr>
        <w:t>An Evaluation of the Role of Consideration</w:t>
      </w:r>
    </w:p>
    <w:p w14:paraId="21217005" w14:textId="77777777" w:rsidR="00926382" w:rsidRDefault="00926382" w:rsidP="00926382"/>
    <w:p w14:paraId="0A07B828" w14:textId="77777777" w:rsidR="00834BC2" w:rsidRDefault="00834BC2" w:rsidP="00785159">
      <w:pPr>
        <w:spacing w:line="480" w:lineRule="auto"/>
        <w:rPr>
          <w:rFonts w:ascii="Times New Roman" w:hAnsi="Times New Roman" w:cs="Times New Roman"/>
        </w:rPr>
      </w:pPr>
      <w:r w:rsidRPr="00834BC2">
        <w:rPr>
          <w:rFonts w:ascii="Times New Roman" w:hAnsi="Times New Roman" w:cs="Times New Roman"/>
        </w:rPr>
        <w:t>Merkin and Sainter (2021) look at the following factors involved in the formation of a contract. These are Agreement, Intention to be legally bound and Consideration. Agreement requires both offer and acceptance. “</w:t>
      </w:r>
      <w:r w:rsidRPr="00834BC2">
        <w:rPr>
          <w:rFonts w:ascii="Times New Roman" w:hAnsi="Times New Roman" w:cs="Times New Roman"/>
          <w:i/>
          <w:iCs/>
        </w:rPr>
        <w:t>An offer is an expression of willingness to contract on the specified terms without further negotiation, so that it requires only acceptance for it to be binding</w:t>
      </w:r>
      <w:r w:rsidRPr="00834BC2">
        <w:rPr>
          <w:rFonts w:ascii="Times New Roman" w:hAnsi="Times New Roman" w:cs="Times New Roman"/>
        </w:rPr>
        <w:t>” (Page 38) and “</w:t>
      </w:r>
      <w:r w:rsidRPr="00834BC2">
        <w:rPr>
          <w:rFonts w:ascii="Times New Roman" w:hAnsi="Times New Roman" w:cs="Times New Roman"/>
          <w:i/>
          <w:iCs/>
        </w:rPr>
        <w:t>Acceptance is what turns a specific offer, with the intention to be bound, into an agreement”.</w:t>
      </w:r>
      <w:r w:rsidRPr="00834BC2">
        <w:rPr>
          <w:rFonts w:ascii="Times New Roman" w:hAnsi="Times New Roman" w:cs="Times New Roman"/>
        </w:rPr>
        <w:t xml:space="preserve"> (Page 52). There must be intention to be legally bound and there must be conclusive proof that both parties agree to be legally bound. Intention to create legal relations helps the courts to refuse enforceability to non-legal agreements such as agreements made between family members. Consideration is what this essay will focus on.  There will be an explanation of what is meant by consideration, a discussion of the different types of consideration as well as an explanation of what makes a valid consideration. The issues that arise with consideration and the reforms that can be made when these issues arise will also be looked at in detail.  After evaluating the strengths and weaknesses of consideration the conclusion of this essay is that work is needed on the doctrine of consideration due to issues with promissory estoppel, nominal consideration and over and under inclusivity in consideration.</w:t>
      </w:r>
    </w:p>
    <w:p w14:paraId="6368C07A" w14:textId="77777777" w:rsidR="00997D32" w:rsidRDefault="00997D32" w:rsidP="00785159">
      <w:pPr>
        <w:spacing w:line="480" w:lineRule="auto"/>
        <w:rPr>
          <w:rFonts w:ascii="Times New Roman" w:hAnsi="Times New Roman" w:cs="Times New Roman"/>
        </w:rPr>
      </w:pPr>
    </w:p>
    <w:p w14:paraId="21BFC96B" w14:textId="77777777" w:rsidR="008C238F" w:rsidRDefault="008C238F" w:rsidP="00785159">
      <w:pPr>
        <w:spacing w:line="480" w:lineRule="auto"/>
        <w:rPr>
          <w:rFonts w:ascii="Times New Roman" w:hAnsi="Times New Roman" w:cs="Times New Roman"/>
        </w:rPr>
      </w:pPr>
      <w:r w:rsidRPr="008C238F">
        <w:rPr>
          <w:rFonts w:ascii="Times New Roman" w:hAnsi="Times New Roman" w:cs="Times New Roman"/>
        </w:rPr>
        <w:t>Consideration can be defined in the case of Currie V Misa (1874) which explains that a valuable Consideration “</w:t>
      </w:r>
      <w:r w:rsidRPr="008C238F">
        <w:rPr>
          <w:rFonts w:ascii="Times New Roman" w:hAnsi="Times New Roman" w:cs="Times New Roman"/>
          <w:i/>
          <w:iCs/>
        </w:rPr>
        <w:t>may consist either of some right, interest, profit or benefit accruing to one party, or some forbearance, detriment, loss or responsibility, given, suffered or undertaken by another</w:t>
      </w:r>
      <w:r w:rsidRPr="008C238F">
        <w:rPr>
          <w:rFonts w:ascii="Times New Roman" w:hAnsi="Times New Roman" w:cs="Times New Roman"/>
        </w:rPr>
        <w:t xml:space="preserve">” As Kati (2022) explains, consideration must be valid.  For consideration to be valid then something must be offered that is viewed as valuable by the law: this could be money, an obligation to complete a task, property, or a legal right such as a form of license. Consideration must not be past.  In the case of </w:t>
      </w:r>
      <w:r w:rsidRPr="008C238F">
        <w:rPr>
          <w:rFonts w:ascii="Times New Roman" w:hAnsi="Times New Roman" w:cs="Times New Roman"/>
        </w:rPr>
        <w:lastRenderedPageBreak/>
        <w:t>Roscorla V Thomas (1842) the consideration was not given in return for the promise.  As consideration was made after the sale it was viewed as past consideration.</w:t>
      </w:r>
    </w:p>
    <w:p w14:paraId="3AD40962" w14:textId="77777777" w:rsidR="00997D32" w:rsidRDefault="00997D32" w:rsidP="00785159">
      <w:pPr>
        <w:spacing w:line="480" w:lineRule="auto"/>
        <w:rPr>
          <w:rFonts w:ascii="Times New Roman" w:hAnsi="Times New Roman" w:cs="Times New Roman"/>
        </w:rPr>
      </w:pPr>
    </w:p>
    <w:p w14:paraId="44AE387A" w14:textId="77777777" w:rsidR="008974B8" w:rsidRDefault="008974B8" w:rsidP="00785159">
      <w:pPr>
        <w:spacing w:line="480" w:lineRule="auto"/>
        <w:rPr>
          <w:rFonts w:ascii="Times New Roman" w:hAnsi="Times New Roman" w:cs="Times New Roman"/>
        </w:rPr>
      </w:pPr>
      <w:r w:rsidRPr="008974B8">
        <w:rPr>
          <w:rFonts w:ascii="Times New Roman" w:hAnsi="Times New Roman" w:cs="Times New Roman"/>
        </w:rPr>
        <w:t>Another type of consideration is nominal consideration, nominal consideration differs from valuable consideration as Adams (2016) explains.  It means that adequacy of consideration is not judged and that a peppercorn could be considered a valid exchange for a promise. The peppercorn issue will be investigated later in this essay. There is a difference between consideration that is executory and consideration that has been executed, Gopal (2021) explains that executed consideration means that one party has performed their promise and so has provided their part of the consideration and executory means that neither party has completed their promise but will do so in the future.</w:t>
      </w:r>
    </w:p>
    <w:p w14:paraId="0772DF0A" w14:textId="77777777" w:rsidR="008974B8" w:rsidRDefault="008974B8" w:rsidP="00785159">
      <w:pPr>
        <w:spacing w:line="480" w:lineRule="auto"/>
        <w:rPr>
          <w:rFonts w:ascii="Times New Roman" w:hAnsi="Times New Roman" w:cs="Times New Roman"/>
        </w:rPr>
      </w:pPr>
    </w:p>
    <w:p w14:paraId="1122924D" w14:textId="2A67BEB1" w:rsidR="00F96833" w:rsidRDefault="00F96833" w:rsidP="00785159">
      <w:pPr>
        <w:spacing w:line="480" w:lineRule="auto"/>
        <w:rPr>
          <w:rFonts w:ascii="Times New Roman" w:hAnsi="Times New Roman" w:cs="Times New Roman"/>
        </w:rPr>
      </w:pPr>
      <w:r w:rsidRPr="00F96833">
        <w:rPr>
          <w:rFonts w:ascii="Times New Roman" w:hAnsi="Times New Roman" w:cs="Times New Roman"/>
        </w:rPr>
        <w:t>Baird (2019) explains that promissory estoppel means that contracts would be enforceable without consideration if one party was greatly reliant upon a promise.  Promissory Estoppel was a concept established after the case of Hughes V Metropolitan, (1877) the contract contained a covenant whereby the lessee had to carry out repairs if the lessor gave notice.  When Hughes gave notice, the company would initiate negotiations which subsequently broke down. The House of Lords felt that the existence of the implied promise was not really in doubt. However, it was unsupported by consideration and therefore unenforceable.  The House of Lords refused to accept that argument and so promissory estoppel was introduced. Without promissory estoppel, the party dependant on the promise would be disadvantaged.</w:t>
      </w:r>
    </w:p>
    <w:p w14:paraId="7499AD69" w14:textId="77777777" w:rsidR="00A45B53" w:rsidRDefault="00A45B53" w:rsidP="00785159">
      <w:pPr>
        <w:spacing w:line="480" w:lineRule="auto"/>
        <w:rPr>
          <w:rFonts w:ascii="Times New Roman" w:hAnsi="Times New Roman" w:cs="Times New Roman"/>
        </w:rPr>
      </w:pPr>
    </w:p>
    <w:p w14:paraId="7328901B" w14:textId="77777777" w:rsidR="00A45B53" w:rsidRDefault="00A45B53" w:rsidP="00785159">
      <w:pPr>
        <w:spacing w:line="480" w:lineRule="auto"/>
        <w:rPr>
          <w:rFonts w:ascii="Times New Roman" w:hAnsi="Times New Roman" w:cs="Times New Roman"/>
        </w:rPr>
      </w:pPr>
      <w:r w:rsidRPr="00A45B53">
        <w:rPr>
          <w:rFonts w:ascii="Times New Roman" w:hAnsi="Times New Roman" w:cs="Times New Roman"/>
        </w:rPr>
        <w:t xml:space="preserve">However, one issue that may arise when using promissory estoppel is that certain rights can be suspended.  In the case of Tool Metal Manufacturing Co. Ltd. V Tungsten Electric Co. Ltd.  (1955), workers were not entitled to receive the compensation payments which would have otherwise been paid during the period of suspension.  However, it was found they were able to revive this claim in the future.  In this case estoppel has caused financial damage to a party when it exists to prevent damages.  </w:t>
      </w:r>
      <w:r w:rsidRPr="00A45B53">
        <w:rPr>
          <w:rFonts w:ascii="Times New Roman" w:hAnsi="Times New Roman" w:cs="Times New Roman"/>
        </w:rPr>
        <w:lastRenderedPageBreak/>
        <w:t>There may be a situation where a party needs the payments immediately rather than have to make another claim in the future, leading to potential financial hardship. Promissory estoppel should be more concerned with legal benefit to parties. In the case of South Caribbean Trading Ltd v Trafigura Beeheever BV (2004) the judge, Coleman J, ruled that there should always be a legal benefit rather than a practical benefit. This was said in opposition to the case of Williams V Roffey (1991) where a practical benefit was the main benefit.  It could be more legally beneficial if promissory estoppel did not suspend rights or mean claims would have to be remade in the future.  Parties may need money to keep up with payments such as taxes that they are legally obliged to pay and so these changes should be made to estoppel.</w:t>
      </w:r>
    </w:p>
    <w:p w14:paraId="7A650EB2" w14:textId="77777777" w:rsidR="00A45B53" w:rsidRDefault="00A45B53" w:rsidP="00785159">
      <w:pPr>
        <w:spacing w:line="480" w:lineRule="auto"/>
        <w:rPr>
          <w:rFonts w:ascii="Times New Roman" w:hAnsi="Times New Roman" w:cs="Times New Roman"/>
        </w:rPr>
      </w:pPr>
    </w:p>
    <w:p w14:paraId="040CA21E" w14:textId="5EC5866E" w:rsidR="00A45B53" w:rsidRDefault="00C75D2A" w:rsidP="00785159">
      <w:pPr>
        <w:spacing w:line="480" w:lineRule="auto"/>
        <w:rPr>
          <w:rFonts w:ascii="Times New Roman" w:hAnsi="Times New Roman" w:cs="Times New Roman"/>
        </w:rPr>
      </w:pPr>
      <w:r w:rsidRPr="00C75D2A">
        <w:rPr>
          <w:rFonts w:ascii="Times New Roman" w:hAnsi="Times New Roman" w:cs="Times New Roman"/>
        </w:rPr>
        <w:t>Columbia Law Review (1935) explains that in the peppercorn theory exchange does not need to be adequate for there to be valid consideration. This means that something offered as a return promise could be significantly less valuable than what was given as a promise by the other party, and it will still be held as valid consideration.  One upside to nominal consideration is that as said by UpCounsel (2024) nominal consideration can be used to conceal information from the public, such as the value of real estate. However, this still seems like one party can be disadvantaged as data that they consider important could be hidden from them. One case which clearly demonstrates the problem with the peppercorn issue is Chapelle &amp; Co Ltd V Nestle &amp; Co Ltd (1960) where Nestle offered up the receipt for the wrappers as a promise in response to the offer of a gramophone record.  This was deemed valid consideration. The issue here is that there is no detriment to Nestle and no benefit to Chapell so it is an unfair exchange and should not count as valid consideration.  But as it is seen as valuable in the eye of the law then there can be no opposition to the decision.  So, in situations like the one seen here it is easy for one party to benefit from the promise of another party and, in reality, give nothing of value in return. This could potentially lead to an abuse of an inadequacy loophole within</w:t>
      </w:r>
      <w:r w:rsidR="000E3DC8">
        <w:rPr>
          <w:rFonts w:ascii="Times New Roman" w:hAnsi="Times New Roman" w:cs="Times New Roman"/>
        </w:rPr>
        <w:t xml:space="preserve"> consideration.</w:t>
      </w:r>
    </w:p>
    <w:p w14:paraId="06E5BC1B" w14:textId="77777777" w:rsidR="003815D1" w:rsidRDefault="003815D1" w:rsidP="00785159">
      <w:pPr>
        <w:spacing w:line="480" w:lineRule="auto"/>
        <w:rPr>
          <w:rFonts w:ascii="Times New Roman" w:hAnsi="Times New Roman" w:cs="Times New Roman"/>
        </w:rPr>
      </w:pPr>
    </w:p>
    <w:p w14:paraId="02C4DAD5" w14:textId="77777777" w:rsidR="00FE6950" w:rsidRDefault="00FE6950" w:rsidP="00785159">
      <w:pPr>
        <w:spacing w:line="480" w:lineRule="auto"/>
        <w:rPr>
          <w:rFonts w:ascii="Times New Roman" w:hAnsi="Times New Roman" w:cs="Times New Roman"/>
        </w:rPr>
      </w:pPr>
      <w:r w:rsidRPr="00FE6950">
        <w:rPr>
          <w:rFonts w:ascii="Times New Roman" w:hAnsi="Times New Roman" w:cs="Times New Roman"/>
        </w:rPr>
        <w:lastRenderedPageBreak/>
        <w:t>Nominal Consideration is unfair.  What constitutes value in law may be of little or no value to the opposite party and leaves benefit on one side and detriment on the other. This may appear as invalid consideration. Nominal consideration stretches the doctrine so much that it is not accommodating and change needs to be made.  An example of why the doctrine of consideration should not be stretched is the case of New Zealand Shipping Co Ltd V Satterthwaite &amp; Co Ltd (1975)</w:t>
      </w:r>
      <w:r w:rsidRPr="00FE6950">
        <w:rPr>
          <w:rFonts w:ascii="Times New Roman" w:hAnsi="Times New Roman" w:cs="Times New Roman"/>
          <w:b/>
          <w:bCs/>
        </w:rPr>
        <w:t xml:space="preserve"> </w:t>
      </w:r>
      <w:r w:rsidRPr="00FE6950">
        <w:rPr>
          <w:rFonts w:ascii="Times New Roman" w:hAnsi="Times New Roman" w:cs="Times New Roman"/>
        </w:rPr>
        <w:t>where the machine owners’ promise was a limitation to rights against the carrier and other parties.  it is not fair to say there will be fewer rights for a party as it cannot be applied. It seems like anything, material or immaterial, counts as a valid promise which not only leaves parties to be disadvantaged but which shows why revisions of what is viewed as acceptable consideration are needed.</w:t>
      </w:r>
    </w:p>
    <w:p w14:paraId="76BF4444" w14:textId="77777777" w:rsidR="00AE7B1F" w:rsidRDefault="00AE7B1F" w:rsidP="00785159">
      <w:pPr>
        <w:spacing w:line="480" w:lineRule="auto"/>
        <w:rPr>
          <w:rFonts w:ascii="Times New Roman" w:hAnsi="Times New Roman" w:cs="Times New Roman"/>
        </w:rPr>
      </w:pPr>
    </w:p>
    <w:p w14:paraId="19A2C81E" w14:textId="5E7B5EAB" w:rsidR="00AE7B1F" w:rsidRDefault="00AE7B1F" w:rsidP="00785159">
      <w:pPr>
        <w:spacing w:line="480" w:lineRule="auto"/>
        <w:rPr>
          <w:rFonts w:ascii="Times New Roman" w:hAnsi="Times New Roman" w:cs="Times New Roman"/>
        </w:rPr>
      </w:pPr>
      <w:r w:rsidRPr="00AE7B1F">
        <w:rPr>
          <w:rFonts w:ascii="Times New Roman" w:hAnsi="Times New Roman" w:cs="Times New Roman"/>
        </w:rPr>
        <w:t>In consideration, there have been cases where there is over inclusiveness, where factors that are not really a valid bargain have been used a valid promise. This is seen in the case of Ward V Byham, (1956) where the mother’s statutory right to look after the child was seen as a valid promise against the fathers maintenance payments, when it is a legal requirement for her to do so.   Doing something you are legally bound to is not a promise for consideration. It is something you must do or potentially have to face prosecution.  This is not a detrimen</w:t>
      </w:r>
      <w:r w:rsidR="00533BDF">
        <w:rPr>
          <w:rFonts w:ascii="Times New Roman" w:hAnsi="Times New Roman" w:cs="Times New Roman"/>
        </w:rPr>
        <w:t>t</w:t>
      </w:r>
      <w:r w:rsidR="00FD5AFF">
        <w:rPr>
          <w:rFonts w:ascii="Times New Roman" w:hAnsi="Times New Roman" w:cs="Times New Roman"/>
        </w:rPr>
        <w:t xml:space="preserve"> to the mother</w:t>
      </w:r>
      <w:r w:rsidR="00533BDF">
        <w:rPr>
          <w:rFonts w:ascii="Times New Roman" w:hAnsi="Times New Roman" w:cs="Times New Roman"/>
        </w:rPr>
        <w:t>,</w:t>
      </w:r>
      <w:r w:rsidRPr="00AE7B1F">
        <w:rPr>
          <w:rFonts w:ascii="Times New Roman" w:hAnsi="Times New Roman" w:cs="Times New Roman"/>
        </w:rPr>
        <w:t xml:space="preserve"> but she still benefited from the father’s payment.  This means preexisting obligations could be used to gain an unfair advantage over other parties and shows a change is needed in consideration as this could lead to a great deal of unfair exploitation of parties. There needs to be changes made to what is seen as valid consideration. </w:t>
      </w:r>
    </w:p>
    <w:p w14:paraId="73E6ADBD" w14:textId="77777777" w:rsidR="00AE7B1F" w:rsidRDefault="00AE7B1F" w:rsidP="00785159">
      <w:pPr>
        <w:spacing w:line="480" w:lineRule="auto"/>
        <w:rPr>
          <w:rFonts w:ascii="Times New Roman" w:hAnsi="Times New Roman" w:cs="Times New Roman"/>
        </w:rPr>
      </w:pPr>
    </w:p>
    <w:p w14:paraId="3BBBC096" w14:textId="19EABC1B" w:rsidR="00AF777D" w:rsidRDefault="00AF777D" w:rsidP="00785159">
      <w:pPr>
        <w:spacing w:line="480" w:lineRule="auto"/>
        <w:rPr>
          <w:rFonts w:ascii="Times New Roman" w:hAnsi="Times New Roman" w:cs="Times New Roman"/>
        </w:rPr>
      </w:pPr>
      <w:r w:rsidRPr="00AF777D">
        <w:rPr>
          <w:rFonts w:ascii="Times New Roman" w:hAnsi="Times New Roman" w:cs="Times New Roman"/>
        </w:rPr>
        <w:t xml:space="preserve">There Is also an issue of under inclusivity in the case of Coulls V Bagots Executor and Trustee Co Ltd (1967) which undermines consideration. A party that gave no consideration was entitled to sue for a claim as they were in a joint promise with another party. In this instance there is no consideration whatsoever so it would be assumed this party would not be involved in the contract.  This shows an under inclusivity of consideration as there are ways for parties to enter contracts by offering nothing to the other parties which shows consideration is in reality not used in places where it should be.  This </w:t>
      </w:r>
      <w:r w:rsidRPr="00AF777D">
        <w:rPr>
          <w:rFonts w:ascii="Times New Roman" w:hAnsi="Times New Roman" w:cs="Times New Roman"/>
        </w:rPr>
        <w:lastRenderedPageBreak/>
        <w:t xml:space="preserve">shows a flaw in the doctrine which needs to be changed. There needs to be a review of what counts as a valid promise and a reform so that all parties must contribute a promise, as said by Quinn (2019, Page 94) </w:t>
      </w:r>
      <w:r w:rsidRPr="00AF777D">
        <w:rPr>
          <w:rFonts w:ascii="Times New Roman" w:hAnsi="Times New Roman" w:cs="Times New Roman"/>
          <w:i/>
          <w:iCs/>
        </w:rPr>
        <w:t xml:space="preserve">“The courts sometimes give a rather artificial interpretation of the principles of consideration, in order to avoid unjust avoidance of an agreement”.  </w:t>
      </w:r>
      <w:r w:rsidRPr="00AF777D">
        <w:rPr>
          <w:rFonts w:ascii="Times New Roman" w:hAnsi="Times New Roman" w:cs="Times New Roman"/>
        </w:rPr>
        <w:t>It seems that this artificial interpretation can do more damage to parties than benefit.  This is why there needs to be less ambiguity in what constitutes valid consideration to help avoid these issues in the future.</w:t>
      </w:r>
    </w:p>
    <w:p w14:paraId="586F8C5E" w14:textId="77777777" w:rsidR="00463E37" w:rsidRDefault="00463E37" w:rsidP="00785159">
      <w:pPr>
        <w:spacing w:line="480" w:lineRule="auto"/>
        <w:rPr>
          <w:rFonts w:ascii="Times New Roman" w:hAnsi="Times New Roman" w:cs="Times New Roman"/>
        </w:rPr>
      </w:pPr>
    </w:p>
    <w:p w14:paraId="3562ECAC" w14:textId="23644586" w:rsidR="00463E37" w:rsidRDefault="00463E37" w:rsidP="00785159">
      <w:pPr>
        <w:spacing w:line="480" w:lineRule="auto"/>
        <w:rPr>
          <w:rFonts w:ascii="Times New Roman" w:hAnsi="Times New Roman" w:cs="Times New Roman"/>
        </w:rPr>
      </w:pPr>
      <w:r w:rsidRPr="00463E37">
        <w:rPr>
          <w:rFonts w:ascii="Times New Roman" w:hAnsi="Times New Roman" w:cs="Times New Roman"/>
        </w:rPr>
        <w:t xml:space="preserve">In conclusion, whereas there are some upsides to consideration, such as the estoppel model which prevents parties from suffering detriment if they were </w:t>
      </w:r>
      <w:r w:rsidRPr="00463E37">
        <w:rPr>
          <w:rFonts w:ascii="Times New Roman" w:hAnsi="Times New Roman" w:cs="Times New Roman"/>
        </w:rPr>
        <w:t>dependent</w:t>
      </w:r>
      <w:r w:rsidRPr="00463E37">
        <w:rPr>
          <w:rFonts w:ascii="Times New Roman" w:hAnsi="Times New Roman" w:cs="Times New Roman"/>
        </w:rPr>
        <w:t xml:space="preserve"> upon the promise of another party and some parties benefiting from how nominal consideration can help conceal information from the public but as said above this can still disadvantage other parties, the role of consideration in law needs improvement. Promissory estoppel can create problems for a party when rights are suspended, and they must make claims in the future to attain what they did not have during the suspension. Nominal Consideration shows that what is considered adequate consideration needs to be reviewed, as it is a detriment to one party and a benefit to another, when consideration requires both benefit and detriment on both sides, so the whole model is contradictory to what is seen as a valid consideration. Consideration leaving room for both over and under inclusivity shows that what acts as a valid promise needs to be reformed as it does not make sense for a statutory right to be considered a promise as it could mean that a party does not suffer detriment, nor should a party be involved if there is no consideration on their behalf.</w:t>
      </w:r>
    </w:p>
    <w:p w14:paraId="2389B4D6" w14:textId="77777777" w:rsidR="00C50862" w:rsidRDefault="00C50862" w:rsidP="00785159">
      <w:pPr>
        <w:spacing w:line="480" w:lineRule="auto"/>
        <w:rPr>
          <w:rFonts w:ascii="Times New Roman" w:hAnsi="Times New Roman" w:cs="Times New Roman"/>
        </w:rPr>
      </w:pPr>
    </w:p>
    <w:p w14:paraId="0144E538" w14:textId="20E536A9" w:rsidR="00C50862" w:rsidRPr="00167D27" w:rsidRDefault="00C50862" w:rsidP="00C50862">
      <w:pPr>
        <w:pStyle w:val="Heading1"/>
        <w:rPr>
          <w:rFonts w:ascii="Times New Roman" w:hAnsi="Times New Roman" w:cs="Times New Roman"/>
          <w:u w:val="single"/>
        </w:rPr>
      </w:pPr>
      <w:r w:rsidRPr="00167D27">
        <w:rPr>
          <w:rFonts w:ascii="Times New Roman" w:hAnsi="Times New Roman" w:cs="Times New Roman"/>
          <w:u w:val="single"/>
        </w:rPr>
        <w:t>Reference List</w:t>
      </w:r>
    </w:p>
    <w:p w14:paraId="678CA0C9" w14:textId="77777777" w:rsidR="00C50862" w:rsidRPr="00167D27" w:rsidRDefault="00C50862" w:rsidP="00C50862">
      <w:pPr>
        <w:rPr>
          <w:rFonts w:ascii="Times New Roman" w:hAnsi="Times New Roman" w:cs="Times New Roman"/>
        </w:rPr>
      </w:pPr>
    </w:p>
    <w:p w14:paraId="530A0CAD" w14:textId="77777777" w:rsidR="00785159" w:rsidRPr="00167D27" w:rsidRDefault="00785159" w:rsidP="00167D27">
      <w:pPr>
        <w:spacing w:after="0" w:line="240" w:lineRule="auto"/>
        <w:rPr>
          <w:rFonts w:ascii="Times New Roman" w:hAnsi="Times New Roman" w:cs="Times New Roman"/>
        </w:rPr>
      </w:pPr>
    </w:p>
    <w:p w14:paraId="43952516" w14:textId="77777777" w:rsidR="00785159" w:rsidRPr="00167D27" w:rsidRDefault="00785159" w:rsidP="00167D27">
      <w:pPr>
        <w:spacing w:after="0" w:line="240" w:lineRule="auto"/>
        <w:rPr>
          <w:rFonts w:ascii="Times New Roman" w:hAnsi="Times New Roman" w:cs="Times New Roman"/>
        </w:rPr>
      </w:pPr>
    </w:p>
    <w:p w14:paraId="4BBC8778" w14:textId="77777777" w:rsidR="00785159" w:rsidRPr="00167D27" w:rsidRDefault="00785159" w:rsidP="00167D27">
      <w:pPr>
        <w:spacing w:after="0" w:line="240" w:lineRule="auto"/>
        <w:rPr>
          <w:rFonts w:ascii="Times New Roman" w:hAnsi="Times New Roman" w:cs="Times New Roman"/>
        </w:rPr>
      </w:pPr>
    </w:p>
    <w:p w14:paraId="1AA5F591" w14:textId="77777777" w:rsidR="00785159" w:rsidRDefault="00785159" w:rsidP="00167D27">
      <w:pPr>
        <w:spacing w:after="0" w:line="240" w:lineRule="auto"/>
        <w:rPr>
          <w:rFonts w:ascii="Times New Roman" w:eastAsia="Times New Roman" w:hAnsi="Times New Roman" w:cs="Times New Roman"/>
          <w:kern w:val="0"/>
          <w:sz w:val="24"/>
          <w:szCs w:val="24"/>
          <w:lang w:eastAsia="en-GB"/>
          <w14:ligatures w14:val="none"/>
        </w:rPr>
      </w:pPr>
    </w:p>
    <w:p w14:paraId="6BCA6F86" w14:textId="77777777" w:rsidR="00785159" w:rsidRPr="00785159" w:rsidRDefault="00785159" w:rsidP="00167D27">
      <w:pPr>
        <w:rPr>
          <w:rFonts w:ascii="Times New Roman" w:hAnsi="Times New Roman" w:cs="Times New Roman"/>
        </w:rPr>
      </w:pPr>
      <w:r w:rsidRPr="00785159">
        <w:rPr>
          <w:rFonts w:ascii="Times New Roman" w:hAnsi="Times New Roman" w:cs="Times New Roman"/>
        </w:rPr>
        <w:lastRenderedPageBreak/>
        <w:t>Adams K. (2016) “</w:t>
      </w:r>
      <w:r w:rsidRPr="00785159">
        <w:rPr>
          <w:rFonts w:ascii="Times New Roman" w:hAnsi="Times New Roman" w:cs="Times New Roman"/>
          <w:i/>
          <w:iCs/>
        </w:rPr>
        <w:t>Nominal Consideration Under English Law</w:t>
      </w:r>
      <w:r w:rsidRPr="00785159">
        <w:rPr>
          <w:rFonts w:ascii="Times New Roman" w:hAnsi="Times New Roman" w:cs="Times New Roman"/>
        </w:rPr>
        <w:t xml:space="preserve">” Available at: </w:t>
      </w:r>
      <w:hyperlink r:id="rId4" w:history="1">
        <w:r w:rsidRPr="00785159">
          <w:rPr>
            <w:rStyle w:val="Hyperlink"/>
            <w:rFonts w:ascii="Times New Roman" w:hAnsi="Times New Roman" w:cs="Times New Roman"/>
          </w:rPr>
          <w:t>Nominal Consideration Under English Law - Adams on Contract Drafting (adamsdrafting.com)</w:t>
        </w:r>
      </w:hyperlink>
      <w:r w:rsidRPr="00785159">
        <w:rPr>
          <w:rFonts w:ascii="Times New Roman" w:hAnsi="Times New Roman" w:cs="Times New Roman"/>
        </w:rPr>
        <w:t xml:space="preserve"> Accessed: 2</w:t>
      </w:r>
      <w:r w:rsidRPr="00785159">
        <w:rPr>
          <w:rFonts w:ascii="Times New Roman" w:hAnsi="Times New Roman" w:cs="Times New Roman"/>
          <w:vertAlign w:val="superscript"/>
        </w:rPr>
        <w:t>nd</w:t>
      </w:r>
      <w:r w:rsidRPr="00785159">
        <w:rPr>
          <w:rFonts w:ascii="Times New Roman" w:hAnsi="Times New Roman" w:cs="Times New Roman"/>
        </w:rPr>
        <w:t xml:space="preserve"> March 2024</w:t>
      </w:r>
    </w:p>
    <w:p w14:paraId="50255C31" w14:textId="77777777" w:rsidR="00785159" w:rsidRPr="00785159" w:rsidRDefault="00785159" w:rsidP="00167D27">
      <w:pPr>
        <w:spacing w:after="0" w:line="240" w:lineRule="auto"/>
        <w:rPr>
          <w:rFonts w:ascii="Times New Roman" w:eastAsia="Times New Roman" w:hAnsi="Times New Roman" w:cs="Times New Roman"/>
          <w:kern w:val="0"/>
          <w:lang w:eastAsia="en-GB"/>
          <w14:ligatures w14:val="none"/>
        </w:rPr>
      </w:pPr>
      <w:r w:rsidRPr="00785159">
        <w:rPr>
          <w:rFonts w:ascii="Times New Roman" w:eastAsia="Times New Roman" w:hAnsi="Times New Roman" w:cs="Times New Roman"/>
          <w:kern w:val="0"/>
          <w:lang w:eastAsia="en-GB"/>
          <w14:ligatures w14:val="none"/>
        </w:rPr>
        <w:t>Baird, D. G. (2019)</w:t>
      </w:r>
      <w:r w:rsidRPr="00785159">
        <w:rPr>
          <w:rFonts w:ascii="Times New Roman" w:eastAsia="Times New Roman" w:hAnsi="Times New Roman" w:cs="Times New Roman"/>
          <w:i/>
          <w:iCs/>
          <w:kern w:val="0"/>
          <w:lang w:eastAsia="en-GB"/>
          <w14:ligatures w14:val="none"/>
        </w:rPr>
        <w:t xml:space="preserve"> “Unlikely Resurrection: Richard Posner, Promissory Estoppel, and The Death of Contract”</w:t>
      </w:r>
      <w:r w:rsidRPr="00785159">
        <w:rPr>
          <w:rFonts w:ascii="Times New Roman" w:eastAsia="Times New Roman" w:hAnsi="Times New Roman" w:cs="Times New Roman"/>
          <w:kern w:val="0"/>
          <w:lang w:eastAsia="en-GB"/>
          <w14:ligatures w14:val="none"/>
        </w:rPr>
        <w:t xml:space="preserve">. </w:t>
      </w:r>
      <w:r w:rsidRPr="00785159">
        <w:rPr>
          <w:rFonts w:ascii="Times New Roman" w:eastAsia="Times New Roman" w:hAnsi="Times New Roman" w:cs="Times New Roman"/>
          <w:i/>
          <w:iCs/>
          <w:kern w:val="0"/>
          <w:lang w:eastAsia="en-GB"/>
          <w14:ligatures w14:val="none"/>
        </w:rPr>
        <w:t>The University of Chicago Law Review</w:t>
      </w:r>
      <w:r w:rsidRPr="00785159">
        <w:rPr>
          <w:rFonts w:ascii="Times New Roman" w:eastAsia="Times New Roman" w:hAnsi="Times New Roman" w:cs="Times New Roman"/>
          <w:kern w:val="0"/>
          <w:lang w:eastAsia="en-GB"/>
          <w14:ligatures w14:val="none"/>
        </w:rPr>
        <w:t xml:space="preserve">, </w:t>
      </w:r>
      <w:r w:rsidRPr="00785159">
        <w:rPr>
          <w:rFonts w:ascii="Times New Roman" w:eastAsia="Times New Roman" w:hAnsi="Times New Roman" w:cs="Times New Roman"/>
          <w:i/>
          <w:iCs/>
          <w:kern w:val="0"/>
          <w:lang w:eastAsia="en-GB"/>
          <w14:ligatures w14:val="none"/>
        </w:rPr>
        <w:t>86</w:t>
      </w:r>
      <w:r w:rsidRPr="00785159">
        <w:rPr>
          <w:rFonts w:ascii="Times New Roman" w:eastAsia="Times New Roman" w:hAnsi="Times New Roman" w:cs="Times New Roman"/>
          <w:kern w:val="0"/>
          <w:lang w:eastAsia="en-GB"/>
          <w14:ligatures w14:val="none"/>
        </w:rPr>
        <w:t xml:space="preserve">, </w:t>
      </w:r>
    </w:p>
    <w:p w14:paraId="7E1F3CB3" w14:textId="77777777" w:rsidR="00785159" w:rsidRPr="00785159" w:rsidRDefault="00785159" w:rsidP="00167D27">
      <w:pPr>
        <w:spacing w:after="0" w:line="240" w:lineRule="auto"/>
        <w:rPr>
          <w:rFonts w:ascii="Times New Roman" w:eastAsia="Times New Roman" w:hAnsi="Times New Roman" w:cs="Times New Roman"/>
          <w:kern w:val="0"/>
          <w:lang w:eastAsia="en-GB"/>
          <w14:ligatures w14:val="none"/>
        </w:rPr>
      </w:pPr>
    </w:p>
    <w:p w14:paraId="444EAF06" w14:textId="77777777" w:rsidR="00785159" w:rsidRPr="00785159" w:rsidRDefault="00785159" w:rsidP="00167D27">
      <w:pPr>
        <w:spacing w:after="0" w:line="240" w:lineRule="auto"/>
        <w:rPr>
          <w:rFonts w:ascii="Times New Roman" w:eastAsia="Times New Roman" w:hAnsi="Times New Roman" w:cs="Times New Roman"/>
          <w:kern w:val="0"/>
          <w:lang w:eastAsia="en-GB"/>
          <w14:ligatures w14:val="none"/>
        </w:rPr>
      </w:pPr>
      <w:r w:rsidRPr="00785159">
        <w:rPr>
          <w:rFonts w:ascii="Times New Roman" w:eastAsia="Times New Roman" w:hAnsi="Times New Roman" w:cs="Times New Roman"/>
          <w:kern w:val="0"/>
          <w:lang w:eastAsia="en-GB"/>
          <w14:ligatures w14:val="none"/>
        </w:rPr>
        <w:t xml:space="preserve">Columbia Law Review (1935) “The Peppercorn Theory of Consideration and the Doctrine of Fair Exchange in Contract Law.” </w:t>
      </w:r>
      <w:r w:rsidRPr="00785159">
        <w:rPr>
          <w:rFonts w:ascii="Times New Roman" w:eastAsia="Times New Roman" w:hAnsi="Times New Roman" w:cs="Times New Roman"/>
          <w:i/>
          <w:iCs/>
          <w:kern w:val="0"/>
          <w:lang w:eastAsia="en-GB"/>
          <w14:ligatures w14:val="none"/>
        </w:rPr>
        <w:t>Columbia Law Review</w:t>
      </w:r>
      <w:r w:rsidRPr="00785159">
        <w:rPr>
          <w:rFonts w:ascii="Times New Roman" w:eastAsia="Times New Roman" w:hAnsi="Times New Roman" w:cs="Times New Roman"/>
          <w:kern w:val="0"/>
          <w:lang w:eastAsia="en-GB"/>
          <w14:ligatures w14:val="none"/>
        </w:rPr>
        <w:t>, Vol. 35</w:t>
      </w:r>
    </w:p>
    <w:p w14:paraId="712AB78E" w14:textId="77777777" w:rsidR="00785159" w:rsidRPr="00785159" w:rsidRDefault="00785159" w:rsidP="00167D27">
      <w:pPr>
        <w:spacing w:after="0" w:line="240" w:lineRule="auto"/>
        <w:rPr>
          <w:rFonts w:ascii="Times New Roman" w:eastAsia="Times New Roman" w:hAnsi="Times New Roman" w:cs="Times New Roman"/>
          <w:kern w:val="0"/>
          <w:lang w:eastAsia="en-GB"/>
          <w14:ligatures w14:val="none"/>
        </w:rPr>
      </w:pPr>
    </w:p>
    <w:p w14:paraId="199D5040" w14:textId="77777777" w:rsidR="00785159" w:rsidRPr="00785159" w:rsidRDefault="00785159" w:rsidP="00167D27">
      <w:pPr>
        <w:rPr>
          <w:rFonts w:ascii="Times New Roman" w:hAnsi="Times New Roman" w:cs="Times New Roman"/>
        </w:rPr>
      </w:pPr>
      <w:r w:rsidRPr="00785159">
        <w:rPr>
          <w:rFonts w:ascii="Times New Roman" w:hAnsi="Times New Roman" w:cs="Times New Roman"/>
        </w:rPr>
        <w:t xml:space="preserve">Gopal T. (2021) “Executory Vs Executed Consideration” Available at: </w:t>
      </w:r>
      <w:hyperlink r:id="rId5" w:history="1">
        <w:r w:rsidRPr="00785159">
          <w:rPr>
            <w:rStyle w:val="Hyperlink"/>
            <w:rFonts w:ascii="Times New Roman" w:hAnsi="Times New Roman" w:cs="Times New Roman"/>
          </w:rPr>
          <w:t>Executory Vs Executed Consideration - Black n' White Journal (bnwjournal.com)</w:t>
        </w:r>
      </w:hyperlink>
      <w:r w:rsidRPr="00785159">
        <w:rPr>
          <w:rFonts w:ascii="Times New Roman" w:hAnsi="Times New Roman" w:cs="Times New Roman"/>
        </w:rPr>
        <w:t xml:space="preserve"> Accessed: 7</w:t>
      </w:r>
      <w:r w:rsidRPr="00785159">
        <w:rPr>
          <w:rFonts w:ascii="Times New Roman" w:hAnsi="Times New Roman" w:cs="Times New Roman"/>
          <w:vertAlign w:val="superscript"/>
        </w:rPr>
        <w:t>th</w:t>
      </w:r>
      <w:r w:rsidRPr="00785159">
        <w:rPr>
          <w:rFonts w:ascii="Times New Roman" w:hAnsi="Times New Roman" w:cs="Times New Roman"/>
        </w:rPr>
        <w:t xml:space="preserve"> March 2024</w:t>
      </w:r>
    </w:p>
    <w:p w14:paraId="431C5D46" w14:textId="77777777" w:rsidR="00785159" w:rsidRPr="00785159" w:rsidRDefault="00785159" w:rsidP="00167D27">
      <w:pPr>
        <w:spacing w:after="0" w:line="240" w:lineRule="auto"/>
        <w:rPr>
          <w:rFonts w:ascii="Times New Roman" w:hAnsi="Times New Roman" w:cs="Times New Roman"/>
        </w:rPr>
      </w:pPr>
      <w:r w:rsidRPr="00785159">
        <w:rPr>
          <w:rFonts w:ascii="Times New Roman" w:hAnsi="Times New Roman" w:cs="Times New Roman"/>
        </w:rPr>
        <w:t xml:space="preserve">Kati E. (2022) </w:t>
      </w:r>
      <w:r w:rsidRPr="00785159">
        <w:rPr>
          <w:rFonts w:ascii="Times New Roman" w:hAnsi="Times New Roman" w:cs="Times New Roman"/>
          <w:i/>
          <w:iCs/>
        </w:rPr>
        <w:t>“What is Consideration in Contract Law in the UK?</w:t>
      </w:r>
      <w:r w:rsidRPr="00785159">
        <w:rPr>
          <w:rFonts w:ascii="Times New Roman" w:hAnsi="Times New Roman" w:cs="Times New Roman"/>
        </w:rPr>
        <w:t xml:space="preserve">” Available at: </w:t>
      </w:r>
      <w:hyperlink r:id="rId6" w:history="1">
        <w:r w:rsidRPr="00785159">
          <w:rPr>
            <w:rStyle w:val="Hyperlink"/>
            <w:rFonts w:ascii="Times New Roman" w:hAnsi="Times New Roman" w:cs="Times New Roman"/>
          </w:rPr>
          <w:t>What is Consideration in Contract Law? | LegalVision UK</w:t>
        </w:r>
      </w:hyperlink>
      <w:r w:rsidRPr="00785159">
        <w:rPr>
          <w:rFonts w:ascii="Times New Roman" w:hAnsi="Times New Roman" w:cs="Times New Roman"/>
        </w:rPr>
        <w:t xml:space="preserve"> Accessed: 27</w:t>
      </w:r>
      <w:r w:rsidRPr="00785159">
        <w:rPr>
          <w:rFonts w:ascii="Times New Roman" w:hAnsi="Times New Roman" w:cs="Times New Roman"/>
          <w:vertAlign w:val="superscript"/>
        </w:rPr>
        <w:t>th</w:t>
      </w:r>
      <w:r w:rsidRPr="00785159">
        <w:rPr>
          <w:rFonts w:ascii="Times New Roman" w:hAnsi="Times New Roman" w:cs="Times New Roman"/>
        </w:rPr>
        <w:t xml:space="preserve"> February 2024</w:t>
      </w:r>
    </w:p>
    <w:p w14:paraId="785DA1AE" w14:textId="77777777" w:rsidR="00785159" w:rsidRPr="00785159" w:rsidRDefault="00785159" w:rsidP="00167D27">
      <w:pPr>
        <w:spacing w:after="0" w:line="240" w:lineRule="auto"/>
        <w:rPr>
          <w:rFonts w:ascii="Times New Roman" w:hAnsi="Times New Roman" w:cs="Times New Roman"/>
        </w:rPr>
      </w:pPr>
    </w:p>
    <w:p w14:paraId="32331ED9" w14:textId="77777777" w:rsidR="00785159" w:rsidRPr="00785159" w:rsidRDefault="00785159" w:rsidP="00167D27">
      <w:pPr>
        <w:rPr>
          <w:rFonts w:ascii="Times New Roman" w:hAnsi="Times New Roman" w:cs="Times New Roman"/>
        </w:rPr>
      </w:pPr>
      <w:r w:rsidRPr="00785159">
        <w:rPr>
          <w:rFonts w:ascii="Times New Roman" w:hAnsi="Times New Roman" w:cs="Times New Roman"/>
        </w:rPr>
        <w:t xml:space="preserve">Merkin R. and Saintier S. (2021) </w:t>
      </w:r>
      <w:r w:rsidRPr="00785159">
        <w:rPr>
          <w:rFonts w:ascii="Times New Roman" w:hAnsi="Times New Roman" w:cs="Times New Roman"/>
          <w:i/>
          <w:iCs/>
        </w:rPr>
        <w:t xml:space="preserve">Poole’s Textbook on Contract Law </w:t>
      </w:r>
      <w:r w:rsidRPr="00785159">
        <w:rPr>
          <w:rFonts w:ascii="Times New Roman" w:hAnsi="Times New Roman" w:cs="Times New Roman"/>
        </w:rPr>
        <w:t>15</w:t>
      </w:r>
      <w:r w:rsidRPr="00785159">
        <w:rPr>
          <w:rFonts w:ascii="Times New Roman" w:hAnsi="Times New Roman" w:cs="Times New Roman"/>
          <w:vertAlign w:val="superscript"/>
        </w:rPr>
        <w:t>th</w:t>
      </w:r>
      <w:r w:rsidRPr="00785159">
        <w:rPr>
          <w:rFonts w:ascii="Times New Roman" w:hAnsi="Times New Roman" w:cs="Times New Roman"/>
        </w:rPr>
        <w:t xml:space="preserve"> ed. Glasgow, Oxford University Press, Pages 38 and 52</w:t>
      </w:r>
    </w:p>
    <w:p w14:paraId="6E332B31" w14:textId="77777777" w:rsidR="00785159" w:rsidRPr="00785159" w:rsidRDefault="00785159" w:rsidP="00167D27">
      <w:pPr>
        <w:rPr>
          <w:rFonts w:ascii="Times New Roman" w:hAnsi="Times New Roman" w:cs="Times New Roman"/>
        </w:rPr>
      </w:pPr>
      <w:r w:rsidRPr="00785159">
        <w:rPr>
          <w:rFonts w:ascii="Times New Roman" w:hAnsi="Times New Roman" w:cs="Times New Roman"/>
        </w:rPr>
        <w:t xml:space="preserve">Quinn F. (2019) </w:t>
      </w:r>
      <w:r w:rsidRPr="00785159">
        <w:rPr>
          <w:rFonts w:ascii="Times New Roman" w:hAnsi="Times New Roman" w:cs="Times New Roman"/>
          <w:i/>
          <w:iCs/>
        </w:rPr>
        <w:t xml:space="preserve">“Elliott &amp; Quinn’s Contract Law” </w:t>
      </w:r>
      <w:r w:rsidRPr="00785159">
        <w:rPr>
          <w:rFonts w:ascii="Times New Roman" w:hAnsi="Times New Roman" w:cs="Times New Roman"/>
        </w:rPr>
        <w:t>Twelfth Edition Malaysia: Pearson Education Limited Page 94</w:t>
      </w:r>
    </w:p>
    <w:p w14:paraId="3C0CF821" w14:textId="77777777" w:rsidR="00785159" w:rsidRPr="00785159" w:rsidRDefault="00785159" w:rsidP="00167D27">
      <w:pPr>
        <w:spacing w:after="0" w:line="240" w:lineRule="auto"/>
        <w:rPr>
          <w:rFonts w:ascii="Times New Roman" w:hAnsi="Times New Roman" w:cs="Times New Roman"/>
        </w:rPr>
      </w:pPr>
      <w:r w:rsidRPr="00785159">
        <w:rPr>
          <w:rFonts w:ascii="Times New Roman" w:hAnsi="Times New Roman" w:cs="Times New Roman"/>
        </w:rPr>
        <w:t>UpCounsel (2024) “</w:t>
      </w:r>
      <w:r w:rsidRPr="00785159">
        <w:rPr>
          <w:rFonts w:ascii="Times New Roman" w:hAnsi="Times New Roman" w:cs="Times New Roman"/>
          <w:i/>
          <w:iCs/>
        </w:rPr>
        <w:t>Nominal Consideration: Everything You Need to Know</w:t>
      </w:r>
      <w:r w:rsidRPr="00785159">
        <w:rPr>
          <w:rFonts w:ascii="Times New Roman" w:hAnsi="Times New Roman" w:cs="Times New Roman"/>
        </w:rPr>
        <w:t xml:space="preserve">” Available at: </w:t>
      </w:r>
      <w:hyperlink r:id="rId7" w:history="1">
        <w:r w:rsidRPr="00785159">
          <w:rPr>
            <w:rStyle w:val="Hyperlink"/>
            <w:rFonts w:ascii="Times New Roman" w:hAnsi="Times New Roman" w:cs="Times New Roman"/>
          </w:rPr>
          <w:t>Nominal Consideration | UpCounsel 2024</w:t>
        </w:r>
      </w:hyperlink>
      <w:r w:rsidRPr="00785159">
        <w:rPr>
          <w:rFonts w:ascii="Times New Roman" w:hAnsi="Times New Roman" w:cs="Times New Roman"/>
        </w:rPr>
        <w:t xml:space="preserve"> Accessed: 4</w:t>
      </w:r>
      <w:r w:rsidRPr="00785159">
        <w:rPr>
          <w:rFonts w:ascii="Times New Roman" w:hAnsi="Times New Roman" w:cs="Times New Roman"/>
          <w:vertAlign w:val="superscript"/>
        </w:rPr>
        <w:t>th</w:t>
      </w:r>
      <w:r w:rsidRPr="00785159">
        <w:rPr>
          <w:rFonts w:ascii="Times New Roman" w:hAnsi="Times New Roman" w:cs="Times New Roman"/>
        </w:rPr>
        <w:t xml:space="preserve"> March 2024</w:t>
      </w:r>
    </w:p>
    <w:p w14:paraId="2E580C37" w14:textId="77777777" w:rsidR="00192E2B" w:rsidRDefault="00192E2B" w:rsidP="00167D27">
      <w:pPr>
        <w:spacing w:after="0" w:line="240" w:lineRule="auto"/>
        <w:rPr>
          <w:rFonts w:ascii="Times New Roman" w:eastAsia="Times New Roman" w:hAnsi="Times New Roman" w:cs="Times New Roman"/>
          <w:kern w:val="0"/>
          <w:sz w:val="24"/>
          <w:szCs w:val="24"/>
          <w:lang w:eastAsia="en-GB"/>
          <w14:ligatures w14:val="none"/>
        </w:rPr>
      </w:pPr>
    </w:p>
    <w:p w14:paraId="319891B7" w14:textId="74FF7F3F" w:rsidR="00623280" w:rsidRDefault="00192E2B" w:rsidP="00623280">
      <w:pPr>
        <w:pStyle w:val="Heading1"/>
        <w:rPr>
          <w:rFonts w:ascii="Times New Roman" w:eastAsia="Times New Roman" w:hAnsi="Times New Roman" w:cs="Times New Roman"/>
          <w:lang w:eastAsia="en-GB"/>
        </w:rPr>
      </w:pPr>
      <w:r w:rsidRPr="00192E2B">
        <w:rPr>
          <w:rFonts w:ascii="Times New Roman" w:eastAsia="Times New Roman" w:hAnsi="Times New Roman" w:cs="Times New Roman"/>
          <w:lang w:eastAsia="en-GB"/>
        </w:rPr>
        <w:t>Table of Cases</w:t>
      </w:r>
    </w:p>
    <w:p w14:paraId="02476B8B" w14:textId="77777777" w:rsidR="00623280" w:rsidRDefault="00623280" w:rsidP="00623280">
      <w:pPr>
        <w:rPr>
          <w:lang w:eastAsia="en-GB"/>
        </w:rPr>
      </w:pPr>
    </w:p>
    <w:p w14:paraId="18BCA42B" w14:textId="77777777" w:rsidR="00785159" w:rsidRPr="00623280" w:rsidRDefault="00785159" w:rsidP="00623280">
      <w:pPr>
        <w:spacing w:after="0" w:line="240" w:lineRule="auto"/>
        <w:rPr>
          <w:rFonts w:ascii="Times New Roman" w:hAnsi="Times New Roman" w:cs="Times New Roman"/>
        </w:rPr>
      </w:pPr>
    </w:p>
    <w:p w14:paraId="17F2B401" w14:textId="77777777" w:rsidR="00785159" w:rsidRPr="00623280" w:rsidRDefault="00785159" w:rsidP="00623280">
      <w:pPr>
        <w:spacing w:after="0" w:line="240" w:lineRule="auto"/>
        <w:rPr>
          <w:rFonts w:ascii="Times New Roman" w:hAnsi="Times New Roman" w:cs="Times New Roman"/>
        </w:rPr>
      </w:pPr>
    </w:p>
    <w:p w14:paraId="54F04E8C" w14:textId="77777777" w:rsidR="00785159" w:rsidRPr="00623280" w:rsidRDefault="00785159" w:rsidP="00623280">
      <w:pPr>
        <w:spacing w:after="0" w:line="240" w:lineRule="auto"/>
        <w:rPr>
          <w:rFonts w:ascii="Times New Roman" w:hAnsi="Times New Roman" w:cs="Times New Roman"/>
        </w:rPr>
      </w:pPr>
    </w:p>
    <w:p w14:paraId="220235F1" w14:textId="77777777" w:rsidR="00785159" w:rsidRPr="00623280" w:rsidRDefault="00785159" w:rsidP="00623280">
      <w:pPr>
        <w:spacing w:after="0" w:line="240" w:lineRule="auto"/>
        <w:rPr>
          <w:rFonts w:ascii="Times New Roman" w:hAnsi="Times New Roman" w:cs="Times New Roman"/>
        </w:rPr>
      </w:pPr>
    </w:p>
    <w:p w14:paraId="49DC134D" w14:textId="77777777" w:rsidR="00785159" w:rsidRPr="00623280" w:rsidRDefault="00785159" w:rsidP="00623280">
      <w:pPr>
        <w:spacing w:after="0" w:line="240" w:lineRule="auto"/>
        <w:rPr>
          <w:rFonts w:ascii="Times New Roman" w:hAnsi="Times New Roman" w:cs="Times New Roman"/>
        </w:rPr>
      </w:pPr>
    </w:p>
    <w:p w14:paraId="1ADD4605" w14:textId="77777777" w:rsidR="00785159" w:rsidRPr="00623280" w:rsidRDefault="00785159" w:rsidP="00623280">
      <w:pPr>
        <w:spacing w:after="0" w:line="240" w:lineRule="auto"/>
        <w:rPr>
          <w:rFonts w:ascii="Times New Roman" w:hAnsi="Times New Roman" w:cs="Times New Roman"/>
        </w:rPr>
      </w:pPr>
    </w:p>
    <w:p w14:paraId="35D3E783" w14:textId="77777777" w:rsidR="00785159" w:rsidRPr="00623280" w:rsidRDefault="00785159" w:rsidP="00623280">
      <w:pPr>
        <w:spacing w:after="0" w:line="240" w:lineRule="auto"/>
        <w:rPr>
          <w:rFonts w:ascii="Times New Roman" w:hAnsi="Times New Roman" w:cs="Times New Roman"/>
          <w:b/>
          <w:bCs/>
        </w:rPr>
      </w:pPr>
    </w:p>
    <w:p w14:paraId="1D656130" w14:textId="77777777" w:rsidR="00785159" w:rsidRPr="00623280" w:rsidRDefault="00785159" w:rsidP="00623280">
      <w:pPr>
        <w:spacing w:after="0" w:line="240" w:lineRule="auto"/>
        <w:rPr>
          <w:rFonts w:ascii="Times New Roman" w:hAnsi="Times New Roman" w:cs="Times New Roman"/>
          <w:b/>
          <w:bCs/>
        </w:rPr>
      </w:pPr>
    </w:p>
    <w:p w14:paraId="554E24AF" w14:textId="77777777" w:rsidR="00785159" w:rsidRPr="00623280" w:rsidRDefault="00785159" w:rsidP="00623280">
      <w:pPr>
        <w:spacing w:after="0" w:line="240" w:lineRule="auto"/>
        <w:rPr>
          <w:rFonts w:ascii="Times New Roman" w:hAnsi="Times New Roman" w:cs="Times New Roman"/>
          <w:b/>
          <w:bCs/>
        </w:rPr>
      </w:pPr>
    </w:p>
    <w:p w14:paraId="31E23AE5" w14:textId="77777777" w:rsidR="00785159" w:rsidRPr="00623280" w:rsidRDefault="00785159" w:rsidP="00623280">
      <w:pPr>
        <w:rPr>
          <w:lang w:eastAsia="en-GB"/>
        </w:rPr>
      </w:pPr>
    </w:p>
    <w:p w14:paraId="4EFA3D8E" w14:textId="77777777" w:rsidR="00785159" w:rsidRDefault="00785159" w:rsidP="00623280">
      <w:pPr>
        <w:spacing w:after="0" w:line="240" w:lineRule="auto"/>
        <w:rPr>
          <w:rFonts w:ascii="Times New Roman" w:hAnsi="Times New Roman" w:cs="Times New Roman"/>
          <w:i/>
          <w:iCs/>
        </w:rPr>
      </w:pPr>
      <w:r w:rsidRPr="00623280">
        <w:rPr>
          <w:rFonts w:ascii="Times New Roman" w:hAnsi="Times New Roman" w:cs="Times New Roman"/>
        </w:rPr>
        <w:t xml:space="preserve"> “Chapelle &amp; Co Ltd v Nestle Co Ltd” (1960) </w:t>
      </w:r>
      <w:r w:rsidRPr="00623280">
        <w:rPr>
          <w:rFonts w:ascii="Times New Roman" w:hAnsi="Times New Roman" w:cs="Times New Roman"/>
          <w:i/>
          <w:iCs/>
        </w:rPr>
        <w:t>AC 87: 1959</w:t>
      </w:r>
    </w:p>
    <w:p w14:paraId="7BDDAA47" w14:textId="77777777" w:rsidR="00785159" w:rsidRPr="00623280" w:rsidRDefault="00785159" w:rsidP="00623280">
      <w:pPr>
        <w:spacing w:after="0" w:line="240" w:lineRule="auto"/>
        <w:rPr>
          <w:rFonts w:ascii="Times New Roman" w:hAnsi="Times New Roman" w:cs="Times New Roman"/>
          <w:i/>
          <w:iCs/>
        </w:rPr>
      </w:pPr>
    </w:p>
    <w:p w14:paraId="71184CAC" w14:textId="77777777" w:rsidR="00785159" w:rsidRDefault="00785159" w:rsidP="00623280">
      <w:pPr>
        <w:spacing w:after="0" w:line="240" w:lineRule="auto"/>
        <w:rPr>
          <w:rFonts w:ascii="Times New Roman" w:hAnsi="Times New Roman" w:cs="Times New Roman"/>
          <w:i/>
          <w:iCs/>
        </w:rPr>
      </w:pPr>
      <w:r w:rsidRPr="00623280">
        <w:rPr>
          <w:rFonts w:ascii="Times New Roman" w:hAnsi="Times New Roman" w:cs="Times New Roman"/>
          <w:b/>
          <w:bCs/>
        </w:rPr>
        <w:t xml:space="preserve"> </w:t>
      </w:r>
      <w:r w:rsidRPr="00623280">
        <w:rPr>
          <w:rFonts w:ascii="Times New Roman" w:hAnsi="Times New Roman" w:cs="Times New Roman"/>
        </w:rPr>
        <w:t xml:space="preserve">“Coulls V Bagot’s Executor and Trustee Co Ltd (No 1)” (1967) </w:t>
      </w:r>
      <w:r w:rsidRPr="00623280">
        <w:rPr>
          <w:rFonts w:ascii="Times New Roman" w:hAnsi="Times New Roman" w:cs="Times New Roman"/>
          <w:i/>
          <w:iCs/>
        </w:rPr>
        <w:t>40 ALJR 471</w:t>
      </w:r>
    </w:p>
    <w:p w14:paraId="3031D449" w14:textId="77777777" w:rsidR="00785159" w:rsidRPr="00623280" w:rsidRDefault="00785159" w:rsidP="00623280">
      <w:pPr>
        <w:spacing w:after="0" w:line="240" w:lineRule="auto"/>
        <w:rPr>
          <w:rFonts w:ascii="Times New Roman" w:hAnsi="Times New Roman" w:cs="Times New Roman"/>
          <w:i/>
          <w:iCs/>
        </w:rPr>
      </w:pPr>
    </w:p>
    <w:p w14:paraId="4C424564" w14:textId="77777777" w:rsidR="00785159" w:rsidRDefault="00785159" w:rsidP="00623280">
      <w:pPr>
        <w:spacing w:after="0" w:line="240" w:lineRule="auto"/>
        <w:rPr>
          <w:rFonts w:ascii="Times New Roman" w:hAnsi="Times New Roman" w:cs="Times New Roman"/>
          <w:i/>
          <w:iCs/>
        </w:rPr>
      </w:pPr>
      <w:r w:rsidRPr="00623280">
        <w:rPr>
          <w:rFonts w:ascii="Times New Roman" w:hAnsi="Times New Roman" w:cs="Times New Roman"/>
        </w:rPr>
        <w:t xml:space="preserve">“Currie V Misa” (1874) </w:t>
      </w:r>
      <w:r w:rsidRPr="00623280">
        <w:rPr>
          <w:rFonts w:ascii="Times New Roman" w:hAnsi="Times New Roman" w:cs="Times New Roman"/>
          <w:i/>
          <w:iCs/>
        </w:rPr>
        <w:t>LR 10 Ex 153</w:t>
      </w:r>
    </w:p>
    <w:p w14:paraId="4492C84D" w14:textId="77777777" w:rsidR="00785159" w:rsidRPr="00623280" w:rsidRDefault="00785159" w:rsidP="00623280">
      <w:pPr>
        <w:spacing w:after="0" w:line="240" w:lineRule="auto"/>
        <w:rPr>
          <w:rFonts w:ascii="Times New Roman" w:hAnsi="Times New Roman" w:cs="Times New Roman"/>
          <w:i/>
          <w:iCs/>
        </w:rPr>
      </w:pPr>
    </w:p>
    <w:p w14:paraId="256CDE2D" w14:textId="77777777" w:rsidR="00785159" w:rsidRDefault="00785159" w:rsidP="00623280">
      <w:pPr>
        <w:spacing w:after="0" w:line="240" w:lineRule="auto"/>
        <w:rPr>
          <w:rFonts w:ascii="Times New Roman" w:hAnsi="Times New Roman" w:cs="Times New Roman"/>
          <w:i/>
          <w:iCs/>
        </w:rPr>
      </w:pPr>
      <w:r w:rsidRPr="00623280">
        <w:rPr>
          <w:rFonts w:ascii="Times New Roman" w:hAnsi="Times New Roman" w:cs="Times New Roman"/>
        </w:rPr>
        <w:t xml:space="preserve">“Hughes V Metropolitan Railway Co” (1877) </w:t>
      </w:r>
      <w:r w:rsidRPr="00623280">
        <w:rPr>
          <w:rFonts w:ascii="Times New Roman" w:hAnsi="Times New Roman" w:cs="Times New Roman"/>
          <w:i/>
          <w:iCs/>
        </w:rPr>
        <w:t>2 App Cas 439</w:t>
      </w:r>
    </w:p>
    <w:p w14:paraId="7BC13457" w14:textId="77777777" w:rsidR="00785159" w:rsidRPr="00623280" w:rsidRDefault="00785159" w:rsidP="00623280">
      <w:pPr>
        <w:spacing w:after="0" w:line="240" w:lineRule="auto"/>
        <w:rPr>
          <w:rFonts w:ascii="Times New Roman" w:hAnsi="Times New Roman" w:cs="Times New Roman"/>
          <w:i/>
          <w:iCs/>
        </w:rPr>
      </w:pPr>
    </w:p>
    <w:p w14:paraId="5C943DD0" w14:textId="77777777" w:rsidR="00785159" w:rsidRDefault="00785159" w:rsidP="00623280">
      <w:pPr>
        <w:spacing w:after="0" w:line="240" w:lineRule="auto"/>
        <w:rPr>
          <w:rFonts w:ascii="Times New Roman" w:hAnsi="Times New Roman" w:cs="Times New Roman"/>
          <w:i/>
          <w:iCs/>
        </w:rPr>
      </w:pPr>
      <w:r w:rsidRPr="00623280">
        <w:rPr>
          <w:rFonts w:ascii="Times New Roman" w:hAnsi="Times New Roman" w:cs="Times New Roman"/>
          <w:b/>
          <w:bCs/>
        </w:rPr>
        <w:t xml:space="preserve"> </w:t>
      </w:r>
      <w:r w:rsidRPr="00623280">
        <w:rPr>
          <w:rFonts w:ascii="Times New Roman" w:hAnsi="Times New Roman" w:cs="Times New Roman"/>
        </w:rPr>
        <w:t xml:space="preserve">“New Zealand Shipping Co Ltd V A M Satterthwaite &amp; Co Ltd (The Eurymedon)” (1975) </w:t>
      </w:r>
      <w:r w:rsidRPr="00623280">
        <w:rPr>
          <w:rFonts w:ascii="Times New Roman" w:hAnsi="Times New Roman" w:cs="Times New Roman"/>
          <w:i/>
          <w:iCs/>
        </w:rPr>
        <w:t>AC 154</w:t>
      </w:r>
    </w:p>
    <w:p w14:paraId="6C7FBF30" w14:textId="77777777" w:rsidR="00785159" w:rsidRPr="00623280" w:rsidRDefault="00785159" w:rsidP="00623280">
      <w:pPr>
        <w:spacing w:after="0" w:line="240" w:lineRule="auto"/>
        <w:rPr>
          <w:rFonts w:ascii="Times New Roman" w:hAnsi="Times New Roman" w:cs="Times New Roman"/>
        </w:rPr>
      </w:pPr>
    </w:p>
    <w:p w14:paraId="3E1429C2" w14:textId="77777777" w:rsidR="00785159" w:rsidRDefault="00785159" w:rsidP="00623280">
      <w:pPr>
        <w:spacing w:after="0" w:line="240" w:lineRule="auto"/>
        <w:rPr>
          <w:rFonts w:ascii="Times New Roman" w:hAnsi="Times New Roman" w:cs="Times New Roman"/>
          <w:i/>
          <w:iCs/>
        </w:rPr>
      </w:pPr>
      <w:r w:rsidRPr="00623280">
        <w:rPr>
          <w:rFonts w:ascii="Times New Roman" w:hAnsi="Times New Roman" w:cs="Times New Roman"/>
        </w:rPr>
        <w:t xml:space="preserve"> “Roscorla V Thomas” (1842) </w:t>
      </w:r>
      <w:r w:rsidRPr="00623280">
        <w:rPr>
          <w:rFonts w:ascii="Times New Roman" w:hAnsi="Times New Roman" w:cs="Times New Roman"/>
          <w:i/>
          <w:iCs/>
        </w:rPr>
        <w:t>3 QB 234</w:t>
      </w:r>
    </w:p>
    <w:p w14:paraId="6D1202F3" w14:textId="77777777" w:rsidR="00785159" w:rsidRPr="00623280" w:rsidRDefault="00785159" w:rsidP="00623280">
      <w:pPr>
        <w:spacing w:after="0" w:line="240" w:lineRule="auto"/>
        <w:rPr>
          <w:rFonts w:ascii="Times New Roman" w:hAnsi="Times New Roman" w:cs="Times New Roman"/>
          <w:i/>
          <w:iCs/>
        </w:rPr>
      </w:pPr>
    </w:p>
    <w:p w14:paraId="2692BF1C" w14:textId="77777777" w:rsidR="00785159" w:rsidRDefault="00785159" w:rsidP="00623280">
      <w:pPr>
        <w:spacing w:after="0" w:line="240" w:lineRule="auto"/>
        <w:rPr>
          <w:rFonts w:ascii="Times New Roman" w:hAnsi="Times New Roman" w:cs="Times New Roman"/>
        </w:rPr>
      </w:pPr>
      <w:r w:rsidRPr="00623280">
        <w:rPr>
          <w:rFonts w:ascii="Times New Roman" w:hAnsi="Times New Roman" w:cs="Times New Roman"/>
        </w:rPr>
        <w:t>“South Caribbean Trading Ltd V Trafigura Beeheever BV” (2004) EWHC 2676</w:t>
      </w:r>
    </w:p>
    <w:p w14:paraId="39928C4D" w14:textId="77777777" w:rsidR="00785159" w:rsidRPr="00623280" w:rsidRDefault="00785159" w:rsidP="00623280">
      <w:pPr>
        <w:spacing w:after="0" w:line="240" w:lineRule="auto"/>
        <w:rPr>
          <w:rFonts w:ascii="Times New Roman" w:hAnsi="Times New Roman" w:cs="Times New Roman"/>
        </w:rPr>
      </w:pPr>
    </w:p>
    <w:p w14:paraId="66BA6186" w14:textId="77777777" w:rsidR="00785159" w:rsidRPr="00623280" w:rsidRDefault="00785159" w:rsidP="00623280">
      <w:pPr>
        <w:spacing w:after="0" w:line="240" w:lineRule="auto"/>
        <w:rPr>
          <w:rFonts w:ascii="Times New Roman" w:hAnsi="Times New Roman" w:cs="Times New Roman"/>
          <w:i/>
          <w:iCs/>
        </w:rPr>
      </w:pPr>
      <w:r w:rsidRPr="00623280">
        <w:rPr>
          <w:rFonts w:ascii="Times New Roman" w:hAnsi="Times New Roman" w:cs="Times New Roman"/>
        </w:rPr>
        <w:t xml:space="preserve">“Tool Metal Manufacturing V Tungsten Electric Co Ltd” (1955) </w:t>
      </w:r>
      <w:r w:rsidRPr="00623280">
        <w:rPr>
          <w:rFonts w:ascii="Times New Roman" w:hAnsi="Times New Roman" w:cs="Times New Roman"/>
          <w:i/>
          <w:iCs/>
        </w:rPr>
        <w:t>2 All ER 657</w:t>
      </w:r>
    </w:p>
    <w:p w14:paraId="173C2F0B" w14:textId="77777777" w:rsidR="00785159" w:rsidRDefault="00785159" w:rsidP="00623280">
      <w:pPr>
        <w:spacing w:after="0" w:line="240" w:lineRule="auto"/>
        <w:rPr>
          <w:rFonts w:ascii="Times New Roman" w:hAnsi="Times New Roman" w:cs="Times New Roman"/>
        </w:rPr>
      </w:pPr>
      <w:r w:rsidRPr="00623280">
        <w:rPr>
          <w:rFonts w:ascii="Times New Roman" w:hAnsi="Times New Roman" w:cs="Times New Roman"/>
        </w:rPr>
        <w:lastRenderedPageBreak/>
        <w:t>“Ward V Byham” (1956) 1 WLR 496</w:t>
      </w:r>
    </w:p>
    <w:p w14:paraId="68B61C4C" w14:textId="77777777" w:rsidR="00785159" w:rsidRPr="00623280" w:rsidRDefault="00785159" w:rsidP="00623280">
      <w:pPr>
        <w:spacing w:after="0" w:line="240" w:lineRule="auto"/>
        <w:rPr>
          <w:rFonts w:ascii="Times New Roman" w:hAnsi="Times New Roman" w:cs="Times New Roman"/>
        </w:rPr>
      </w:pPr>
    </w:p>
    <w:p w14:paraId="7AE578E8" w14:textId="16A60C8A" w:rsidR="00785159" w:rsidRPr="00623280" w:rsidRDefault="00785159" w:rsidP="00623280">
      <w:pPr>
        <w:spacing w:after="0" w:line="240" w:lineRule="auto"/>
        <w:rPr>
          <w:rFonts w:ascii="Times New Roman" w:hAnsi="Times New Roman" w:cs="Times New Roman"/>
          <w:i/>
          <w:iCs/>
        </w:rPr>
      </w:pPr>
      <w:r w:rsidRPr="00623280">
        <w:rPr>
          <w:rFonts w:ascii="Times New Roman" w:hAnsi="Times New Roman" w:cs="Times New Roman"/>
        </w:rPr>
        <w:t xml:space="preserve"> “Williams V Roffey Bros &amp; Nicholls (Contractors) Ltd” (1991) </w:t>
      </w:r>
      <w:r w:rsidRPr="00623280">
        <w:rPr>
          <w:rFonts w:ascii="Times New Roman" w:hAnsi="Times New Roman" w:cs="Times New Roman"/>
          <w:i/>
          <w:iCs/>
        </w:rPr>
        <w:t>1 QB 1 All ER 512</w:t>
      </w:r>
    </w:p>
    <w:p w14:paraId="1D4DED95" w14:textId="77777777" w:rsidR="00EF4D18" w:rsidRPr="00EF4D18" w:rsidRDefault="00EF4D18" w:rsidP="00EF4D18">
      <w:pPr>
        <w:rPr>
          <w:lang w:eastAsia="en-GB"/>
        </w:rPr>
      </w:pPr>
    </w:p>
    <w:p w14:paraId="5CB2E41B" w14:textId="77777777" w:rsidR="00C50862" w:rsidRPr="00C50862" w:rsidRDefault="00C50862" w:rsidP="00C50862"/>
    <w:p w14:paraId="796D8EE6" w14:textId="77777777" w:rsidR="00AE7B1F" w:rsidRPr="00AE7B1F" w:rsidRDefault="00AE7B1F" w:rsidP="00AE7B1F">
      <w:pPr>
        <w:rPr>
          <w:rFonts w:ascii="Times New Roman" w:hAnsi="Times New Roman" w:cs="Times New Roman"/>
        </w:rPr>
      </w:pPr>
    </w:p>
    <w:p w14:paraId="128529D7" w14:textId="77777777" w:rsidR="00AE7B1F" w:rsidRPr="00FE6950" w:rsidRDefault="00AE7B1F" w:rsidP="00FE6950">
      <w:pPr>
        <w:rPr>
          <w:rFonts w:ascii="Times New Roman" w:hAnsi="Times New Roman" w:cs="Times New Roman"/>
        </w:rPr>
      </w:pPr>
    </w:p>
    <w:p w14:paraId="358BAE83" w14:textId="77777777" w:rsidR="003815D1" w:rsidRPr="00C75D2A" w:rsidRDefault="003815D1" w:rsidP="00A45B53">
      <w:pPr>
        <w:rPr>
          <w:rFonts w:ascii="Times New Roman" w:hAnsi="Times New Roman" w:cs="Times New Roman"/>
        </w:rPr>
      </w:pPr>
    </w:p>
    <w:p w14:paraId="4DE55CDE" w14:textId="77777777" w:rsidR="00A45B53" w:rsidRPr="00F96833" w:rsidRDefault="00A45B53" w:rsidP="00F96833">
      <w:pPr>
        <w:rPr>
          <w:rFonts w:ascii="Times New Roman" w:hAnsi="Times New Roman" w:cs="Times New Roman"/>
        </w:rPr>
      </w:pPr>
    </w:p>
    <w:p w14:paraId="11805A4A" w14:textId="77777777" w:rsidR="008974B8" w:rsidRPr="008974B8" w:rsidRDefault="008974B8" w:rsidP="008974B8">
      <w:pPr>
        <w:rPr>
          <w:rFonts w:ascii="Times New Roman" w:hAnsi="Times New Roman" w:cs="Times New Roman"/>
        </w:rPr>
      </w:pPr>
    </w:p>
    <w:p w14:paraId="795B9BD6" w14:textId="77777777" w:rsidR="00997D32" w:rsidRPr="008C238F" w:rsidRDefault="00997D32" w:rsidP="008C238F">
      <w:pPr>
        <w:rPr>
          <w:rFonts w:ascii="Times New Roman" w:hAnsi="Times New Roman" w:cs="Times New Roman"/>
        </w:rPr>
      </w:pPr>
    </w:p>
    <w:p w14:paraId="253CAFE0" w14:textId="77777777" w:rsidR="00244DA6" w:rsidRPr="00834BC2" w:rsidRDefault="00244DA6" w:rsidP="00834BC2">
      <w:pPr>
        <w:rPr>
          <w:rFonts w:ascii="Times New Roman" w:hAnsi="Times New Roman" w:cs="Times New Roman"/>
        </w:rPr>
      </w:pPr>
    </w:p>
    <w:p w14:paraId="7B2E1513" w14:textId="77777777" w:rsidR="00926382" w:rsidRPr="00926382" w:rsidRDefault="00926382" w:rsidP="00926382"/>
    <w:sectPr w:rsidR="00926382" w:rsidRPr="009263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419"/>
    <w:rsid w:val="000A6419"/>
    <w:rsid w:val="000E3DC8"/>
    <w:rsid w:val="00167D27"/>
    <w:rsid w:val="00192E2B"/>
    <w:rsid w:val="00244DA6"/>
    <w:rsid w:val="003815D1"/>
    <w:rsid w:val="00463E37"/>
    <w:rsid w:val="00533BDF"/>
    <w:rsid w:val="00623280"/>
    <w:rsid w:val="00785159"/>
    <w:rsid w:val="00834BC2"/>
    <w:rsid w:val="008974B8"/>
    <w:rsid w:val="008C238F"/>
    <w:rsid w:val="008E4F36"/>
    <w:rsid w:val="00926382"/>
    <w:rsid w:val="0096536F"/>
    <w:rsid w:val="00997D32"/>
    <w:rsid w:val="00A45B53"/>
    <w:rsid w:val="00AE7B1F"/>
    <w:rsid w:val="00AF777D"/>
    <w:rsid w:val="00C50862"/>
    <w:rsid w:val="00C75D2A"/>
    <w:rsid w:val="00DB428A"/>
    <w:rsid w:val="00EC7200"/>
    <w:rsid w:val="00EF4D18"/>
    <w:rsid w:val="00F96833"/>
    <w:rsid w:val="00FC7341"/>
    <w:rsid w:val="00FD5AFF"/>
    <w:rsid w:val="00FE69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015DD"/>
  <w15:chartTrackingRefBased/>
  <w15:docId w15:val="{0D10FBA0-F81A-4861-B25D-7350013C2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64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64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64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64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64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64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64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64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64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4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64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64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64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64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64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64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64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6419"/>
    <w:rPr>
      <w:rFonts w:eastAsiaTheme="majorEastAsia" w:cstheme="majorBidi"/>
      <w:color w:val="272727" w:themeColor="text1" w:themeTint="D8"/>
    </w:rPr>
  </w:style>
  <w:style w:type="paragraph" w:styleId="Title">
    <w:name w:val="Title"/>
    <w:basedOn w:val="Normal"/>
    <w:next w:val="Normal"/>
    <w:link w:val="TitleChar"/>
    <w:uiPriority w:val="10"/>
    <w:qFormat/>
    <w:rsid w:val="000A64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64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64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64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6419"/>
    <w:pPr>
      <w:spacing w:before="160"/>
      <w:jc w:val="center"/>
    </w:pPr>
    <w:rPr>
      <w:i/>
      <w:iCs/>
      <w:color w:val="404040" w:themeColor="text1" w:themeTint="BF"/>
    </w:rPr>
  </w:style>
  <w:style w:type="character" w:customStyle="1" w:styleId="QuoteChar">
    <w:name w:val="Quote Char"/>
    <w:basedOn w:val="DefaultParagraphFont"/>
    <w:link w:val="Quote"/>
    <w:uiPriority w:val="29"/>
    <w:rsid w:val="000A6419"/>
    <w:rPr>
      <w:i/>
      <w:iCs/>
      <w:color w:val="404040" w:themeColor="text1" w:themeTint="BF"/>
    </w:rPr>
  </w:style>
  <w:style w:type="paragraph" w:styleId="ListParagraph">
    <w:name w:val="List Paragraph"/>
    <w:basedOn w:val="Normal"/>
    <w:uiPriority w:val="34"/>
    <w:qFormat/>
    <w:rsid w:val="000A6419"/>
    <w:pPr>
      <w:ind w:left="720"/>
      <w:contextualSpacing/>
    </w:pPr>
  </w:style>
  <w:style w:type="character" w:styleId="IntenseEmphasis">
    <w:name w:val="Intense Emphasis"/>
    <w:basedOn w:val="DefaultParagraphFont"/>
    <w:uiPriority w:val="21"/>
    <w:qFormat/>
    <w:rsid w:val="000A6419"/>
    <w:rPr>
      <w:i/>
      <w:iCs/>
      <w:color w:val="0F4761" w:themeColor="accent1" w:themeShade="BF"/>
    </w:rPr>
  </w:style>
  <w:style w:type="paragraph" w:styleId="IntenseQuote">
    <w:name w:val="Intense Quote"/>
    <w:basedOn w:val="Normal"/>
    <w:next w:val="Normal"/>
    <w:link w:val="IntenseQuoteChar"/>
    <w:uiPriority w:val="30"/>
    <w:qFormat/>
    <w:rsid w:val="000A64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6419"/>
    <w:rPr>
      <w:i/>
      <w:iCs/>
      <w:color w:val="0F4761" w:themeColor="accent1" w:themeShade="BF"/>
    </w:rPr>
  </w:style>
  <w:style w:type="character" w:styleId="IntenseReference">
    <w:name w:val="Intense Reference"/>
    <w:basedOn w:val="DefaultParagraphFont"/>
    <w:uiPriority w:val="32"/>
    <w:qFormat/>
    <w:rsid w:val="000A6419"/>
    <w:rPr>
      <w:b/>
      <w:bCs/>
      <w:smallCaps/>
      <w:color w:val="0F4761" w:themeColor="accent1" w:themeShade="BF"/>
      <w:spacing w:val="5"/>
    </w:rPr>
  </w:style>
  <w:style w:type="character" w:styleId="Hyperlink">
    <w:name w:val="Hyperlink"/>
    <w:basedOn w:val="DefaultParagraphFont"/>
    <w:uiPriority w:val="99"/>
    <w:semiHidden/>
    <w:unhideWhenUsed/>
    <w:rsid w:val="00167D2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upcounsel.com/nominal-considera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egalvision.co.uk/commercial-contracts/consideration-contracts/" TargetMode="External"/><Relationship Id="rId5" Type="http://schemas.openxmlformats.org/officeDocument/2006/relationships/hyperlink" Target="https://bnwjournal.com/2021/07/21/executory-vs-executed-consideration/" TargetMode="External"/><Relationship Id="rId4" Type="http://schemas.openxmlformats.org/officeDocument/2006/relationships/hyperlink" Target="https://www.adamsdrafting.com/nominal-consideration-under-english-law/"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7</Pages>
  <Words>1924</Words>
  <Characters>10967</Characters>
  <Application>Microsoft Office Word</Application>
  <DocSecurity>0</DocSecurity>
  <Lines>91</Lines>
  <Paragraphs>25</Paragraphs>
  <ScaleCrop>false</ScaleCrop>
  <Company/>
  <LinksUpToDate>false</LinksUpToDate>
  <CharactersWithSpaces>12866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 Thomas</dc:creator>
  <cp:keywords/>
  <dc:description/>
  <cp:lastModifiedBy>Jac Thomas</cp:lastModifiedBy>
  <cp:revision>26</cp:revision>
  <dcterms:created xsi:type="dcterms:W3CDTF">2024-03-13T22:04:00Z</dcterms:created>
  <dcterms:modified xsi:type="dcterms:W3CDTF">2024-03-13T22:58:00Z</dcterms:modified>
</cp:coreProperties>
</file>