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225D6" w14:textId="77777777" w:rsidR="006913A5" w:rsidRDefault="0028329C" w:rsidP="0028329C">
      <w:pPr>
        <w:jc w:val="center"/>
        <w:rPr>
          <w:b/>
          <w:bCs/>
          <w:sz w:val="32"/>
          <w:szCs w:val="28"/>
          <w:shd w:val="clear" w:color="auto" w:fill="D9D9D9"/>
        </w:rPr>
      </w:pPr>
      <w:r w:rsidRPr="0028329C">
        <w:rPr>
          <w:b/>
          <w:bCs/>
          <w:sz w:val="32"/>
          <w:szCs w:val="28"/>
          <w:shd w:val="clear" w:color="auto" w:fill="D9D9D9"/>
        </w:rPr>
        <w:t>International Financial Management</w:t>
      </w:r>
    </w:p>
    <w:p w14:paraId="0C7E3ECF" w14:textId="77777777" w:rsidR="006913A5" w:rsidRDefault="006913A5" w:rsidP="0028329C">
      <w:pPr>
        <w:jc w:val="center"/>
        <w:rPr>
          <w:b/>
          <w:bCs/>
          <w:sz w:val="32"/>
          <w:szCs w:val="28"/>
          <w:shd w:val="clear" w:color="auto" w:fill="D9D9D9"/>
        </w:rPr>
      </w:pPr>
    </w:p>
    <w:p w14:paraId="3E5F6BF3" w14:textId="77777777" w:rsidR="006913A5" w:rsidRDefault="006913A5" w:rsidP="0028329C">
      <w:pPr>
        <w:jc w:val="center"/>
        <w:rPr>
          <w:b/>
          <w:bCs/>
          <w:sz w:val="32"/>
          <w:szCs w:val="28"/>
          <w:shd w:val="clear" w:color="auto" w:fill="D9D9D9"/>
        </w:rPr>
      </w:pPr>
    </w:p>
    <w:tbl>
      <w:tblPr>
        <w:tblpPr w:leftFromText="180" w:rightFromText="180" w:bottomFromText="160" w:vertAnchor="page" w:horzAnchor="margin" w:tblpXSpec="center" w:tblpY="3166"/>
        <w:tblW w:w="10348" w:type="dxa"/>
        <w:tblLook w:val="04A0" w:firstRow="1" w:lastRow="0" w:firstColumn="1" w:lastColumn="0" w:noHBand="0" w:noVBand="1"/>
      </w:tblPr>
      <w:tblGrid>
        <w:gridCol w:w="3439"/>
        <w:gridCol w:w="2300"/>
        <w:gridCol w:w="1920"/>
        <w:gridCol w:w="2689"/>
      </w:tblGrid>
      <w:tr w:rsidR="006913A5" w:rsidRPr="00CF0419" w14:paraId="18626EE7" w14:textId="77777777" w:rsidTr="003A4FA9">
        <w:trPr>
          <w:trHeight w:val="420"/>
        </w:trPr>
        <w:tc>
          <w:tcPr>
            <w:tcW w:w="3439" w:type="dxa"/>
            <w:tcBorders>
              <w:top w:val="single" w:sz="4" w:space="0" w:color="auto"/>
              <w:left w:val="single" w:sz="4" w:space="0" w:color="auto"/>
              <w:bottom w:val="nil"/>
              <w:right w:val="single" w:sz="4" w:space="0" w:color="auto"/>
            </w:tcBorders>
            <w:noWrap/>
            <w:vAlign w:val="center"/>
          </w:tcPr>
          <w:p w14:paraId="1B4A54F5"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p>
          <w:p w14:paraId="0DAA0257"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Student ID Number/ Name </w:t>
            </w:r>
          </w:p>
          <w:p w14:paraId="4E287415"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00FA377A" w14:textId="45B0AA6C" w:rsidR="006913A5" w:rsidRPr="00CF0419" w:rsidRDefault="006913A5" w:rsidP="003A4FA9">
            <w:pPr>
              <w:spacing w:after="0" w:line="240" w:lineRule="auto"/>
              <w:jc w:val="center"/>
              <w:rPr>
                <w:rFonts w:ascii="Arial" w:eastAsia="Times New Roman" w:hAnsi="Arial" w:cs="Arial"/>
                <w:bCs/>
                <w:color w:val="000000"/>
                <w:sz w:val="28"/>
                <w:szCs w:val="28"/>
                <w:lang w:val="en-GB" w:eastAsia="en-GB"/>
              </w:rPr>
            </w:pPr>
            <w:r w:rsidRPr="00CF0419">
              <w:rPr>
                <w:rFonts w:ascii="Arial" w:eastAsia="Times New Roman" w:hAnsi="Arial" w:cs="Arial"/>
                <w:bCs/>
                <w:color w:val="000000"/>
                <w:sz w:val="28"/>
                <w:szCs w:val="28"/>
                <w:lang w:val="en-GB" w:eastAsia="en-GB"/>
              </w:rPr>
              <w:t>200</w:t>
            </w:r>
            <w:r w:rsidR="00857FB7">
              <w:rPr>
                <w:rFonts w:ascii="Arial" w:eastAsia="Times New Roman" w:hAnsi="Arial" w:cs="Arial"/>
                <w:bCs/>
                <w:color w:val="000000"/>
                <w:sz w:val="28"/>
                <w:szCs w:val="28"/>
                <w:lang w:val="en-GB" w:eastAsia="en-GB"/>
              </w:rPr>
              <w:t>9079</w:t>
            </w:r>
          </w:p>
          <w:p w14:paraId="1A2F01BD" w14:textId="47C39E55" w:rsidR="006913A5" w:rsidRPr="00CF0419" w:rsidRDefault="00857FB7" w:rsidP="003A4FA9">
            <w:pPr>
              <w:spacing w:after="0" w:line="240" w:lineRule="auto"/>
              <w:jc w:val="center"/>
              <w:rPr>
                <w:rFonts w:ascii="Times" w:eastAsia="Times New Roman" w:hAnsi="Times" w:cs="Arial"/>
                <w:bCs/>
                <w:sz w:val="28"/>
                <w:szCs w:val="28"/>
                <w:lang w:val="en-GB" w:eastAsia="en-GB"/>
              </w:rPr>
            </w:pPr>
            <w:r>
              <w:rPr>
                <w:rFonts w:ascii="Times" w:eastAsia="Times New Roman" w:hAnsi="Times" w:cs="Arial"/>
                <w:bCs/>
                <w:sz w:val="28"/>
                <w:szCs w:val="28"/>
                <w:lang w:val="en-GB" w:eastAsia="en-GB"/>
              </w:rPr>
              <w:t>IONUT PAUL MARINCU</w:t>
            </w:r>
          </w:p>
        </w:tc>
      </w:tr>
      <w:tr w:rsidR="006913A5" w:rsidRPr="00CF0419" w14:paraId="27507F5E" w14:textId="77777777" w:rsidTr="003A4FA9">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13455E96"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p>
          <w:p w14:paraId="674A6756"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2C6B3156" w14:textId="77777777" w:rsidR="006913A5" w:rsidRPr="00CF0419" w:rsidRDefault="006913A5" w:rsidP="003A4FA9">
            <w:pPr>
              <w:spacing w:after="0" w:line="240" w:lineRule="auto"/>
              <w:jc w:val="center"/>
              <w:rPr>
                <w:rFonts w:ascii="Times" w:eastAsia="Times New Roman" w:hAnsi="Times" w:cs="Arial"/>
                <w:sz w:val="28"/>
                <w:szCs w:val="28"/>
                <w:lang w:val="en-GB" w:eastAsia="en-GB"/>
              </w:rPr>
            </w:pPr>
            <w:r w:rsidRPr="00CF0419">
              <w:rPr>
                <w:rFonts w:ascii="Times" w:eastAsia="Times New Roman" w:hAnsi="Times" w:cs="Arial"/>
                <w:sz w:val="28"/>
                <w:szCs w:val="28"/>
                <w:lang w:val="en-GB" w:eastAsia="en-GB"/>
              </w:rPr>
              <w:t>BA Business Management</w:t>
            </w:r>
          </w:p>
        </w:tc>
      </w:tr>
      <w:tr w:rsidR="006913A5" w:rsidRPr="00CF0419" w14:paraId="31EB2F27" w14:textId="77777777" w:rsidTr="003A4FA9">
        <w:trPr>
          <w:trHeight w:val="435"/>
        </w:trPr>
        <w:tc>
          <w:tcPr>
            <w:tcW w:w="3439" w:type="dxa"/>
            <w:tcBorders>
              <w:top w:val="nil"/>
              <w:left w:val="single" w:sz="4" w:space="0" w:color="auto"/>
              <w:bottom w:val="nil"/>
              <w:right w:val="single" w:sz="4" w:space="0" w:color="auto"/>
            </w:tcBorders>
            <w:noWrap/>
            <w:vAlign w:val="center"/>
            <w:hideMark/>
          </w:tcPr>
          <w:p w14:paraId="56330BCB"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7F5851FE" w14:textId="77777777" w:rsidR="006913A5" w:rsidRDefault="006913A5" w:rsidP="003A4FA9">
            <w:pPr>
              <w:spacing w:after="0" w:line="240" w:lineRule="auto"/>
              <w:jc w:val="center"/>
              <w:rPr>
                <w:rFonts w:ascii="Times" w:eastAsia="Times New Roman" w:hAnsi="Times" w:cs="Arial"/>
                <w:sz w:val="28"/>
                <w:szCs w:val="28"/>
                <w:lang w:val="en-GB" w:eastAsia="en-GB"/>
              </w:rPr>
            </w:pPr>
            <w:r>
              <w:rPr>
                <w:rFonts w:ascii="Times" w:eastAsia="Times New Roman" w:hAnsi="Times" w:cs="Arial"/>
                <w:sz w:val="28"/>
                <w:szCs w:val="28"/>
                <w:lang w:val="en-GB" w:eastAsia="en-GB"/>
              </w:rPr>
              <w:t>International Financial Management</w:t>
            </w:r>
          </w:p>
          <w:p w14:paraId="7A4E8903" w14:textId="77777777" w:rsidR="006913A5" w:rsidRPr="00CF0419" w:rsidRDefault="006913A5" w:rsidP="003A4FA9">
            <w:pPr>
              <w:spacing w:after="0" w:line="240" w:lineRule="auto"/>
              <w:jc w:val="center"/>
              <w:rPr>
                <w:rFonts w:ascii="Times" w:eastAsia="Times New Roman" w:hAnsi="Times" w:cs="Arial"/>
                <w:sz w:val="28"/>
                <w:szCs w:val="28"/>
                <w:lang w:val="en-GB" w:eastAsia="en-GB"/>
              </w:rPr>
            </w:pPr>
          </w:p>
        </w:tc>
      </w:tr>
      <w:tr w:rsidR="006913A5" w:rsidRPr="00CF0419" w14:paraId="16891E1E" w14:textId="77777777" w:rsidTr="003A4FA9">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267CB6C6"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197C87F9" w14:textId="77777777" w:rsidR="006913A5" w:rsidRPr="00CF0419" w:rsidRDefault="006913A5" w:rsidP="003A4FA9">
            <w:pPr>
              <w:spacing w:after="0" w:line="240" w:lineRule="auto"/>
              <w:jc w:val="left"/>
              <w:rPr>
                <w:rFonts w:ascii="Times" w:eastAsia="Times New Roman" w:hAnsi="Times" w:cs="Arial"/>
                <w:sz w:val="28"/>
                <w:szCs w:val="28"/>
                <w:lang w:val="en-GB" w:eastAsia="en-GB"/>
              </w:rPr>
            </w:pPr>
          </w:p>
          <w:p w14:paraId="59791E38" w14:textId="77777777" w:rsidR="006913A5" w:rsidRPr="00CF0419" w:rsidRDefault="006913A5" w:rsidP="003A4FA9">
            <w:pPr>
              <w:spacing w:before="100" w:beforeAutospacing="1" w:after="100" w:afterAutospacing="1" w:line="240" w:lineRule="auto"/>
              <w:jc w:val="center"/>
              <w:rPr>
                <w:rFonts w:ascii="Times" w:eastAsia="Times New Roman" w:hAnsi="Times" w:cs="Arial"/>
                <w:sz w:val="28"/>
                <w:szCs w:val="28"/>
                <w:lang w:val="en-GB" w:eastAsia="en-GB"/>
              </w:rPr>
            </w:pPr>
            <w:r w:rsidRPr="00CF0419">
              <w:rPr>
                <w:rFonts w:ascii="Times" w:eastAsia="Times New Roman" w:hAnsi="Times" w:cs="Arial"/>
                <w:sz w:val="28"/>
                <w:szCs w:val="28"/>
                <w:shd w:val="clear" w:color="auto" w:fill="FFFFFF"/>
                <w:lang w:val="en-GB" w:eastAsia="en-GB"/>
              </w:rPr>
              <w:t>LCBB</w:t>
            </w:r>
            <w:r>
              <w:rPr>
                <w:rFonts w:ascii="Times" w:eastAsia="Times New Roman" w:hAnsi="Times" w:cs="Arial"/>
                <w:sz w:val="28"/>
                <w:szCs w:val="28"/>
                <w:shd w:val="clear" w:color="auto" w:fill="FFFFFF"/>
                <w:lang w:val="en-GB" w:eastAsia="en-GB"/>
              </w:rPr>
              <w:t>6002</w:t>
            </w:r>
          </w:p>
        </w:tc>
      </w:tr>
      <w:tr w:rsidR="006913A5" w:rsidRPr="00CF0419" w14:paraId="66B74818" w14:textId="77777777" w:rsidTr="003A4FA9">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25551B39"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4D0227A2" w14:textId="77777777" w:rsidR="006913A5" w:rsidRPr="00191E4A" w:rsidRDefault="006913A5" w:rsidP="003A4FA9">
            <w:pPr>
              <w:spacing w:after="0" w:line="240" w:lineRule="auto"/>
              <w:jc w:val="left"/>
              <w:rPr>
                <w:rFonts w:ascii="Times" w:eastAsia="Times New Roman" w:hAnsi="Times" w:cs="Times"/>
                <w:sz w:val="28"/>
                <w:szCs w:val="28"/>
                <w:lang w:val="en-GB" w:eastAsia="en-GB"/>
              </w:rPr>
            </w:pPr>
            <w:r w:rsidRPr="00191E4A">
              <w:rPr>
                <w:rFonts w:ascii="Times" w:eastAsia="Times New Roman" w:hAnsi="Times" w:cs="Times"/>
                <w:sz w:val="28"/>
                <w:szCs w:val="28"/>
                <w:lang w:val="en-GB" w:eastAsia="en-GB"/>
              </w:rPr>
              <w:t xml:space="preserve">                             </w:t>
            </w:r>
            <w:r w:rsidRPr="00191E4A">
              <w:rPr>
                <w:rFonts w:ascii="Times" w:hAnsi="Times" w:cs="Times"/>
                <w:color w:val="1D2125"/>
                <w:sz w:val="28"/>
                <w:szCs w:val="28"/>
                <w:shd w:val="clear" w:color="auto" w:fill="F8F9FA"/>
              </w:rPr>
              <w:t xml:space="preserve">Dr. Taye Osadiya </w:t>
            </w:r>
          </w:p>
        </w:tc>
      </w:tr>
      <w:tr w:rsidR="006913A5" w:rsidRPr="00CF0419" w14:paraId="63E4EF7D" w14:textId="77777777" w:rsidTr="003A4FA9">
        <w:trPr>
          <w:trHeight w:val="825"/>
        </w:trPr>
        <w:tc>
          <w:tcPr>
            <w:tcW w:w="3439" w:type="dxa"/>
            <w:tcBorders>
              <w:top w:val="nil"/>
              <w:left w:val="single" w:sz="4" w:space="0" w:color="auto"/>
              <w:bottom w:val="single" w:sz="4" w:space="0" w:color="auto"/>
              <w:right w:val="single" w:sz="4" w:space="0" w:color="auto"/>
            </w:tcBorders>
            <w:noWrap/>
            <w:vAlign w:val="center"/>
            <w:hideMark/>
          </w:tcPr>
          <w:p w14:paraId="20559D2F"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0F7BCD19" w14:textId="77777777" w:rsidR="006913A5" w:rsidRPr="00CF0419" w:rsidRDefault="006913A5" w:rsidP="003A4FA9">
            <w:pPr>
              <w:spacing w:after="0" w:line="240" w:lineRule="auto"/>
              <w:jc w:val="center"/>
              <w:rPr>
                <w:rFonts w:ascii="Times" w:eastAsia="Times New Roman" w:hAnsi="Times" w:cs="Arial"/>
                <w:sz w:val="28"/>
                <w:szCs w:val="28"/>
                <w:lang w:val="en-GB" w:eastAsia="en-GB"/>
              </w:rPr>
            </w:pPr>
            <w:r w:rsidRPr="00CF0419">
              <w:rPr>
                <w:rFonts w:ascii="Times" w:eastAsia="Times New Roman" w:hAnsi="Times" w:cs="Arial"/>
                <w:sz w:val="28"/>
                <w:szCs w:val="28"/>
                <w:lang w:val="en-GB" w:eastAsia="en-GB"/>
              </w:rPr>
              <w:t>Assessment 1</w:t>
            </w:r>
          </w:p>
          <w:p w14:paraId="1B77F454" w14:textId="77777777" w:rsidR="006913A5" w:rsidRPr="00CF0419" w:rsidRDefault="006913A5" w:rsidP="003A4FA9">
            <w:pPr>
              <w:spacing w:after="0" w:line="240" w:lineRule="auto"/>
              <w:jc w:val="center"/>
              <w:rPr>
                <w:rFonts w:asciiTheme="minorHAnsi" w:eastAsia="Times New Roman" w:hAnsiTheme="minorHAnsi" w:cs="Times New Roman"/>
                <w:sz w:val="28"/>
                <w:szCs w:val="28"/>
                <w:lang w:val="en-GB" w:eastAsia="en-GB"/>
              </w:rPr>
            </w:pPr>
          </w:p>
        </w:tc>
      </w:tr>
      <w:tr w:rsidR="006913A5" w:rsidRPr="00CF0419" w14:paraId="75E4959D" w14:textId="77777777" w:rsidTr="003A4FA9">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60C4785B"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Academic Declaration:                                               </w:t>
            </w:r>
          </w:p>
          <w:p w14:paraId="6C4A351D" w14:textId="77777777" w:rsidR="006913A5" w:rsidRPr="00CF0419" w:rsidRDefault="006913A5" w:rsidP="003A4FA9">
            <w:pPr>
              <w:spacing w:after="0" w:line="240" w:lineRule="auto"/>
              <w:jc w:val="left"/>
              <w:rPr>
                <w:rFonts w:ascii="Times" w:eastAsia="Calibri" w:hAnsi="Times" w:cs="Arial"/>
                <w:i/>
                <w:sz w:val="28"/>
                <w:szCs w:val="28"/>
                <w:lang w:val="en-GB"/>
              </w:rPr>
            </w:pPr>
            <w:r w:rsidRPr="00CF0419">
              <w:rPr>
                <w:rFonts w:ascii="Calibri" w:eastAsia="Calibri" w:hAnsi="Calibri" w:cs="Times New Roman"/>
                <w:i/>
                <w:iCs/>
                <w:sz w:val="22"/>
                <w:szCs w:val="24"/>
                <w:lang w:val="en-GB"/>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6913A5" w:rsidRPr="00CF0419" w14:paraId="53AF0553" w14:textId="77777777" w:rsidTr="003A4FA9">
        <w:trPr>
          <w:trHeight w:val="405"/>
        </w:trPr>
        <w:tc>
          <w:tcPr>
            <w:tcW w:w="3439" w:type="dxa"/>
            <w:tcBorders>
              <w:top w:val="nil"/>
              <w:left w:val="single" w:sz="4" w:space="0" w:color="auto"/>
              <w:bottom w:val="single" w:sz="4" w:space="0" w:color="auto"/>
              <w:right w:val="single" w:sz="4" w:space="0" w:color="auto"/>
            </w:tcBorders>
            <w:noWrap/>
            <w:vAlign w:val="center"/>
            <w:hideMark/>
          </w:tcPr>
          <w:p w14:paraId="5D4CA072"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Word Count</w:t>
            </w:r>
          </w:p>
        </w:tc>
        <w:tc>
          <w:tcPr>
            <w:tcW w:w="2300" w:type="dxa"/>
            <w:tcBorders>
              <w:top w:val="single" w:sz="4" w:space="0" w:color="auto"/>
              <w:left w:val="nil"/>
              <w:bottom w:val="single" w:sz="4" w:space="0" w:color="auto"/>
              <w:right w:val="nil"/>
            </w:tcBorders>
            <w:noWrap/>
            <w:vAlign w:val="center"/>
            <w:hideMark/>
          </w:tcPr>
          <w:p w14:paraId="5FB40B5B" w14:textId="2BDA3754"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w:t>
            </w:r>
            <w:r>
              <w:rPr>
                <w:rFonts w:ascii="Times" w:eastAsia="Times New Roman" w:hAnsi="Times" w:cs="Arial"/>
                <w:b/>
                <w:bCs/>
                <w:sz w:val="28"/>
                <w:szCs w:val="28"/>
                <w:lang w:val="en-GB" w:eastAsia="en-GB"/>
              </w:rPr>
              <w:t>17</w:t>
            </w:r>
            <w:r w:rsidR="001F5BFB">
              <w:rPr>
                <w:rFonts w:ascii="Times" w:eastAsia="Times New Roman" w:hAnsi="Times" w:cs="Arial"/>
                <w:b/>
                <w:bCs/>
                <w:sz w:val="28"/>
                <w:szCs w:val="28"/>
                <w:lang w:val="en-GB" w:eastAsia="en-GB"/>
              </w:rPr>
              <w:t>08</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19248903" w14:textId="77777777"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29A90199" w14:textId="3BF0AEC9" w:rsidR="006913A5" w:rsidRPr="00CF0419" w:rsidRDefault="006913A5" w:rsidP="003A4FA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w:t>
            </w:r>
            <w:r>
              <w:rPr>
                <w:rFonts w:ascii="Times" w:eastAsia="Times New Roman" w:hAnsi="Times" w:cs="Arial"/>
                <w:b/>
                <w:bCs/>
                <w:sz w:val="28"/>
                <w:szCs w:val="28"/>
                <w:lang w:val="en-GB" w:eastAsia="en-GB"/>
              </w:rPr>
              <w:t>0</w:t>
            </w:r>
            <w:r w:rsidR="00762F86">
              <w:rPr>
                <w:rFonts w:ascii="Times" w:eastAsia="Times New Roman" w:hAnsi="Times" w:cs="Arial"/>
                <w:b/>
                <w:bCs/>
                <w:sz w:val="28"/>
                <w:szCs w:val="28"/>
                <w:lang w:val="en-GB" w:eastAsia="en-GB"/>
              </w:rPr>
              <w:t>2</w:t>
            </w:r>
            <w:r w:rsidRPr="00CF0419">
              <w:rPr>
                <w:rFonts w:ascii="Times" w:eastAsia="Times New Roman" w:hAnsi="Times" w:cs="Arial"/>
                <w:b/>
                <w:bCs/>
                <w:sz w:val="28"/>
                <w:szCs w:val="28"/>
                <w:lang w:val="en-GB" w:eastAsia="en-GB"/>
              </w:rPr>
              <w:t>.0</w:t>
            </w:r>
            <w:r w:rsidR="00762F86">
              <w:rPr>
                <w:rFonts w:ascii="Times" w:eastAsia="Times New Roman" w:hAnsi="Times" w:cs="Arial"/>
                <w:b/>
                <w:bCs/>
                <w:sz w:val="28"/>
                <w:szCs w:val="28"/>
                <w:lang w:val="en-GB" w:eastAsia="en-GB"/>
              </w:rPr>
              <w:t>1</w:t>
            </w:r>
            <w:r w:rsidRPr="00CF0419">
              <w:rPr>
                <w:rFonts w:ascii="Times" w:eastAsia="Times New Roman" w:hAnsi="Times" w:cs="Arial"/>
                <w:b/>
                <w:bCs/>
                <w:sz w:val="28"/>
                <w:szCs w:val="28"/>
                <w:lang w:val="en-GB" w:eastAsia="en-GB"/>
              </w:rPr>
              <w:t>.202</w:t>
            </w:r>
            <w:r w:rsidR="00762F86">
              <w:rPr>
                <w:rFonts w:ascii="Times" w:eastAsia="Times New Roman" w:hAnsi="Times" w:cs="Arial"/>
                <w:b/>
                <w:bCs/>
                <w:sz w:val="28"/>
                <w:szCs w:val="28"/>
                <w:lang w:val="en-GB" w:eastAsia="en-GB"/>
              </w:rPr>
              <w:t>4</w:t>
            </w:r>
          </w:p>
        </w:tc>
      </w:tr>
    </w:tbl>
    <w:p w14:paraId="098C2382" w14:textId="77777777" w:rsidR="006913A5" w:rsidRDefault="006913A5" w:rsidP="0028329C">
      <w:pPr>
        <w:jc w:val="center"/>
        <w:rPr>
          <w:b/>
          <w:bCs/>
          <w:sz w:val="32"/>
          <w:szCs w:val="28"/>
          <w:shd w:val="clear" w:color="auto" w:fill="D9D9D9"/>
        </w:rPr>
      </w:pPr>
    </w:p>
    <w:p w14:paraId="30A644B5" w14:textId="6DBD12EE" w:rsidR="009D238E" w:rsidRPr="0028329C" w:rsidRDefault="009D238E" w:rsidP="006913A5">
      <w:pPr>
        <w:rPr>
          <w:rFonts w:eastAsiaTheme="majorEastAsia" w:cstheme="majorBidi"/>
          <w:b/>
          <w:bCs/>
          <w:color w:val="2F5496" w:themeColor="accent1" w:themeShade="BF"/>
          <w:sz w:val="28"/>
          <w:szCs w:val="32"/>
          <w:u w:val="single"/>
        </w:rPr>
      </w:pPr>
      <w:r w:rsidRPr="0028329C">
        <w:rPr>
          <w:b/>
          <w:bCs/>
        </w:rPr>
        <w:br w:type="page"/>
      </w:r>
    </w:p>
    <w:sdt>
      <w:sdtPr>
        <w:rPr>
          <w:rFonts w:ascii="Times New Roman" w:eastAsiaTheme="minorHAnsi" w:hAnsi="Times New Roman" w:cstheme="minorBidi"/>
          <w:color w:val="auto"/>
          <w:sz w:val="24"/>
          <w:szCs w:val="22"/>
        </w:rPr>
        <w:id w:val="-875771815"/>
        <w:docPartObj>
          <w:docPartGallery w:val="Table of Contents"/>
          <w:docPartUnique/>
        </w:docPartObj>
      </w:sdtPr>
      <w:sdtEndPr>
        <w:rPr>
          <w:b/>
          <w:bCs/>
          <w:noProof/>
        </w:rPr>
      </w:sdtEndPr>
      <w:sdtContent>
        <w:p w14:paraId="56606F18" w14:textId="29C1A893" w:rsidR="009D238E" w:rsidRDefault="009D238E">
          <w:pPr>
            <w:pStyle w:val="TOCHeading"/>
          </w:pPr>
          <w:r>
            <w:t>Contents</w:t>
          </w:r>
        </w:p>
        <w:p w14:paraId="4F44E449" w14:textId="12E6BA57" w:rsidR="009D238E" w:rsidRDefault="009D238E">
          <w:pPr>
            <w:pStyle w:val="TOC1"/>
            <w:tabs>
              <w:tab w:val="right" w:leader="dot" w:pos="9350"/>
            </w:tabs>
            <w:rPr>
              <w:noProof/>
            </w:rPr>
          </w:pPr>
          <w:r>
            <w:fldChar w:fldCharType="begin"/>
          </w:r>
          <w:r>
            <w:instrText xml:space="preserve"> TOC \o "1-3" \h \z \u </w:instrText>
          </w:r>
          <w:r>
            <w:fldChar w:fldCharType="separate"/>
          </w:r>
          <w:hyperlink w:anchor="_Toc123915136" w:history="1">
            <w:r w:rsidRPr="00113007">
              <w:rPr>
                <w:rStyle w:val="Hyperlink"/>
                <w:noProof/>
              </w:rPr>
              <w:t>Introduction:</w:t>
            </w:r>
            <w:r>
              <w:rPr>
                <w:noProof/>
                <w:webHidden/>
              </w:rPr>
              <w:tab/>
            </w:r>
            <w:r>
              <w:rPr>
                <w:noProof/>
                <w:webHidden/>
              </w:rPr>
              <w:fldChar w:fldCharType="begin"/>
            </w:r>
            <w:r>
              <w:rPr>
                <w:noProof/>
                <w:webHidden/>
              </w:rPr>
              <w:instrText xml:space="preserve"> PAGEREF _Toc123915136 \h </w:instrText>
            </w:r>
            <w:r>
              <w:rPr>
                <w:noProof/>
                <w:webHidden/>
              </w:rPr>
            </w:r>
            <w:r>
              <w:rPr>
                <w:noProof/>
                <w:webHidden/>
              </w:rPr>
              <w:fldChar w:fldCharType="separate"/>
            </w:r>
            <w:r>
              <w:rPr>
                <w:noProof/>
                <w:webHidden/>
              </w:rPr>
              <w:t>3</w:t>
            </w:r>
            <w:r>
              <w:rPr>
                <w:noProof/>
                <w:webHidden/>
              </w:rPr>
              <w:fldChar w:fldCharType="end"/>
            </w:r>
          </w:hyperlink>
        </w:p>
        <w:p w14:paraId="20F69418" w14:textId="5D7AD886" w:rsidR="009D238E" w:rsidRDefault="00000000">
          <w:pPr>
            <w:pStyle w:val="TOC1"/>
            <w:tabs>
              <w:tab w:val="right" w:leader="dot" w:pos="9350"/>
            </w:tabs>
            <w:rPr>
              <w:noProof/>
            </w:rPr>
          </w:pPr>
          <w:hyperlink w:anchor="_Toc123915137" w:history="1">
            <w:r w:rsidR="009D238E" w:rsidRPr="00113007">
              <w:rPr>
                <w:rStyle w:val="Hyperlink"/>
                <w:noProof/>
              </w:rPr>
              <w:t>Company Background:</w:t>
            </w:r>
            <w:r w:rsidR="009D238E">
              <w:rPr>
                <w:noProof/>
                <w:webHidden/>
              </w:rPr>
              <w:tab/>
            </w:r>
            <w:r w:rsidR="009D238E">
              <w:rPr>
                <w:noProof/>
                <w:webHidden/>
              </w:rPr>
              <w:fldChar w:fldCharType="begin"/>
            </w:r>
            <w:r w:rsidR="009D238E">
              <w:rPr>
                <w:noProof/>
                <w:webHidden/>
              </w:rPr>
              <w:instrText xml:space="preserve"> PAGEREF _Toc123915137 \h </w:instrText>
            </w:r>
            <w:r w:rsidR="009D238E">
              <w:rPr>
                <w:noProof/>
                <w:webHidden/>
              </w:rPr>
            </w:r>
            <w:r w:rsidR="009D238E">
              <w:rPr>
                <w:noProof/>
                <w:webHidden/>
              </w:rPr>
              <w:fldChar w:fldCharType="separate"/>
            </w:r>
            <w:r w:rsidR="009D238E">
              <w:rPr>
                <w:noProof/>
                <w:webHidden/>
              </w:rPr>
              <w:t>4</w:t>
            </w:r>
            <w:r w:rsidR="009D238E">
              <w:rPr>
                <w:noProof/>
                <w:webHidden/>
              </w:rPr>
              <w:fldChar w:fldCharType="end"/>
            </w:r>
          </w:hyperlink>
        </w:p>
        <w:p w14:paraId="2E9C32D0" w14:textId="337DD70A" w:rsidR="009D238E" w:rsidRDefault="00000000">
          <w:pPr>
            <w:pStyle w:val="TOC1"/>
            <w:tabs>
              <w:tab w:val="right" w:leader="dot" w:pos="9350"/>
            </w:tabs>
            <w:rPr>
              <w:noProof/>
            </w:rPr>
          </w:pPr>
          <w:hyperlink w:anchor="_Toc123915138" w:history="1">
            <w:r w:rsidR="009D238E" w:rsidRPr="00113007">
              <w:rPr>
                <w:rStyle w:val="Hyperlink"/>
                <w:noProof/>
              </w:rPr>
              <w:t>Dividend Distribution Policy of Walmart:</w:t>
            </w:r>
            <w:r w:rsidR="009D238E">
              <w:rPr>
                <w:noProof/>
                <w:webHidden/>
              </w:rPr>
              <w:tab/>
            </w:r>
            <w:r w:rsidR="009D238E">
              <w:rPr>
                <w:noProof/>
                <w:webHidden/>
              </w:rPr>
              <w:fldChar w:fldCharType="begin"/>
            </w:r>
            <w:r w:rsidR="009D238E">
              <w:rPr>
                <w:noProof/>
                <w:webHidden/>
              </w:rPr>
              <w:instrText xml:space="preserve"> PAGEREF _Toc123915138 \h </w:instrText>
            </w:r>
            <w:r w:rsidR="009D238E">
              <w:rPr>
                <w:noProof/>
                <w:webHidden/>
              </w:rPr>
            </w:r>
            <w:r w:rsidR="009D238E">
              <w:rPr>
                <w:noProof/>
                <w:webHidden/>
              </w:rPr>
              <w:fldChar w:fldCharType="separate"/>
            </w:r>
            <w:r w:rsidR="009D238E">
              <w:rPr>
                <w:noProof/>
                <w:webHidden/>
              </w:rPr>
              <w:t>4</w:t>
            </w:r>
            <w:r w:rsidR="009D238E">
              <w:rPr>
                <w:noProof/>
                <w:webHidden/>
              </w:rPr>
              <w:fldChar w:fldCharType="end"/>
            </w:r>
          </w:hyperlink>
        </w:p>
        <w:p w14:paraId="39562417" w14:textId="570C75A5" w:rsidR="009D238E" w:rsidRDefault="00000000">
          <w:pPr>
            <w:pStyle w:val="TOC1"/>
            <w:tabs>
              <w:tab w:val="right" w:leader="dot" w:pos="9350"/>
            </w:tabs>
            <w:rPr>
              <w:noProof/>
            </w:rPr>
          </w:pPr>
          <w:hyperlink w:anchor="_Toc123915139" w:history="1">
            <w:r w:rsidR="009D238E" w:rsidRPr="00113007">
              <w:rPr>
                <w:rStyle w:val="Hyperlink"/>
                <w:noProof/>
              </w:rPr>
              <w:t>Efficient market hypothesis (EMH):</w:t>
            </w:r>
            <w:r w:rsidR="009D238E">
              <w:rPr>
                <w:noProof/>
                <w:webHidden/>
              </w:rPr>
              <w:tab/>
            </w:r>
            <w:r w:rsidR="009D238E">
              <w:rPr>
                <w:noProof/>
                <w:webHidden/>
              </w:rPr>
              <w:fldChar w:fldCharType="begin"/>
            </w:r>
            <w:r w:rsidR="009D238E">
              <w:rPr>
                <w:noProof/>
                <w:webHidden/>
              </w:rPr>
              <w:instrText xml:space="preserve"> PAGEREF _Toc123915139 \h </w:instrText>
            </w:r>
            <w:r w:rsidR="009D238E">
              <w:rPr>
                <w:noProof/>
                <w:webHidden/>
              </w:rPr>
            </w:r>
            <w:r w:rsidR="009D238E">
              <w:rPr>
                <w:noProof/>
                <w:webHidden/>
              </w:rPr>
              <w:fldChar w:fldCharType="separate"/>
            </w:r>
            <w:r w:rsidR="009D238E">
              <w:rPr>
                <w:noProof/>
                <w:webHidden/>
              </w:rPr>
              <w:t>5</w:t>
            </w:r>
            <w:r w:rsidR="009D238E">
              <w:rPr>
                <w:noProof/>
                <w:webHidden/>
              </w:rPr>
              <w:fldChar w:fldCharType="end"/>
            </w:r>
          </w:hyperlink>
        </w:p>
        <w:p w14:paraId="38B3479E" w14:textId="7F728BA6" w:rsidR="009D238E" w:rsidRDefault="00000000">
          <w:pPr>
            <w:pStyle w:val="TOC1"/>
            <w:tabs>
              <w:tab w:val="right" w:leader="dot" w:pos="9350"/>
            </w:tabs>
            <w:rPr>
              <w:noProof/>
            </w:rPr>
          </w:pPr>
          <w:hyperlink w:anchor="_Toc123915140" w:history="1">
            <w:r w:rsidR="009D238E" w:rsidRPr="00113007">
              <w:rPr>
                <w:rStyle w:val="Hyperlink"/>
                <w:noProof/>
              </w:rPr>
              <w:t>Methods of appraising projects:</w:t>
            </w:r>
            <w:r w:rsidR="009D238E">
              <w:rPr>
                <w:noProof/>
                <w:webHidden/>
              </w:rPr>
              <w:tab/>
            </w:r>
            <w:r w:rsidR="009D238E">
              <w:rPr>
                <w:noProof/>
                <w:webHidden/>
              </w:rPr>
              <w:fldChar w:fldCharType="begin"/>
            </w:r>
            <w:r w:rsidR="009D238E">
              <w:rPr>
                <w:noProof/>
                <w:webHidden/>
              </w:rPr>
              <w:instrText xml:space="preserve"> PAGEREF _Toc123915140 \h </w:instrText>
            </w:r>
            <w:r w:rsidR="009D238E">
              <w:rPr>
                <w:noProof/>
                <w:webHidden/>
              </w:rPr>
            </w:r>
            <w:r w:rsidR="009D238E">
              <w:rPr>
                <w:noProof/>
                <w:webHidden/>
              </w:rPr>
              <w:fldChar w:fldCharType="separate"/>
            </w:r>
            <w:r w:rsidR="009D238E">
              <w:rPr>
                <w:noProof/>
                <w:webHidden/>
              </w:rPr>
              <w:t>7</w:t>
            </w:r>
            <w:r w:rsidR="009D238E">
              <w:rPr>
                <w:noProof/>
                <w:webHidden/>
              </w:rPr>
              <w:fldChar w:fldCharType="end"/>
            </w:r>
          </w:hyperlink>
        </w:p>
        <w:p w14:paraId="50CF5A41" w14:textId="27BE0B6F" w:rsidR="009D238E" w:rsidRDefault="00000000">
          <w:pPr>
            <w:pStyle w:val="TOC1"/>
            <w:tabs>
              <w:tab w:val="right" w:leader="dot" w:pos="9350"/>
            </w:tabs>
            <w:rPr>
              <w:noProof/>
            </w:rPr>
          </w:pPr>
          <w:hyperlink w:anchor="_Toc123915141" w:history="1">
            <w:r w:rsidR="009D238E" w:rsidRPr="00113007">
              <w:rPr>
                <w:rStyle w:val="Hyperlink"/>
                <w:noProof/>
              </w:rPr>
              <w:t>Conclusion:</w:t>
            </w:r>
            <w:r w:rsidR="009D238E">
              <w:rPr>
                <w:noProof/>
                <w:webHidden/>
              </w:rPr>
              <w:tab/>
            </w:r>
            <w:r w:rsidR="009D238E">
              <w:rPr>
                <w:noProof/>
                <w:webHidden/>
              </w:rPr>
              <w:fldChar w:fldCharType="begin"/>
            </w:r>
            <w:r w:rsidR="009D238E">
              <w:rPr>
                <w:noProof/>
                <w:webHidden/>
              </w:rPr>
              <w:instrText xml:space="preserve"> PAGEREF _Toc123915141 \h </w:instrText>
            </w:r>
            <w:r w:rsidR="009D238E">
              <w:rPr>
                <w:noProof/>
                <w:webHidden/>
              </w:rPr>
            </w:r>
            <w:r w:rsidR="009D238E">
              <w:rPr>
                <w:noProof/>
                <w:webHidden/>
              </w:rPr>
              <w:fldChar w:fldCharType="separate"/>
            </w:r>
            <w:r w:rsidR="009D238E">
              <w:rPr>
                <w:noProof/>
                <w:webHidden/>
              </w:rPr>
              <w:t>7</w:t>
            </w:r>
            <w:r w:rsidR="009D238E">
              <w:rPr>
                <w:noProof/>
                <w:webHidden/>
              </w:rPr>
              <w:fldChar w:fldCharType="end"/>
            </w:r>
          </w:hyperlink>
        </w:p>
        <w:p w14:paraId="3DC651FF" w14:textId="71AD0FB6" w:rsidR="009D238E" w:rsidRDefault="00000000">
          <w:pPr>
            <w:pStyle w:val="TOC1"/>
            <w:tabs>
              <w:tab w:val="right" w:leader="dot" w:pos="9350"/>
            </w:tabs>
            <w:rPr>
              <w:noProof/>
            </w:rPr>
          </w:pPr>
          <w:hyperlink w:anchor="_Toc123915142" w:history="1">
            <w:r w:rsidR="009D238E" w:rsidRPr="00113007">
              <w:rPr>
                <w:rStyle w:val="Hyperlink"/>
                <w:noProof/>
              </w:rPr>
              <w:t>References:</w:t>
            </w:r>
            <w:r w:rsidR="009D238E">
              <w:rPr>
                <w:noProof/>
                <w:webHidden/>
              </w:rPr>
              <w:tab/>
            </w:r>
            <w:r w:rsidR="009D238E">
              <w:rPr>
                <w:noProof/>
                <w:webHidden/>
              </w:rPr>
              <w:fldChar w:fldCharType="begin"/>
            </w:r>
            <w:r w:rsidR="009D238E">
              <w:rPr>
                <w:noProof/>
                <w:webHidden/>
              </w:rPr>
              <w:instrText xml:space="preserve"> PAGEREF _Toc123915142 \h </w:instrText>
            </w:r>
            <w:r w:rsidR="009D238E">
              <w:rPr>
                <w:noProof/>
                <w:webHidden/>
              </w:rPr>
            </w:r>
            <w:r w:rsidR="009D238E">
              <w:rPr>
                <w:noProof/>
                <w:webHidden/>
              </w:rPr>
              <w:fldChar w:fldCharType="separate"/>
            </w:r>
            <w:r w:rsidR="009D238E">
              <w:rPr>
                <w:noProof/>
                <w:webHidden/>
              </w:rPr>
              <w:t>8</w:t>
            </w:r>
            <w:r w:rsidR="009D238E">
              <w:rPr>
                <w:noProof/>
                <w:webHidden/>
              </w:rPr>
              <w:fldChar w:fldCharType="end"/>
            </w:r>
          </w:hyperlink>
        </w:p>
        <w:p w14:paraId="4C92C8C7" w14:textId="1740BDE5" w:rsidR="009D238E" w:rsidRDefault="009D238E">
          <w:r>
            <w:rPr>
              <w:b/>
              <w:bCs/>
              <w:noProof/>
            </w:rPr>
            <w:fldChar w:fldCharType="end"/>
          </w:r>
        </w:p>
      </w:sdtContent>
    </w:sdt>
    <w:p w14:paraId="1236E1BF" w14:textId="77777777" w:rsidR="009D238E" w:rsidRDefault="009D238E">
      <w:pPr>
        <w:spacing w:line="259" w:lineRule="auto"/>
        <w:jc w:val="left"/>
        <w:rPr>
          <w:rFonts w:eastAsiaTheme="majorEastAsia" w:cstheme="majorBidi"/>
          <w:b/>
          <w:color w:val="2F5496" w:themeColor="accent1" w:themeShade="BF"/>
          <w:sz w:val="28"/>
          <w:szCs w:val="32"/>
          <w:u w:val="single"/>
        </w:rPr>
      </w:pPr>
      <w:r>
        <w:br w:type="page"/>
      </w:r>
    </w:p>
    <w:p w14:paraId="2AAD2C56" w14:textId="75A691DE" w:rsidR="00207032" w:rsidRDefault="00207032" w:rsidP="00207032">
      <w:pPr>
        <w:pStyle w:val="Heading1"/>
      </w:pPr>
      <w:bookmarkStart w:id="0" w:name="_Toc123915136"/>
      <w:r>
        <w:lastRenderedPageBreak/>
        <w:t>Introduction:</w:t>
      </w:r>
      <w:bookmarkEnd w:id="0"/>
    </w:p>
    <w:p w14:paraId="4A554AB6" w14:textId="3DD1A154" w:rsidR="00207032" w:rsidRDefault="00207032" w:rsidP="00207032">
      <w:pPr>
        <w:rPr>
          <w:b/>
        </w:rPr>
      </w:pPr>
      <w:r w:rsidRPr="00207032">
        <w:t>The international finance manager must recognize that his company's global footprint and range of activities bring both possibilities and threats. The difficulties stem from the manager's exposure to foreign-specific risks and variables that are not present in the same degree at home. Such difficulties include, for instance, the effects of different taxation regimes on a multinational corporation's capacity to do business and make a profit. However, the management may use tax havens and the movement of cash from high-tax affiliates to low-tax affiliates to lower the firm's total tax burden.</w:t>
      </w:r>
      <w:r>
        <w:t xml:space="preserve"> In this assignment, the author will explain various factors regarding international financial management. </w:t>
      </w:r>
      <w:r>
        <w:br w:type="page"/>
      </w:r>
    </w:p>
    <w:p w14:paraId="26E3A2FE" w14:textId="0E32B4F8" w:rsidR="00F738FE" w:rsidRDefault="000F66E0" w:rsidP="000F66E0">
      <w:pPr>
        <w:pStyle w:val="Heading1"/>
      </w:pPr>
      <w:bookmarkStart w:id="1" w:name="_Toc123915137"/>
      <w:r>
        <w:lastRenderedPageBreak/>
        <w:t>Company Background:</w:t>
      </w:r>
      <w:bookmarkEnd w:id="1"/>
    </w:p>
    <w:p w14:paraId="2C05381D" w14:textId="11102D78" w:rsidR="000F66E0" w:rsidRDefault="000F66E0" w:rsidP="000F66E0">
      <w:r>
        <w:t>Walmart is a global retailer that has mastered both traditional brick-and-mortar retailing and the more recent e-commerce sphere by offering cheap pricing on a wide variety of products with excellent customer service. Walmart's negotiating strength has helped it become a major rival in the retail industry. Due to Walmart's superior negotiating strength, mom-and-pop stores have been driven out of business.</w:t>
      </w:r>
    </w:p>
    <w:p w14:paraId="34AD108A" w14:textId="5D2E77F8" w:rsidR="00944F01" w:rsidRDefault="00944F01" w:rsidP="00944F01">
      <w:pPr>
        <w:jc w:val="center"/>
      </w:pPr>
      <w:r>
        <w:rPr>
          <w:noProof/>
        </w:rPr>
        <w:drawing>
          <wp:inline distT="0" distB="0" distL="0" distR="0" wp14:anchorId="65A92448" wp14:editId="4BA770AA">
            <wp:extent cx="2333394" cy="1483800"/>
            <wp:effectExtent l="0" t="0" r="0" b="2540"/>
            <wp:docPr id="2" name="Picture 2" descr="Walmart Canada Gift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mart Canada Gift Car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8627" cy="1493487"/>
                    </a:xfrm>
                    <a:prstGeom prst="rect">
                      <a:avLst/>
                    </a:prstGeom>
                    <a:noFill/>
                    <a:ln>
                      <a:noFill/>
                    </a:ln>
                  </pic:spPr>
                </pic:pic>
              </a:graphicData>
            </a:graphic>
          </wp:inline>
        </w:drawing>
      </w:r>
    </w:p>
    <w:p w14:paraId="552A611F" w14:textId="1DAD947F" w:rsidR="000F66E0" w:rsidRDefault="000F66E0" w:rsidP="000F66E0">
      <w:r>
        <w:t>With annual sales of about $500 billion and rising stock values, Wal-Mart is undoubtedly the retail industry's undisputed leade</w:t>
      </w:r>
      <w:r w:rsidR="009D238E">
        <w:t>r</w:t>
      </w:r>
      <w:r w:rsidR="009D238E" w:rsidRPr="009D238E">
        <w:t xml:space="preserve"> (Neebe, 2020)</w:t>
      </w:r>
      <w:r>
        <w:t>. According to their research of the value chain, Walmart focuses on five core functions: receiving, processing, shipping, and selling.</w:t>
      </w:r>
    </w:p>
    <w:p w14:paraId="32CFB616" w14:textId="5CBD0268" w:rsidR="000F66E0" w:rsidRDefault="000F66E0" w:rsidP="000F66E0">
      <w:pPr>
        <w:pStyle w:val="Heading1"/>
      </w:pPr>
      <w:bookmarkStart w:id="2" w:name="_Toc123915138"/>
      <w:r>
        <w:t>Dividend Distribution Policy of Walmart:</w:t>
      </w:r>
      <w:bookmarkEnd w:id="2"/>
    </w:p>
    <w:p w14:paraId="5A12263F" w14:textId="27D33B45" w:rsidR="000F66E0" w:rsidRDefault="000F66E0" w:rsidP="000F66E0">
      <w:r w:rsidRPr="000F66E0">
        <w:t>The dividend distribution policy of a firm determines the amount and timing of dividend payments to shareholders. Many distinct dividend plans are available to the organization. When a business makes money, it must select how and where to invest that cash. In the event of a profit, the corporation may elect to keep the money for operations or pay out dividends to its shareholders</w:t>
      </w:r>
      <w:r>
        <w:t>. Walmart as a company provides regular dividends to its shareholders.</w:t>
      </w:r>
    </w:p>
    <w:p w14:paraId="6D959ABC" w14:textId="02EF9EAD" w:rsidR="000F66E0" w:rsidRDefault="0057153C" w:rsidP="000F66E0">
      <w:r>
        <w:t xml:space="preserve">Walmart has been one of the most pragmatic companies in the worldwide retail sector. The company has been stably providing dividends to the shareholders with </w:t>
      </w:r>
      <w:r w:rsidR="00207032">
        <w:t>year-to-year</w:t>
      </w:r>
      <w:r>
        <w:t xml:space="preserve"> growth. The company has been providing dividend rate to shareholders which is higher than the market average of 1.90%. </w:t>
      </w:r>
      <w:r w:rsidR="000F66E0">
        <w:t>WMT has raised its annual cash dividend every year since it was first declared in 1999 at $0.05 per share</w:t>
      </w:r>
      <w:r w:rsidR="009D238E" w:rsidRPr="009D238E">
        <w:t xml:space="preserve"> (McGee, 2018)</w:t>
      </w:r>
      <w:r w:rsidR="000F66E0">
        <w:t>. Walmart has increased its overall yearly dividend payment by about 18 times over the previous two decades. That dividend increase works out to a rate of growth of 15.5% each year on average.</w:t>
      </w:r>
    </w:p>
    <w:p w14:paraId="16E4C8B2" w14:textId="2F921C94" w:rsidR="000F66E0" w:rsidRDefault="000F66E0" w:rsidP="000F66E0">
      <w:r>
        <w:lastRenderedPageBreak/>
        <w:t>Even though dividend increases have been happening annually, the growth pace has slowed down in recent years. Since 2013, the firm has increased its annual dividend distribution for the March pay date by $0.01, or about 2%</w:t>
      </w:r>
      <w:r w:rsidR="009D238E" w:rsidRPr="009D238E">
        <w:t xml:space="preserve"> (Mohammad Alsharari, 2021)</w:t>
      </w:r>
      <w:r>
        <w:t>. Walmart's annual dividend payouts are often announced in advance. As a result, shareholders probably expect Walmart to announce its annual dividend sometime within the next weeks. If Walmart follows its recent trend of increasing its dividend by the same amount each year, it will likely announce a $0.53 per share raise in its dividend in April, with payments spread out over the next four quarters starting on the April pay date</w:t>
      </w:r>
      <w:r w:rsidR="009D238E" w:rsidRPr="009D238E">
        <w:t xml:space="preserve"> (McGee, 2018)</w:t>
      </w:r>
      <w:r>
        <w:t>.</w:t>
      </w:r>
    </w:p>
    <w:p w14:paraId="397012E7" w14:textId="23370B37" w:rsidR="000F66E0" w:rsidRDefault="000F66E0" w:rsidP="000F66E0">
      <w:pPr>
        <w:jc w:val="center"/>
      </w:pPr>
      <w:r>
        <w:rPr>
          <w:noProof/>
        </w:rPr>
        <w:drawing>
          <wp:inline distT="0" distB="0" distL="0" distR="0" wp14:anchorId="11B608A9" wp14:editId="67AC6D67">
            <wp:extent cx="5943600" cy="979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979170"/>
                    </a:xfrm>
                    <a:prstGeom prst="rect">
                      <a:avLst/>
                    </a:prstGeom>
                  </pic:spPr>
                </pic:pic>
              </a:graphicData>
            </a:graphic>
          </wp:inline>
        </w:drawing>
      </w:r>
    </w:p>
    <w:p w14:paraId="6060762C" w14:textId="5C21D466" w:rsidR="000F66E0" w:rsidRDefault="000F66E0" w:rsidP="000F66E0">
      <w:r>
        <w:t>The best course of action for investors is to do their own research to see whether or not the company's future plans are a suitable fit with their investment portfolio. If you think WMT stock is a good investment, you should know that the next ex-dividend date may be as early as the first week of March, and is more likely to fall in the second week of March. Those who register their stock options well before ex-dividend date in early March would be guaranteed to participate in the dividend payments scheduled for the beginning of April.</w:t>
      </w:r>
    </w:p>
    <w:p w14:paraId="18DE2B51" w14:textId="77777777" w:rsidR="00944F01" w:rsidRDefault="00944F01" w:rsidP="000F66E0"/>
    <w:p w14:paraId="3AD9A9A7" w14:textId="266845CD" w:rsidR="00944F01" w:rsidRDefault="00944F01" w:rsidP="00944F01">
      <w:pPr>
        <w:pStyle w:val="Heading1"/>
      </w:pPr>
      <w:bookmarkStart w:id="3" w:name="_Toc123915139"/>
      <w:bookmarkStart w:id="4" w:name="_Hlk123914828"/>
      <w:r>
        <w:t>E</w:t>
      </w:r>
      <w:r w:rsidRPr="00944F01">
        <w:t>fficient market hypothesis (EMH)</w:t>
      </w:r>
      <w:r>
        <w:t>:</w:t>
      </w:r>
      <w:bookmarkEnd w:id="3"/>
    </w:p>
    <w:bookmarkEnd w:id="4"/>
    <w:p w14:paraId="1562D72D" w14:textId="7281ADE4" w:rsidR="00944F01" w:rsidRDefault="00944F01" w:rsidP="000F66E0">
      <w:r w:rsidRPr="00944F01">
        <w:t>The efficient market hypothesis (EMH) is a school of thought in finance that proposes asset prices accurately represent all relevant dat</w:t>
      </w:r>
      <w:r w:rsidR="009D238E">
        <w:t>a</w:t>
      </w:r>
      <w:r w:rsidR="009D238E" w:rsidRPr="009D238E">
        <w:t xml:space="preserve"> (Blumeyer, 2014)</w:t>
      </w:r>
      <w:r w:rsidRPr="00944F01">
        <w:t>. Therefore, it is impossible for investors to gain an advantage over one another via stock analysis or value investing.</w:t>
      </w:r>
      <w:r>
        <w:t xml:space="preserve"> </w:t>
      </w:r>
      <w:r w:rsidRPr="00944F01">
        <w:t>One of the crucial ideas in capital markets is that of stock market efficiency, which helps one grasp the way capital markets function as a whole. Knowledge regarding the efficiency of emerging markets is growing in significance as a result of the increased flow of investments across international boundaries caused by the convergence of economies throughout the globe. Eugene Fama proposed a hypothesis that states that traders can only get great profits by accepting more risks in the marketplace.</w:t>
      </w:r>
      <w:r>
        <w:t xml:space="preserve"> </w:t>
      </w:r>
      <w:r w:rsidRPr="00944F01">
        <w:t xml:space="preserve">In the financial markets, EMH is gaining a steady following. Investors who subscribe to this school of </w:t>
      </w:r>
      <w:r w:rsidRPr="00944F01">
        <w:lastRenderedPageBreak/>
        <w:t>thought often use passive investment vehicles like index funds and ETFs. The efficient market theory has this as one of its primary benefits. Due to their lack of faith in the experts' ability to beat the market, some investors are hesitant to pay the hefty fees demanded by professional fund managers</w:t>
      </w:r>
      <w:r w:rsidR="009D238E">
        <w:t xml:space="preserve"> </w:t>
      </w:r>
      <w:r w:rsidR="009D238E" w:rsidRPr="009D238E">
        <w:t>(Glenn, 2018)</w:t>
      </w:r>
      <w:r w:rsidRPr="00944F01">
        <w:t>. Recent evidence, however, points to the existence of a select group of investment firms who have routinely outperformed the market.</w:t>
      </w:r>
    </w:p>
    <w:p w14:paraId="42CEB88B" w14:textId="6E9F9A46" w:rsidR="00944F01" w:rsidRDefault="00944F01" w:rsidP="00944F01">
      <w:r>
        <w:t>There are three variations of efficient market hypothesis depending on the mechanism of the market. The trade of stocks of Walmart would suggest that, the company falls under the weak EMH variation. That's because we're assuming that the prices at which all financial instruments trade in the market accurately reflect all available data on the market. Information that has not been made public is not reflected. Further, according to the effective market theory, past price and return information has no bearing on the value of a financial asset in the future</w:t>
      </w:r>
      <w:r w:rsidR="009D238E">
        <w:t xml:space="preserve"> </w:t>
      </w:r>
      <w:r w:rsidR="009D238E" w:rsidRPr="009D238E">
        <w:t>(Glenn, 2018)</w:t>
      </w:r>
      <w:r>
        <w:t>.</w:t>
      </w:r>
      <w:r w:rsidR="00187C45">
        <w:t xml:space="preserve"> </w:t>
      </w:r>
      <w:r w:rsidR="00187C45" w:rsidRPr="00187C45">
        <w:t>When the price of a financial asset goes far beyond its intrinsic worth, triggering a market correction, we have a speculative bubble. In this case, prices fall sharply, triggering a market collapse. However, according to EMA, neither market bubbles nor financial crises are expected to occur. In fact, their very existence is denied by this viewpoint.</w:t>
      </w:r>
    </w:p>
    <w:p w14:paraId="39BD80A1" w14:textId="47790BED" w:rsidR="00187C45" w:rsidRDefault="00944F01" w:rsidP="00944F01">
      <w:r>
        <w:t>As a consequence, the evidence shown by this variant EMH implies that traders cannot achieve stable profits via the use of alternative tactics. Because of the widespread belief that past prices are no guarantee of future success in the market, this is the case. The possibility for fundamental analysis is preserved despite the fact that this EMH version rejects technical analysis as a concept. Consequently, this aids everyone involved in the market in gaining access to more data and achieving superior financial returns.</w:t>
      </w:r>
    </w:p>
    <w:p w14:paraId="6593CBE2" w14:textId="77777777" w:rsidR="00187C45" w:rsidRDefault="00187C45">
      <w:pPr>
        <w:spacing w:line="259" w:lineRule="auto"/>
        <w:jc w:val="left"/>
      </w:pPr>
      <w:r>
        <w:br w:type="page"/>
      </w:r>
    </w:p>
    <w:p w14:paraId="20CB25A1" w14:textId="0FE22253" w:rsidR="009D238E" w:rsidRDefault="009D238E" w:rsidP="009D238E">
      <w:pPr>
        <w:pStyle w:val="Heading1"/>
      </w:pPr>
      <w:bookmarkStart w:id="5" w:name="_Toc123915140"/>
      <w:r>
        <w:lastRenderedPageBreak/>
        <w:t>Methods of appraising projects:</w:t>
      </w:r>
      <w:bookmarkEnd w:id="5"/>
    </w:p>
    <w:p w14:paraId="414A899E" w14:textId="059E7161" w:rsidR="00944F01" w:rsidRDefault="00187C45" w:rsidP="00187C45">
      <w:r w:rsidRPr="00187C45">
        <w:t xml:space="preserve">In order to make a sound funding </w:t>
      </w:r>
      <w:r>
        <w:t>decision,</w:t>
      </w:r>
      <w:r w:rsidRPr="00187C45">
        <w:t xml:space="preserve"> institutions use a procedure called "project evaluation," in which they evaluate the merits of potential investments on their own, without any outside influence</w:t>
      </w:r>
      <w:r w:rsidR="009D238E">
        <w:t xml:space="preserve"> </w:t>
      </w:r>
      <w:r w:rsidR="009D238E" w:rsidRPr="009D238E">
        <w:t>(O'Leary, 2019)</w:t>
      </w:r>
      <w:r w:rsidRPr="00187C45">
        <w:t>.</w:t>
      </w:r>
      <w:r>
        <w:t xml:space="preserve"> </w:t>
      </w:r>
      <w:r w:rsidRPr="00187C45">
        <w:t>IRR and NPV are only two of the many financial analyses used by Walmart to determine the viability of a certain project or geographic area. By integrating financial and strategic project considerations, Walmart is able to make more informed capital investment choices. Considerations including GDP growth, ROI, exports, and profits all play a role in the choice to invest capital.</w:t>
      </w:r>
      <w:r>
        <w:t xml:space="preserve"> Walmart mostly depends on financial analysis to evaluate the projects that they are about to take</w:t>
      </w:r>
      <w:r w:rsidR="009D238E">
        <w:t xml:space="preserve"> </w:t>
      </w:r>
      <w:r w:rsidR="009D238E" w:rsidRPr="009D238E">
        <w:t>(Alti &amp; Boukerram, 2011)</w:t>
      </w:r>
      <w:r>
        <w:t>. The ability to analyze one's financial situation is crucial for every business. In order to determine whether or not a project is financially viable, an evaluation of the business's fixed and working capital needs must be conducted. The term "fixed assets" is used to refer to both the physical and immaterial possessions of a business that will see regular, ongoing usage after being acquired</w:t>
      </w:r>
      <w:r w:rsidR="009D238E">
        <w:t xml:space="preserve">. </w:t>
      </w:r>
      <w:r>
        <w:t xml:space="preserve">Land, buildings, cars, machinery, tools, etc. are all examples of fixed assets. Companies have varying fixed capital needs depending on their industry, size, and the length of time they want to spend the money. Different aspects should be considered when calculating the necessary amount of Fixed Capital. </w:t>
      </w:r>
    </w:p>
    <w:p w14:paraId="74AF3D8C" w14:textId="02397216" w:rsidR="00187C45" w:rsidRDefault="00187C45" w:rsidP="00187C45">
      <w:r>
        <w:t>Walmart also depends on market analysis to evaluate the investments that are available for the business</w:t>
      </w:r>
      <w:r w:rsidR="009D238E" w:rsidRPr="009D238E">
        <w:t xml:space="preserve"> (Mohammad Alsharari, 2021)</w:t>
      </w:r>
      <w:r>
        <w:t xml:space="preserve">. </w:t>
      </w:r>
      <w:r w:rsidRPr="00187C45">
        <w:t>The company should do a market study to gauge interest in the product before starting manufacturing. As part of any market study, predicting future demand is essential. In order to determine whether there will be a market for a product, analysts use a technique called "demand forecasting."</w:t>
      </w:r>
    </w:p>
    <w:p w14:paraId="7D2CE595" w14:textId="2474F203" w:rsidR="00944F01" w:rsidRDefault="00207032" w:rsidP="00207032">
      <w:pPr>
        <w:pStyle w:val="Heading1"/>
      </w:pPr>
      <w:bookmarkStart w:id="6" w:name="_Toc123915141"/>
      <w:r>
        <w:t>Conclusion:</w:t>
      </w:r>
      <w:bookmarkEnd w:id="6"/>
    </w:p>
    <w:p w14:paraId="3575137D" w14:textId="4D8AA04D" w:rsidR="00207032" w:rsidRDefault="00207032" w:rsidP="00207032">
      <w:r w:rsidRPr="00207032">
        <w:t>The variety of funding and investment opportunities accessible to a finance manager is a major source of complexity in the finance role. When placing money and mobilizing monetary resources, the management must consider the impact of currency and political uncertainty. The MNC may simultaneously lower its cost of capital and increase the return on its surplus cash resources by raising and investing in several capital markets.</w:t>
      </w:r>
    </w:p>
    <w:p w14:paraId="5A3489BB" w14:textId="77777777" w:rsidR="00207032" w:rsidRDefault="00207032">
      <w:pPr>
        <w:spacing w:line="259" w:lineRule="auto"/>
        <w:jc w:val="left"/>
      </w:pPr>
      <w:r>
        <w:br w:type="page"/>
      </w:r>
    </w:p>
    <w:p w14:paraId="4E476083" w14:textId="6AA3F3D8" w:rsidR="009D238E" w:rsidRDefault="009D238E" w:rsidP="009D238E">
      <w:pPr>
        <w:pStyle w:val="Heading1"/>
      </w:pPr>
      <w:bookmarkStart w:id="7" w:name="_Toc123915142"/>
      <w:r>
        <w:lastRenderedPageBreak/>
        <w:t>References:</w:t>
      </w:r>
      <w:bookmarkEnd w:id="7"/>
    </w:p>
    <w:p w14:paraId="2A01C5A9" w14:textId="77777777" w:rsidR="009D238E" w:rsidRDefault="009D238E" w:rsidP="009D238E">
      <w:r>
        <w:t xml:space="preserve">Alti, A. and Boukerram, A. (2011) “Enabling self-mangaement in context-aware quality model driven approach,” </w:t>
      </w:r>
      <w:r>
        <w:rPr>
          <w:i/>
          <w:iCs/>
        </w:rPr>
        <w:t>2011 10th International Symposium on Programming and Systems</w:t>
      </w:r>
      <w:r>
        <w:t xml:space="preserve"> [Preprint]. Available at: https://doi.org/10.1109/isps.2011.5898866. </w:t>
      </w:r>
    </w:p>
    <w:p w14:paraId="2108BB8A" w14:textId="77777777" w:rsidR="009D238E" w:rsidRDefault="009D238E" w:rsidP="009D238E">
      <w:r>
        <w:t xml:space="preserve">Blumeyer, M.V. (2014) “The paradox of the efficient market hypothesis (EMH),” </w:t>
      </w:r>
      <w:r>
        <w:rPr>
          <w:i/>
          <w:iCs/>
        </w:rPr>
        <w:t>SSRN Electronic Journal</w:t>
      </w:r>
      <w:r>
        <w:t xml:space="preserve"> [Preprint]. Available at: https://doi.org/10.2139/ssrn.2548074. </w:t>
      </w:r>
    </w:p>
    <w:p w14:paraId="670F5A1F" w14:textId="77777777" w:rsidR="009D238E" w:rsidRDefault="009D238E" w:rsidP="009D238E">
      <w:r>
        <w:t xml:space="preserve">Glenn, L.A. (2018) “Beat the market - a strategy for conservative investors,” </w:t>
      </w:r>
      <w:r>
        <w:rPr>
          <w:i/>
          <w:iCs/>
        </w:rPr>
        <w:t>SSRN Electronic Journal</w:t>
      </w:r>
      <w:r>
        <w:t xml:space="preserve"> [Preprint]. Available at: https://doi.org/10.2139/ssrn.1315533. </w:t>
      </w:r>
    </w:p>
    <w:p w14:paraId="530151EB" w14:textId="77777777" w:rsidR="009D238E" w:rsidRDefault="009D238E" w:rsidP="009D238E">
      <w:r>
        <w:t xml:space="preserve">McGee, R.W. (2018) “How large is walmart? A comparison of Walmart sales to NATIONSS GDP,” </w:t>
      </w:r>
      <w:r>
        <w:rPr>
          <w:i/>
          <w:iCs/>
        </w:rPr>
        <w:t>SSRN Electronic Journal</w:t>
      </w:r>
      <w:r>
        <w:t xml:space="preserve"> [Preprint]. Available at: https://doi.org/10.2139/ssrn.3102735. </w:t>
      </w:r>
    </w:p>
    <w:p w14:paraId="74B08B78" w14:textId="77777777" w:rsidR="009D238E" w:rsidRDefault="009D238E" w:rsidP="009D238E">
      <w:r>
        <w:t xml:space="preserve">Mohammad Alsharari, N. (2021) “Management accounting practices and E-business model in the US Walmart Corporation,” </w:t>
      </w:r>
      <w:r>
        <w:rPr>
          <w:i/>
          <w:iCs/>
        </w:rPr>
        <w:t>Accounting and Finance Innovations</w:t>
      </w:r>
      <w:r>
        <w:t xml:space="preserve"> [Preprint]. Available at: https://doi.org/10.5772/intechopen.100630. </w:t>
      </w:r>
    </w:p>
    <w:p w14:paraId="33E37866" w14:textId="77777777" w:rsidR="009D238E" w:rsidRDefault="009D238E" w:rsidP="009D238E">
      <w:r>
        <w:t xml:space="preserve">Neebe, K. (2020) “Sustainability at walmart: Success over the Long Haul,” </w:t>
      </w:r>
      <w:r>
        <w:rPr>
          <w:i/>
          <w:iCs/>
        </w:rPr>
        <w:t>Journal of Applied Corporate Finance</w:t>
      </w:r>
      <w:r>
        <w:t xml:space="preserve">, 32(2), pp. 64–71. Available at: https://doi.org/10.1111/jacf.12405. </w:t>
      </w:r>
    </w:p>
    <w:p w14:paraId="388EB9FF" w14:textId="77777777" w:rsidR="009D238E" w:rsidRDefault="009D238E" w:rsidP="009D238E">
      <w:r>
        <w:t xml:space="preserve">O'Leary, D.E. (2019) “Ai in accounting, finance and management,” </w:t>
      </w:r>
      <w:r>
        <w:rPr>
          <w:i/>
          <w:iCs/>
        </w:rPr>
        <w:t>Intelligent Systems in Accounting, Finance and Management</w:t>
      </w:r>
      <w:r>
        <w:t xml:space="preserve">, 4(3), pp. 149–153. Available at: https://doi.org/10.1002/j.1099-1174.1995.tb00088.x. </w:t>
      </w:r>
    </w:p>
    <w:p w14:paraId="2ECE841B" w14:textId="77777777" w:rsidR="009D238E" w:rsidRPr="00207032" w:rsidRDefault="009D238E" w:rsidP="009D238E"/>
    <w:p w14:paraId="673108EB" w14:textId="77777777" w:rsidR="00944F01" w:rsidRDefault="00944F01" w:rsidP="009D238E"/>
    <w:p w14:paraId="2E5F175E" w14:textId="77777777" w:rsidR="00944F01" w:rsidRPr="000F66E0" w:rsidRDefault="00944F01" w:rsidP="009D238E"/>
    <w:sectPr w:rsidR="00944F01" w:rsidRPr="000F66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6DE31" w14:textId="77777777" w:rsidR="00195011" w:rsidRDefault="00195011" w:rsidP="00044A40">
      <w:pPr>
        <w:spacing w:after="0" w:line="240" w:lineRule="auto"/>
      </w:pPr>
      <w:r>
        <w:separator/>
      </w:r>
    </w:p>
  </w:endnote>
  <w:endnote w:type="continuationSeparator" w:id="0">
    <w:p w14:paraId="1A6621EF" w14:textId="77777777" w:rsidR="00195011" w:rsidRDefault="00195011" w:rsidP="00044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75181" w14:textId="77777777" w:rsidR="00195011" w:rsidRDefault="00195011" w:rsidP="00044A40">
      <w:pPr>
        <w:spacing w:after="0" w:line="240" w:lineRule="auto"/>
      </w:pPr>
      <w:r>
        <w:separator/>
      </w:r>
    </w:p>
  </w:footnote>
  <w:footnote w:type="continuationSeparator" w:id="0">
    <w:p w14:paraId="7A87A1EF" w14:textId="77777777" w:rsidR="00195011" w:rsidRDefault="00195011" w:rsidP="00044A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6E0"/>
    <w:rsid w:val="00044A40"/>
    <w:rsid w:val="000F66E0"/>
    <w:rsid w:val="00187C45"/>
    <w:rsid w:val="00195011"/>
    <w:rsid w:val="001E7784"/>
    <w:rsid w:val="001F5BFB"/>
    <w:rsid w:val="00207032"/>
    <w:rsid w:val="0028329C"/>
    <w:rsid w:val="00307358"/>
    <w:rsid w:val="00362DC4"/>
    <w:rsid w:val="0057153C"/>
    <w:rsid w:val="00664A38"/>
    <w:rsid w:val="006913A5"/>
    <w:rsid w:val="00762F86"/>
    <w:rsid w:val="007E50A8"/>
    <w:rsid w:val="00857FB7"/>
    <w:rsid w:val="00885CBB"/>
    <w:rsid w:val="00924DA3"/>
    <w:rsid w:val="00944F01"/>
    <w:rsid w:val="009D238E"/>
    <w:rsid w:val="00B32112"/>
    <w:rsid w:val="00D82D0C"/>
    <w:rsid w:val="00F738FE"/>
    <w:rsid w:val="00FB1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9C6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0A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32112"/>
    <w:pPr>
      <w:keepNext/>
      <w:keepLines/>
      <w:spacing w:before="240" w:after="0"/>
      <w:outlineLvl w:val="0"/>
    </w:pPr>
    <w:rPr>
      <w:rFonts w:eastAsiaTheme="majorEastAsia" w:cstheme="majorBidi"/>
      <w:b/>
      <w:color w:val="2F5496" w:themeColor="accent1" w:themeShade="BF"/>
      <w:sz w:val="28"/>
      <w:szCs w:val="32"/>
      <w:u w:val="single"/>
    </w:rPr>
  </w:style>
  <w:style w:type="paragraph" w:styleId="Heading2">
    <w:name w:val="heading 2"/>
    <w:basedOn w:val="Normal"/>
    <w:next w:val="Normal"/>
    <w:link w:val="Heading2Char"/>
    <w:uiPriority w:val="9"/>
    <w:semiHidden/>
    <w:unhideWhenUsed/>
    <w:qFormat/>
    <w:rsid w:val="00D82D0C"/>
    <w:pPr>
      <w:keepNext/>
      <w:keepLines/>
      <w:spacing w:before="40" w:after="0"/>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112"/>
    <w:rPr>
      <w:rFonts w:ascii="Times New Roman" w:eastAsiaTheme="majorEastAsia" w:hAnsi="Times New Roman" w:cstheme="majorBidi"/>
      <w:b/>
      <w:color w:val="2F5496" w:themeColor="accent1" w:themeShade="BF"/>
      <w:sz w:val="28"/>
      <w:szCs w:val="32"/>
      <w:u w:val="single"/>
    </w:rPr>
  </w:style>
  <w:style w:type="character" w:customStyle="1" w:styleId="Heading2Char">
    <w:name w:val="Heading 2 Char"/>
    <w:basedOn w:val="DefaultParagraphFont"/>
    <w:link w:val="Heading2"/>
    <w:uiPriority w:val="9"/>
    <w:semiHidden/>
    <w:rsid w:val="00D82D0C"/>
    <w:rPr>
      <w:rFonts w:ascii="Times New Roman" w:eastAsiaTheme="majorEastAsia" w:hAnsi="Times New Roman" w:cstheme="majorBidi"/>
      <w:b/>
      <w:color w:val="2F5496" w:themeColor="accent1" w:themeShade="BF"/>
      <w:sz w:val="24"/>
      <w:szCs w:val="26"/>
    </w:rPr>
  </w:style>
  <w:style w:type="paragraph" w:styleId="NormalWeb">
    <w:name w:val="Normal (Web)"/>
    <w:basedOn w:val="Normal"/>
    <w:uiPriority w:val="99"/>
    <w:semiHidden/>
    <w:unhideWhenUsed/>
    <w:rsid w:val="009D238E"/>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9D238E"/>
    <w:pPr>
      <w:spacing w:line="259" w:lineRule="auto"/>
      <w:jc w:val="left"/>
      <w:outlineLvl w:val="9"/>
    </w:pPr>
    <w:rPr>
      <w:rFonts w:asciiTheme="majorHAnsi" w:hAnsiTheme="majorHAnsi"/>
      <w:b w:val="0"/>
      <w:sz w:val="32"/>
      <w:u w:val="none"/>
    </w:rPr>
  </w:style>
  <w:style w:type="paragraph" w:styleId="TOC1">
    <w:name w:val="toc 1"/>
    <w:basedOn w:val="Normal"/>
    <w:next w:val="Normal"/>
    <w:autoRedefine/>
    <w:uiPriority w:val="39"/>
    <w:unhideWhenUsed/>
    <w:rsid w:val="009D238E"/>
    <w:pPr>
      <w:spacing w:after="100"/>
    </w:pPr>
  </w:style>
  <w:style w:type="character" w:styleId="Hyperlink">
    <w:name w:val="Hyperlink"/>
    <w:basedOn w:val="DefaultParagraphFont"/>
    <w:uiPriority w:val="99"/>
    <w:unhideWhenUsed/>
    <w:rsid w:val="009D238E"/>
    <w:rPr>
      <w:color w:val="0563C1" w:themeColor="hyperlink"/>
      <w:u w:val="single"/>
    </w:rPr>
  </w:style>
  <w:style w:type="paragraph" w:styleId="Header">
    <w:name w:val="header"/>
    <w:basedOn w:val="Normal"/>
    <w:link w:val="HeaderChar"/>
    <w:uiPriority w:val="99"/>
    <w:unhideWhenUsed/>
    <w:rsid w:val="00044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4A40"/>
    <w:rPr>
      <w:rFonts w:ascii="Times New Roman" w:hAnsi="Times New Roman"/>
      <w:sz w:val="24"/>
    </w:rPr>
  </w:style>
  <w:style w:type="paragraph" w:styleId="Footer">
    <w:name w:val="footer"/>
    <w:basedOn w:val="Normal"/>
    <w:link w:val="FooterChar"/>
    <w:uiPriority w:val="99"/>
    <w:unhideWhenUsed/>
    <w:rsid w:val="00044A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4A4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3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C7741-36B8-4939-AC5E-369EB9DFF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1765</Words>
  <Characters>10065</Characters>
  <Application>Microsoft Office Word</Application>
  <DocSecurity>0</DocSecurity>
  <Lines>83</Lines>
  <Paragraphs>23</Paragraphs>
  <ScaleCrop>false</ScaleCrop>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2024-01-01T18:24:00Z</dcterms:created>
  <dcterms:modified xsi:type="dcterms:W3CDTF">2024-01-01T18:28:00Z</dcterms:modified>
</cp:coreProperties>
</file>