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6004" w:rsidRPr="004149F2" w:rsidRDefault="00516004"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t>Charles Taylor’s Theory of Recognition</w:t>
      </w:r>
    </w:p>
    <w:p w:rsidR="00E27253" w:rsidRPr="004149F2" w:rsidRDefault="00E27253"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t>Introduction</w:t>
      </w:r>
    </w:p>
    <w:p w:rsidR="00E72A3C" w:rsidRPr="004149F2" w:rsidRDefault="0063388B"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Charles Taylor’s theory of recognition holds that an individual’s or group’s identity is in part shaped by recognition</w:t>
      </w:r>
      <w:r w:rsidR="00720AA4" w:rsidRPr="004149F2">
        <w:rPr>
          <w:rFonts w:ascii="Arial" w:hAnsi="Arial" w:cs="Arial"/>
          <w:sz w:val="24"/>
          <w:szCs w:val="24"/>
        </w:rPr>
        <w:t>,</w:t>
      </w:r>
      <w:r w:rsidRPr="004149F2">
        <w:rPr>
          <w:rFonts w:ascii="Arial" w:hAnsi="Arial" w:cs="Arial"/>
          <w:sz w:val="24"/>
          <w:szCs w:val="24"/>
        </w:rPr>
        <w:t xml:space="preserve"> the absence of </w:t>
      </w:r>
      <w:r w:rsidR="00720AA4" w:rsidRPr="004149F2">
        <w:rPr>
          <w:rFonts w:ascii="Arial" w:hAnsi="Arial" w:cs="Arial"/>
          <w:sz w:val="24"/>
          <w:szCs w:val="24"/>
        </w:rPr>
        <w:t>recognition</w:t>
      </w:r>
      <w:r w:rsidRPr="004149F2">
        <w:rPr>
          <w:rFonts w:ascii="Arial" w:hAnsi="Arial" w:cs="Arial"/>
          <w:sz w:val="24"/>
          <w:szCs w:val="24"/>
        </w:rPr>
        <w:t xml:space="preserve">, </w:t>
      </w:r>
      <w:r w:rsidR="00720AA4" w:rsidRPr="004149F2">
        <w:rPr>
          <w:rFonts w:ascii="Arial" w:hAnsi="Arial" w:cs="Arial"/>
          <w:sz w:val="24"/>
          <w:szCs w:val="24"/>
        </w:rPr>
        <w:t>or</w:t>
      </w:r>
      <w:r w:rsidRPr="004149F2">
        <w:rPr>
          <w:rFonts w:ascii="Arial" w:hAnsi="Arial" w:cs="Arial"/>
          <w:sz w:val="24"/>
          <w:szCs w:val="24"/>
        </w:rPr>
        <w:t xml:space="preserve"> by the misrecognition of others</w:t>
      </w:r>
      <w:r w:rsidR="00F147C9" w:rsidRPr="004149F2">
        <w:rPr>
          <w:rFonts w:ascii="Arial" w:hAnsi="Arial" w:cs="Arial"/>
          <w:sz w:val="24"/>
          <w:szCs w:val="24"/>
        </w:rPr>
        <w:t xml:space="preserve"> (Taylor 1992)</w:t>
      </w:r>
      <w:r w:rsidRPr="004149F2">
        <w:rPr>
          <w:rFonts w:ascii="Arial" w:hAnsi="Arial" w:cs="Arial"/>
          <w:sz w:val="24"/>
          <w:szCs w:val="24"/>
        </w:rPr>
        <w:t>. This being the case, the individual or group of people can experience real distortion, and damage if those around them or society mirror back to them a demeaning, confining, or contemptible picture of themselves (</w:t>
      </w:r>
      <w:r w:rsidR="00F147C9" w:rsidRPr="004149F2">
        <w:rPr>
          <w:rFonts w:ascii="Arial" w:hAnsi="Arial" w:cs="Arial"/>
          <w:sz w:val="24"/>
          <w:szCs w:val="24"/>
        </w:rPr>
        <w:t xml:space="preserve">Taylor 1992, </w:t>
      </w:r>
      <w:r w:rsidR="002E0ACC" w:rsidRPr="004149F2">
        <w:rPr>
          <w:rFonts w:ascii="Arial" w:hAnsi="Arial" w:cs="Arial"/>
          <w:sz w:val="24"/>
          <w:szCs w:val="24"/>
        </w:rPr>
        <w:t>p. 25).</w:t>
      </w:r>
      <w:r w:rsidRPr="004149F2">
        <w:rPr>
          <w:rFonts w:ascii="Arial" w:hAnsi="Arial" w:cs="Arial"/>
          <w:sz w:val="24"/>
          <w:szCs w:val="24"/>
        </w:rPr>
        <w:t xml:space="preserve"> According to Taylor, misrecognition and non-recognition can cause harm and can very well be a form of oppression</w:t>
      </w:r>
      <w:r w:rsidR="002F1033" w:rsidRPr="004149F2">
        <w:rPr>
          <w:rFonts w:ascii="Arial" w:hAnsi="Arial" w:cs="Arial"/>
          <w:sz w:val="24"/>
          <w:szCs w:val="24"/>
        </w:rPr>
        <w:t>,</w:t>
      </w:r>
      <w:r w:rsidRPr="004149F2">
        <w:rPr>
          <w:rFonts w:ascii="Arial" w:hAnsi="Arial" w:cs="Arial"/>
          <w:sz w:val="24"/>
          <w:szCs w:val="24"/>
        </w:rPr>
        <w:t xml:space="preserve"> causing an individual to be imprisoned in a false, reduced, and distorted mode of being (</w:t>
      </w:r>
      <w:r w:rsidR="00594CB5" w:rsidRPr="004149F2">
        <w:rPr>
          <w:rFonts w:ascii="Arial" w:hAnsi="Arial" w:cs="Arial"/>
          <w:sz w:val="24"/>
          <w:szCs w:val="24"/>
        </w:rPr>
        <w:t xml:space="preserve">Taylor 1992, </w:t>
      </w:r>
      <w:r w:rsidRPr="004149F2">
        <w:rPr>
          <w:rFonts w:ascii="Arial" w:hAnsi="Arial" w:cs="Arial"/>
          <w:sz w:val="24"/>
          <w:szCs w:val="24"/>
        </w:rPr>
        <w:t xml:space="preserve">p. 25). </w:t>
      </w:r>
      <w:r w:rsidR="00594CB5" w:rsidRPr="004149F2">
        <w:rPr>
          <w:rFonts w:ascii="Arial" w:hAnsi="Arial" w:cs="Arial"/>
          <w:sz w:val="24"/>
          <w:szCs w:val="24"/>
        </w:rPr>
        <w:t xml:space="preserve"> </w:t>
      </w:r>
    </w:p>
    <w:p w:rsidR="00516004" w:rsidRPr="004149F2" w:rsidRDefault="002F1033"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According to Taylor</w:t>
      </w:r>
      <w:r w:rsidR="0014514D" w:rsidRPr="004149F2">
        <w:rPr>
          <w:rFonts w:ascii="Arial" w:hAnsi="Arial" w:cs="Arial"/>
          <w:sz w:val="24"/>
          <w:szCs w:val="24"/>
        </w:rPr>
        <w:t xml:space="preserve"> (1992)</w:t>
      </w:r>
      <w:r w:rsidRPr="004149F2">
        <w:rPr>
          <w:rFonts w:ascii="Arial" w:hAnsi="Arial" w:cs="Arial"/>
          <w:sz w:val="24"/>
          <w:szCs w:val="24"/>
        </w:rPr>
        <w:t xml:space="preserve">, identity is partly shaped by recognition, lack of it, or misrecognition. To this extent, getting the wrong recognition can be harmful to a population. </w:t>
      </w:r>
      <w:r w:rsidR="0014514D" w:rsidRPr="004149F2">
        <w:rPr>
          <w:rFonts w:ascii="Arial" w:hAnsi="Arial" w:cs="Arial"/>
          <w:sz w:val="24"/>
          <w:szCs w:val="24"/>
        </w:rPr>
        <w:t xml:space="preserve"> Some feminists have argued, for example, that in patriarchal societies, women have been led to come to terms with a depreciatory image of themselves (Taylor 1992). As a result, they have so </w:t>
      </w:r>
      <w:r w:rsidR="005E3634" w:rsidRPr="004149F2">
        <w:rPr>
          <w:rFonts w:ascii="Arial" w:hAnsi="Arial" w:cs="Arial"/>
          <w:sz w:val="24"/>
          <w:szCs w:val="24"/>
        </w:rPr>
        <w:t>internalized</w:t>
      </w:r>
      <w:r w:rsidR="0014514D" w:rsidRPr="004149F2">
        <w:rPr>
          <w:rFonts w:ascii="Arial" w:hAnsi="Arial" w:cs="Arial"/>
          <w:sz w:val="24"/>
          <w:szCs w:val="24"/>
        </w:rPr>
        <w:t xml:space="preserve"> a picture of their own inferiority to the extent that even with the objective removal of obstacles to their advancement, they may not be able to take advantage of new opportunities that come their way.  They are</w:t>
      </w:r>
      <w:r w:rsidR="00C6768B" w:rsidRPr="004149F2">
        <w:rPr>
          <w:rFonts w:ascii="Arial" w:hAnsi="Arial" w:cs="Arial"/>
          <w:sz w:val="24"/>
          <w:szCs w:val="24"/>
        </w:rPr>
        <w:t>,</w:t>
      </w:r>
      <w:r w:rsidR="0014514D" w:rsidRPr="004149F2">
        <w:rPr>
          <w:rFonts w:ascii="Arial" w:hAnsi="Arial" w:cs="Arial"/>
          <w:sz w:val="24"/>
          <w:szCs w:val="24"/>
        </w:rPr>
        <w:t xml:space="preserve"> therefore, by extension, condemned to bear with low self-esteem. </w:t>
      </w:r>
    </w:p>
    <w:p w:rsidR="007A3CB4" w:rsidRPr="004149F2" w:rsidRDefault="00A85C36"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As noted by McLaren (2018)</w:t>
      </w:r>
      <w:r w:rsidR="002F1033" w:rsidRPr="004149F2">
        <w:rPr>
          <w:rFonts w:ascii="Arial" w:hAnsi="Arial" w:cs="Arial"/>
          <w:sz w:val="24"/>
          <w:szCs w:val="24"/>
        </w:rPr>
        <w:t xml:space="preserve">, the sense of need for recognition is a new phenomenon historically. This sense of need for recognition has resulted from the decline in the value of </w:t>
      </w:r>
      <w:r w:rsidR="005E3634" w:rsidRPr="004149F2">
        <w:rPr>
          <w:rFonts w:ascii="Arial" w:hAnsi="Arial" w:cs="Arial"/>
          <w:sz w:val="24"/>
          <w:szCs w:val="24"/>
        </w:rPr>
        <w:t>honor</w:t>
      </w:r>
      <w:r w:rsidR="002F1033" w:rsidRPr="004149F2">
        <w:rPr>
          <w:rFonts w:ascii="Arial" w:hAnsi="Arial" w:cs="Arial"/>
          <w:sz w:val="24"/>
          <w:szCs w:val="24"/>
        </w:rPr>
        <w:t xml:space="preserve"> and th</w:t>
      </w:r>
      <w:r w:rsidR="00C6768B" w:rsidRPr="004149F2">
        <w:rPr>
          <w:rFonts w:ascii="Arial" w:hAnsi="Arial" w:cs="Arial"/>
          <w:sz w:val="24"/>
          <w:szCs w:val="24"/>
        </w:rPr>
        <w:t>e rise in the value of dignity.</w:t>
      </w:r>
      <w:r w:rsidR="002F1033" w:rsidRPr="004149F2">
        <w:rPr>
          <w:rFonts w:ascii="Arial" w:hAnsi="Arial" w:cs="Arial"/>
          <w:sz w:val="24"/>
          <w:szCs w:val="24"/>
        </w:rPr>
        <w:t xml:space="preserve"> </w:t>
      </w:r>
      <w:r w:rsidR="005F3115" w:rsidRPr="004149F2">
        <w:rPr>
          <w:rFonts w:ascii="Arial" w:hAnsi="Arial" w:cs="Arial"/>
          <w:sz w:val="24"/>
          <w:szCs w:val="24"/>
        </w:rPr>
        <w:t xml:space="preserve">Individual identity led to the creation of a new need for recognition that needs to be earned from others or won. The reality, in modern times, that people can fail to </w:t>
      </w:r>
      <w:r w:rsidR="005E3634" w:rsidRPr="004149F2">
        <w:rPr>
          <w:rFonts w:ascii="Arial" w:hAnsi="Arial" w:cs="Arial"/>
          <w:sz w:val="24"/>
          <w:szCs w:val="24"/>
        </w:rPr>
        <w:t>recognize</w:t>
      </w:r>
      <w:r w:rsidR="005F3115" w:rsidRPr="004149F2">
        <w:rPr>
          <w:rFonts w:ascii="Arial" w:hAnsi="Arial" w:cs="Arial"/>
          <w:sz w:val="24"/>
          <w:szCs w:val="24"/>
        </w:rPr>
        <w:t xml:space="preserve"> recognition </w:t>
      </w:r>
      <w:r w:rsidR="005F3115" w:rsidRPr="004149F2">
        <w:rPr>
          <w:rFonts w:ascii="Arial" w:hAnsi="Arial" w:cs="Arial"/>
          <w:sz w:val="24"/>
          <w:szCs w:val="24"/>
        </w:rPr>
        <w:lastRenderedPageBreak/>
        <w:t>results in the rise in demand for recognition which is ever more becoming prevalent in the world</w:t>
      </w:r>
      <w:r w:rsidRPr="004149F2">
        <w:rPr>
          <w:rFonts w:ascii="Arial" w:hAnsi="Arial" w:cs="Arial"/>
          <w:sz w:val="24"/>
          <w:szCs w:val="24"/>
        </w:rPr>
        <w:t xml:space="preserve"> (McLaren 2018)</w:t>
      </w:r>
      <w:r w:rsidR="007A3CB4" w:rsidRPr="004149F2">
        <w:rPr>
          <w:rFonts w:ascii="Arial" w:hAnsi="Arial" w:cs="Arial"/>
          <w:sz w:val="24"/>
          <w:szCs w:val="24"/>
        </w:rPr>
        <w:t>.</w:t>
      </w:r>
      <w:r w:rsidR="005F3115" w:rsidRPr="004149F2">
        <w:rPr>
          <w:rFonts w:ascii="Arial" w:hAnsi="Arial" w:cs="Arial"/>
          <w:sz w:val="24"/>
          <w:szCs w:val="24"/>
        </w:rPr>
        <w:t xml:space="preserve"> Together with this rising demand for recognition, the establishment of dignity as a universal ideal </w:t>
      </w:r>
      <w:r w:rsidRPr="004149F2">
        <w:rPr>
          <w:rFonts w:ascii="Arial" w:hAnsi="Arial" w:cs="Arial"/>
          <w:sz w:val="24"/>
          <w:szCs w:val="24"/>
        </w:rPr>
        <w:t>has resulted in a</w:t>
      </w:r>
      <w:r w:rsidR="005F3115" w:rsidRPr="004149F2">
        <w:rPr>
          <w:rFonts w:ascii="Arial" w:hAnsi="Arial" w:cs="Arial"/>
          <w:sz w:val="24"/>
          <w:szCs w:val="24"/>
        </w:rPr>
        <w:t xml:space="preserve"> modern politics of equal recognition. </w:t>
      </w:r>
      <w:r w:rsidRPr="004149F2">
        <w:rPr>
          <w:rFonts w:ascii="Arial" w:hAnsi="Arial" w:cs="Arial"/>
          <w:sz w:val="24"/>
          <w:szCs w:val="24"/>
        </w:rPr>
        <w:t xml:space="preserve"> </w:t>
      </w:r>
    </w:p>
    <w:p w:rsidR="00DF0219" w:rsidRPr="004149F2" w:rsidRDefault="00E64B7C" w:rsidP="004149F2">
      <w:pPr>
        <w:spacing w:before="100" w:beforeAutospacing="1" w:after="100" w:afterAutospacing="1" w:line="480" w:lineRule="auto"/>
        <w:jc w:val="both"/>
        <w:rPr>
          <w:rFonts w:ascii="Arial" w:hAnsi="Arial" w:cs="Arial"/>
          <w:b/>
          <w:color w:val="000000" w:themeColor="text1"/>
          <w:sz w:val="24"/>
          <w:szCs w:val="24"/>
        </w:rPr>
      </w:pPr>
      <w:r w:rsidRPr="004149F2">
        <w:rPr>
          <w:rFonts w:ascii="Arial" w:hAnsi="Arial" w:cs="Arial"/>
          <w:b/>
          <w:color w:val="000000" w:themeColor="text1"/>
          <w:sz w:val="24"/>
          <w:szCs w:val="24"/>
        </w:rPr>
        <w:t xml:space="preserve">Relevance of Charles Taylor’s Theory of Recognition to Psychology and </w:t>
      </w:r>
      <w:r w:rsidR="005E3634" w:rsidRPr="004149F2">
        <w:rPr>
          <w:rFonts w:ascii="Arial" w:hAnsi="Arial" w:cs="Arial"/>
          <w:b/>
          <w:color w:val="000000" w:themeColor="text1"/>
          <w:sz w:val="24"/>
          <w:szCs w:val="24"/>
        </w:rPr>
        <w:t>Counseling</w:t>
      </w:r>
      <w:r w:rsidRPr="004149F2">
        <w:rPr>
          <w:rFonts w:ascii="Arial" w:hAnsi="Arial" w:cs="Arial"/>
          <w:b/>
          <w:color w:val="000000" w:themeColor="text1"/>
          <w:sz w:val="24"/>
          <w:szCs w:val="24"/>
        </w:rPr>
        <w:t xml:space="preserve"> </w:t>
      </w:r>
    </w:p>
    <w:p w:rsidR="005A77B6" w:rsidRPr="004149F2" w:rsidRDefault="005A77B6" w:rsidP="004149F2">
      <w:pPr>
        <w:spacing w:before="100" w:beforeAutospacing="1" w:after="100" w:afterAutospacing="1" w:line="480" w:lineRule="auto"/>
        <w:jc w:val="both"/>
        <w:rPr>
          <w:rFonts w:ascii="Arial" w:hAnsi="Arial" w:cs="Arial"/>
          <w:color w:val="000000" w:themeColor="text1"/>
          <w:sz w:val="24"/>
          <w:szCs w:val="24"/>
        </w:rPr>
      </w:pPr>
      <w:r w:rsidRPr="004149F2">
        <w:rPr>
          <w:rFonts w:ascii="Arial" w:hAnsi="Arial" w:cs="Arial"/>
          <w:color w:val="000000" w:themeColor="text1"/>
          <w:sz w:val="24"/>
          <w:szCs w:val="24"/>
        </w:rPr>
        <w:t xml:space="preserve">Group identity generally has become an important element of identity. According to Horward (2000), with regard to group identity, sexuality has become a central dimension in the formation of identity and has given rise to lesbian and gay identities. Sexual identity is different from racial identity given that one’s awareness as being a sexual being (and more so awareness of their deviation from sexual norms), normally comes later in the individual’s life compared to awareness of their ethnicity or race (Horward 2000). According to Epstein (1987), lesbian and gay identity is socio-political is </w:t>
      </w:r>
      <w:r w:rsidR="005E3634" w:rsidRPr="004149F2">
        <w:rPr>
          <w:rFonts w:ascii="Arial" w:hAnsi="Arial" w:cs="Arial"/>
          <w:color w:val="000000" w:themeColor="text1"/>
          <w:sz w:val="24"/>
          <w:szCs w:val="24"/>
        </w:rPr>
        <w:t>stigmatized</w:t>
      </w:r>
      <w:r w:rsidRPr="004149F2">
        <w:rPr>
          <w:rFonts w:ascii="Arial" w:hAnsi="Arial" w:cs="Arial"/>
          <w:color w:val="000000" w:themeColor="text1"/>
          <w:sz w:val="24"/>
          <w:szCs w:val="24"/>
        </w:rPr>
        <w:t xml:space="preserve">. As noted by Horward (2000), attempts to assert the legitimacy of gay and lesbian identities and the claim that these identities should not be grounds for social exclusion have served to intensify this identity. Heterosexuality as an identity has been a subject of considerable debate among scholars and has been accompanied by the ideology of heterosexism. Heterosexism </w:t>
      </w:r>
      <w:r w:rsidR="005E3634" w:rsidRPr="004149F2">
        <w:rPr>
          <w:rFonts w:ascii="Arial" w:hAnsi="Arial" w:cs="Arial"/>
          <w:color w:val="000000" w:themeColor="text1"/>
          <w:sz w:val="24"/>
          <w:szCs w:val="24"/>
        </w:rPr>
        <w:t>stigmatizes</w:t>
      </w:r>
      <w:r w:rsidRPr="004149F2">
        <w:rPr>
          <w:rFonts w:ascii="Arial" w:hAnsi="Arial" w:cs="Arial"/>
          <w:color w:val="000000" w:themeColor="text1"/>
          <w:sz w:val="24"/>
          <w:szCs w:val="24"/>
        </w:rPr>
        <w:t xml:space="preserve"> and denigrates non-heterosexual identity, relationships, communities, and </w:t>
      </w:r>
      <w:r w:rsidR="005E3634" w:rsidRPr="004149F2">
        <w:rPr>
          <w:rFonts w:ascii="Arial" w:hAnsi="Arial" w:cs="Arial"/>
          <w:color w:val="000000" w:themeColor="text1"/>
          <w:sz w:val="24"/>
          <w:szCs w:val="24"/>
        </w:rPr>
        <w:t>behavior</w:t>
      </w:r>
      <w:r w:rsidRPr="004149F2">
        <w:rPr>
          <w:rFonts w:ascii="Arial" w:hAnsi="Arial" w:cs="Arial"/>
          <w:color w:val="000000" w:themeColor="text1"/>
          <w:sz w:val="24"/>
          <w:szCs w:val="24"/>
        </w:rPr>
        <w:t xml:space="preserve">. Herek (1995) argues that anti-gay violence may help persons who are heterosexual feel more positive about being heterosexual and provides a means for people (perpetrators of anti-gay assaults, especially young men) to affirm their masculinity or heterosexuality and therefore defend their egos. </w:t>
      </w:r>
    </w:p>
    <w:p w:rsidR="006576A3" w:rsidRPr="004149F2" w:rsidRDefault="006576A3" w:rsidP="004149F2">
      <w:pPr>
        <w:spacing w:before="100" w:beforeAutospacing="1" w:after="100" w:afterAutospacing="1" w:line="480" w:lineRule="auto"/>
        <w:jc w:val="both"/>
        <w:rPr>
          <w:rFonts w:ascii="Arial" w:hAnsi="Arial" w:cs="Arial"/>
          <w:sz w:val="24"/>
          <w:szCs w:val="24"/>
        </w:rPr>
      </w:pPr>
      <w:r w:rsidRPr="004149F2">
        <w:rPr>
          <w:rFonts w:ascii="Arial" w:hAnsi="Arial" w:cs="Arial"/>
          <w:color w:val="000000" w:themeColor="text1"/>
          <w:sz w:val="24"/>
          <w:szCs w:val="24"/>
        </w:rPr>
        <w:lastRenderedPageBreak/>
        <w:t>Members of the DSG</w:t>
      </w:r>
      <w:r w:rsidRPr="004149F2">
        <w:rPr>
          <w:rFonts w:ascii="Arial" w:hAnsi="Arial" w:cs="Arial"/>
          <w:sz w:val="24"/>
          <w:szCs w:val="24"/>
        </w:rPr>
        <w:t xml:space="preserve"> community often suffer different forms of discrimination, social exclusion and stigma including economic alienation, persecution, bullying, physical abuse and psychological abuse (Bostwick et al. 2014; Moleiro and Pinto </w:t>
      </w:r>
      <w:r w:rsidRPr="004149F2">
        <w:rPr>
          <w:rStyle w:val="cit"/>
          <w:rFonts w:ascii="Arial" w:hAnsi="Arial" w:cs="Arial"/>
          <w:sz w:val="24"/>
          <w:szCs w:val="24"/>
        </w:rPr>
        <w:t>2015</w:t>
      </w:r>
      <w:r w:rsidRPr="004149F2">
        <w:rPr>
          <w:rFonts w:ascii="Arial" w:hAnsi="Arial" w:cs="Arial"/>
          <w:sz w:val="24"/>
          <w:szCs w:val="24"/>
        </w:rPr>
        <w:t xml:space="preserve">). They may also experience discrimination in areas such as healthcare, education, employment, and in their interpersonal relationships. Several studies have shown that the experiences of </w:t>
      </w:r>
      <w:r w:rsidR="005E3634" w:rsidRPr="004149F2">
        <w:rPr>
          <w:rFonts w:ascii="Arial" w:hAnsi="Arial" w:cs="Arial"/>
          <w:sz w:val="24"/>
          <w:szCs w:val="24"/>
        </w:rPr>
        <w:t>stigmatization</w:t>
      </w:r>
      <w:r w:rsidRPr="004149F2">
        <w:rPr>
          <w:rFonts w:ascii="Arial" w:hAnsi="Arial" w:cs="Arial"/>
          <w:sz w:val="24"/>
          <w:szCs w:val="24"/>
        </w:rPr>
        <w:t xml:space="preserve"> and discrimination that members of the DSG community face place them at a higher risk of suffering mental distress. DSG populations, for example, may have higher risk for major depression disorders, traumatic stress reactions, substance abuse, suicide, and anxiety disorders (Bostwick et al., 2010; Moleiro and Pinto </w:t>
      </w:r>
      <w:r w:rsidRPr="004149F2">
        <w:rPr>
          <w:rStyle w:val="cit"/>
          <w:rFonts w:ascii="Arial" w:hAnsi="Arial" w:cs="Arial"/>
          <w:sz w:val="24"/>
          <w:szCs w:val="24"/>
        </w:rPr>
        <w:t>2015</w:t>
      </w:r>
      <w:r w:rsidRPr="004149F2">
        <w:rPr>
          <w:rFonts w:ascii="Arial" w:hAnsi="Arial" w:cs="Arial"/>
          <w:sz w:val="24"/>
          <w:szCs w:val="24"/>
        </w:rPr>
        <w:t xml:space="preserve">).  </w:t>
      </w:r>
    </w:p>
    <w:p w:rsidR="009C1542" w:rsidRPr="004149F2" w:rsidRDefault="009C1542"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Based on the example of the experiences of the LGBT and DSG communities as discussed above, Taylor’s theory is important and finds application in </w:t>
      </w:r>
      <w:r w:rsidR="005E3634" w:rsidRPr="004149F2">
        <w:rPr>
          <w:rFonts w:ascii="Arial" w:hAnsi="Arial" w:cs="Arial"/>
          <w:sz w:val="24"/>
          <w:szCs w:val="24"/>
        </w:rPr>
        <w:t>counseling</w:t>
      </w:r>
      <w:r w:rsidRPr="004149F2">
        <w:rPr>
          <w:rFonts w:ascii="Arial" w:hAnsi="Arial" w:cs="Arial"/>
          <w:sz w:val="24"/>
          <w:szCs w:val="24"/>
        </w:rPr>
        <w:t xml:space="preserve"> as it explains the reason </w:t>
      </w:r>
      <w:r w:rsidR="00F3612D" w:rsidRPr="004149F2">
        <w:rPr>
          <w:rFonts w:ascii="Arial" w:hAnsi="Arial" w:cs="Arial"/>
          <w:sz w:val="24"/>
          <w:szCs w:val="24"/>
        </w:rPr>
        <w:t xml:space="preserve">members of minority communities tend to experience discrimination, trauma, stigma, social exclusion and mental health problems compared to their “straight” counterparts. </w:t>
      </w:r>
      <w:r w:rsidR="00F66BF1" w:rsidRPr="004149F2">
        <w:rPr>
          <w:rFonts w:ascii="Arial" w:hAnsi="Arial" w:cs="Arial"/>
          <w:sz w:val="24"/>
          <w:szCs w:val="24"/>
        </w:rPr>
        <w:t>It also explains the importance of appreciating the identities of different individuals and group of individuals with the same identity as a way of encouraging tolerance and preserving their dignity.</w:t>
      </w:r>
    </w:p>
    <w:p w:rsidR="00DF0219" w:rsidRPr="004149F2" w:rsidRDefault="00E27253"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t>Significance of Identity</w:t>
      </w:r>
    </w:p>
    <w:p w:rsidR="00E27253" w:rsidRPr="004149F2" w:rsidRDefault="004479FB" w:rsidP="004149F2">
      <w:pPr>
        <w:spacing w:before="100" w:beforeAutospacing="1" w:after="100" w:afterAutospacing="1" w:line="480" w:lineRule="auto"/>
        <w:jc w:val="both"/>
        <w:rPr>
          <w:rFonts w:ascii="Arial" w:hAnsi="Arial" w:cs="Arial"/>
          <w:b/>
          <w:sz w:val="24"/>
          <w:szCs w:val="24"/>
        </w:rPr>
      </w:pPr>
      <w:r w:rsidRPr="004149F2">
        <w:rPr>
          <w:rFonts w:ascii="Arial" w:hAnsi="Arial" w:cs="Arial"/>
          <w:sz w:val="24"/>
          <w:szCs w:val="24"/>
        </w:rPr>
        <w:t xml:space="preserve">Taylor (1992) </w:t>
      </w:r>
      <w:r w:rsidR="005E3634" w:rsidRPr="004149F2">
        <w:rPr>
          <w:rFonts w:ascii="Arial" w:hAnsi="Arial" w:cs="Arial"/>
          <w:sz w:val="24"/>
          <w:szCs w:val="24"/>
        </w:rPr>
        <w:t>recognizes</w:t>
      </w:r>
      <w:r w:rsidRPr="004149F2">
        <w:rPr>
          <w:rFonts w:ascii="Arial" w:hAnsi="Arial" w:cs="Arial"/>
          <w:sz w:val="24"/>
          <w:szCs w:val="24"/>
        </w:rPr>
        <w:t xml:space="preserve"> the link between recognition and identity and defines identity simply as something like an individual’s understanding of who they are, and of what fundamentally defines them as a human being.  Taylor links identity to who we are and where we are coming from</w:t>
      </w:r>
      <w:r w:rsidR="005B3699" w:rsidRPr="004149F2">
        <w:rPr>
          <w:rFonts w:ascii="Arial" w:hAnsi="Arial" w:cs="Arial"/>
          <w:sz w:val="24"/>
          <w:szCs w:val="24"/>
        </w:rPr>
        <w:t xml:space="preserve"> </w:t>
      </w:r>
      <w:r w:rsidRPr="004149F2">
        <w:rPr>
          <w:rFonts w:ascii="Arial" w:hAnsi="Arial" w:cs="Arial"/>
          <w:sz w:val="24"/>
          <w:szCs w:val="24"/>
        </w:rPr>
        <w:t xml:space="preserve">(Taylor 1992, p. 33).  As such identity is the background against which an individual’s desires, opinions, aspirations and tastes make sense. </w:t>
      </w:r>
      <w:r w:rsidR="00786899" w:rsidRPr="004149F2">
        <w:rPr>
          <w:rFonts w:ascii="Arial" w:hAnsi="Arial" w:cs="Arial"/>
          <w:sz w:val="24"/>
          <w:szCs w:val="24"/>
        </w:rPr>
        <w:t xml:space="preserve">According to Heshmat (2014), identity relates to the basic values that </w:t>
      </w:r>
      <w:r w:rsidR="00786899" w:rsidRPr="004149F2">
        <w:rPr>
          <w:rFonts w:ascii="Arial" w:hAnsi="Arial" w:cs="Arial"/>
          <w:sz w:val="24"/>
          <w:szCs w:val="24"/>
        </w:rPr>
        <w:lastRenderedPageBreak/>
        <w:t xml:space="preserve">dictate the choices that people make. These choices in turn reflect who people are and what they value. </w:t>
      </w:r>
      <w:r w:rsidR="009775D8" w:rsidRPr="004149F2">
        <w:rPr>
          <w:rFonts w:ascii="Arial" w:hAnsi="Arial" w:cs="Arial"/>
          <w:sz w:val="24"/>
          <w:szCs w:val="24"/>
        </w:rPr>
        <w:t xml:space="preserve">Leary and Tangney (2012) defines identities as characteristics and traits, roles, social relations and social group membership that define who a person is. Identity can focus on the past, present or future, and identities together make up a person’s </w:t>
      </w:r>
      <w:r w:rsidR="00DC7048" w:rsidRPr="004149F2">
        <w:rPr>
          <w:rFonts w:ascii="Arial" w:hAnsi="Arial" w:cs="Arial"/>
          <w:sz w:val="24"/>
          <w:szCs w:val="24"/>
        </w:rPr>
        <w:t>self-concept</w:t>
      </w:r>
      <w:r w:rsidR="009775D8" w:rsidRPr="004149F2">
        <w:rPr>
          <w:rFonts w:ascii="Arial" w:hAnsi="Arial" w:cs="Arial"/>
          <w:sz w:val="24"/>
          <w:szCs w:val="24"/>
        </w:rPr>
        <w:t xml:space="preserve"> (Stets &amp; Burke, 2003). </w:t>
      </w:r>
    </w:p>
    <w:p w:rsidR="00B07182" w:rsidRPr="004149F2" w:rsidRDefault="00F77025"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The rise in the value of dignity has led to a situation where the equal dignity of all citizens is emphasized. More especially, emphasis has been placed on the </w:t>
      </w:r>
      <w:r w:rsidR="005E3634" w:rsidRPr="004149F2">
        <w:rPr>
          <w:rFonts w:ascii="Arial" w:hAnsi="Arial" w:cs="Arial"/>
          <w:sz w:val="24"/>
          <w:szCs w:val="24"/>
        </w:rPr>
        <w:t>equalization</w:t>
      </w:r>
      <w:r w:rsidRPr="004149F2">
        <w:rPr>
          <w:rFonts w:ascii="Arial" w:hAnsi="Arial" w:cs="Arial"/>
          <w:sz w:val="24"/>
          <w:szCs w:val="24"/>
        </w:rPr>
        <w:t xml:space="preserve"> of entitlements and rights of citizens and the avoidance, at all costs, of the existence of “first class” and “second class” citizens. Controversies, however, continue to surround the measures justified by the principle of equal citizenship. </w:t>
      </w:r>
    </w:p>
    <w:p w:rsidR="00952B04" w:rsidRPr="004149F2" w:rsidRDefault="006F5E45"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Two traditions (politics of equal dignity and </w:t>
      </w:r>
      <w:r w:rsidRPr="004149F2">
        <w:rPr>
          <w:rFonts w:ascii="Arial" w:hAnsi="Arial" w:cs="Arial"/>
          <w:iCs/>
          <w:sz w:val="24"/>
          <w:szCs w:val="24"/>
        </w:rPr>
        <w:t>politics of difference)</w:t>
      </w:r>
      <w:r w:rsidRPr="004149F2">
        <w:rPr>
          <w:rFonts w:ascii="Arial" w:hAnsi="Arial" w:cs="Arial"/>
          <w:i/>
          <w:iCs/>
          <w:sz w:val="24"/>
          <w:szCs w:val="24"/>
        </w:rPr>
        <w:t xml:space="preserve"> </w:t>
      </w:r>
      <w:r w:rsidRPr="004149F2">
        <w:rPr>
          <w:rFonts w:ascii="Arial" w:hAnsi="Arial" w:cs="Arial"/>
          <w:sz w:val="24"/>
          <w:szCs w:val="24"/>
        </w:rPr>
        <w:t>have argued for equal citizenship, albeit by taking positions that outwardly seem opposed to each other</w:t>
      </w:r>
      <w:r w:rsidR="00BC1C57" w:rsidRPr="004149F2">
        <w:rPr>
          <w:rFonts w:ascii="Arial" w:hAnsi="Arial" w:cs="Arial"/>
          <w:sz w:val="24"/>
          <w:szCs w:val="24"/>
        </w:rPr>
        <w:t xml:space="preserve"> (Ryan 2016)</w:t>
      </w:r>
      <w:r w:rsidRPr="004149F2">
        <w:rPr>
          <w:rFonts w:ascii="Arial" w:hAnsi="Arial" w:cs="Arial"/>
          <w:sz w:val="24"/>
          <w:szCs w:val="24"/>
        </w:rPr>
        <w:t>. The politics of equal dignity</w:t>
      </w:r>
      <w:r w:rsidR="000D5171" w:rsidRPr="004149F2">
        <w:rPr>
          <w:rFonts w:ascii="Arial" w:hAnsi="Arial" w:cs="Arial"/>
          <w:sz w:val="24"/>
          <w:szCs w:val="24"/>
        </w:rPr>
        <w:t xml:space="preserve"> focuses on universal potency (the recognition of universal human potential</w:t>
      </w:r>
      <w:r w:rsidR="000A3CE0" w:rsidRPr="004149F2">
        <w:rPr>
          <w:rFonts w:ascii="Arial" w:hAnsi="Arial" w:cs="Arial"/>
          <w:sz w:val="24"/>
          <w:szCs w:val="24"/>
        </w:rPr>
        <w:t xml:space="preserve"> or universal sameness</w:t>
      </w:r>
      <w:r w:rsidR="000D5171" w:rsidRPr="004149F2">
        <w:rPr>
          <w:rFonts w:ascii="Arial" w:hAnsi="Arial" w:cs="Arial"/>
          <w:sz w:val="24"/>
          <w:szCs w:val="24"/>
        </w:rPr>
        <w:t xml:space="preserve">). On the other hand, </w:t>
      </w:r>
      <w:r w:rsidR="000D5171" w:rsidRPr="004149F2">
        <w:rPr>
          <w:rFonts w:ascii="Arial" w:hAnsi="Arial" w:cs="Arial"/>
          <w:iCs/>
          <w:sz w:val="24"/>
          <w:szCs w:val="24"/>
        </w:rPr>
        <w:t xml:space="preserve">politics of difference </w:t>
      </w:r>
      <w:r w:rsidR="000A3CE0" w:rsidRPr="004149F2">
        <w:rPr>
          <w:rFonts w:ascii="Arial" w:hAnsi="Arial" w:cs="Arial"/>
          <w:iCs/>
          <w:sz w:val="24"/>
          <w:szCs w:val="24"/>
        </w:rPr>
        <w:t>focuses on the recognition of the unique identity of the individual or group (its distinctness from everyone else)</w:t>
      </w:r>
      <w:r w:rsidR="00BC1C57" w:rsidRPr="004149F2">
        <w:rPr>
          <w:rFonts w:ascii="Arial" w:hAnsi="Arial" w:cs="Arial"/>
          <w:iCs/>
          <w:sz w:val="24"/>
          <w:szCs w:val="24"/>
        </w:rPr>
        <w:t xml:space="preserve"> (</w:t>
      </w:r>
      <w:r w:rsidR="00BC1C57" w:rsidRPr="004149F2">
        <w:rPr>
          <w:rFonts w:ascii="Arial" w:hAnsi="Arial" w:cs="Arial"/>
          <w:sz w:val="24"/>
          <w:szCs w:val="24"/>
        </w:rPr>
        <w:t>Ryan 2016)</w:t>
      </w:r>
      <w:r w:rsidR="000A3CE0" w:rsidRPr="004149F2">
        <w:rPr>
          <w:rFonts w:ascii="Arial" w:hAnsi="Arial" w:cs="Arial"/>
          <w:iCs/>
          <w:sz w:val="24"/>
          <w:szCs w:val="24"/>
        </w:rPr>
        <w:t xml:space="preserve">. The politics of difference in this regard seeks to rediscover the lost uniqueness or lost particularities of an individual or group and resists any dominant identity of the individual or group. </w:t>
      </w:r>
      <w:r w:rsidR="00356D2F" w:rsidRPr="004149F2">
        <w:rPr>
          <w:rFonts w:ascii="Arial" w:hAnsi="Arial" w:cs="Arial"/>
          <w:sz w:val="24"/>
          <w:szCs w:val="24"/>
        </w:rPr>
        <w:t>Taylor</w:t>
      </w:r>
      <w:r w:rsidR="00521A2A" w:rsidRPr="004149F2">
        <w:rPr>
          <w:rFonts w:ascii="Arial" w:hAnsi="Arial" w:cs="Arial"/>
          <w:sz w:val="24"/>
          <w:szCs w:val="24"/>
        </w:rPr>
        <w:t xml:space="preserve"> (1992) holds the view</w:t>
      </w:r>
      <w:r w:rsidR="00356D2F" w:rsidRPr="004149F2">
        <w:rPr>
          <w:rFonts w:ascii="Arial" w:hAnsi="Arial" w:cs="Arial"/>
          <w:sz w:val="24"/>
          <w:szCs w:val="24"/>
        </w:rPr>
        <w:t xml:space="preserve"> that these two traditions </w:t>
      </w:r>
      <w:r w:rsidR="00BC1C57" w:rsidRPr="004149F2">
        <w:rPr>
          <w:rFonts w:ascii="Arial" w:hAnsi="Arial" w:cs="Arial"/>
          <w:sz w:val="24"/>
          <w:szCs w:val="24"/>
        </w:rPr>
        <w:t xml:space="preserve">not only </w:t>
      </w:r>
      <w:r w:rsidR="00521A2A" w:rsidRPr="004149F2">
        <w:rPr>
          <w:rFonts w:ascii="Arial" w:hAnsi="Arial" w:cs="Arial"/>
          <w:sz w:val="24"/>
          <w:szCs w:val="24"/>
        </w:rPr>
        <w:t xml:space="preserve">compatible </w:t>
      </w:r>
      <w:r w:rsidR="00BC1C57" w:rsidRPr="004149F2">
        <w:rPr>
          <w:rFonts w:ascii="Arial" w:hAnsi="Arial" w:cs="Arial"/>
          <w:sz w:val="24"/>
          <w:szCs w:val="24"/>
        </w:rPr>
        <w:t>but are also</w:t>
      </w:r>
      <w:r w:rsidR="00521A2A" w:rsidRPr="004149F2">
        <w:rPr>
          <w:rFonts w:ascii="Arial" w:hAnsi="Arial" w:cs="Arial"/>
          <w:sz w:val="24"/>
          <w:szCs w:val="24"/>
        </w:rPr>
        <w:t xml:space="preserve"> interwoven, at least to some level. Both traditions are concerned with identity and the implications it (identity) has for equality. Justly like people wish to be </w:t>
      </w:r>
      <w:r w:rsidR="005E3634" w:rsidRPr="004149F2">
        <w:rPr>
          <w:rFonts w:ascii="Arial" w:hAnsi="Arial" w:cs="Arial"/>
          <w:sz w:val="24"/>
          <w:szCs w:val="24"/>
        </w:rPr>
        <w:t>recognized</w:t>
      </w:r>
      <w:r w:rsidR="00521A2A" w:rsidRPr="004149F2">
        <w:rPr>
          <w:rFonts w:ascii="Arial" w:hAnsi="Arial" w:cs="Arial"/>
          <w:sz w:val="24"/>
          <w:szCs w:val="24"/>
        </w:rPr>
        <w:t xml:space="preserve"> as the equal of others, they also wish to be appreciated as particular persons or collective persons with their own identities or characters. </w:t>
      </w:r>
    </w:p>
    <w:p w:rsidR="00BC1C57" w:rsidRPr="004149F2" w:rsidRDefault="00521A2A"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lastRenderedPageBreak/>
        <w:t xml:space="preserve">In modern times, people face the risk of becoming “victims” of society or other people. The refusal to </w:t>
      </w:r>
      <w:r w:rsidR="005E3634" w:rsidRPr="004149F2">
        <w:rPr>
          <w:rFonts w:ascii="Arial" w:hAnsi="Arial" w:cs="Arial"/>
          <w:sz w:val="24"/>
          <w:szCs w:val="24"/>
        </w:rPr>
        <w:t>recognize</w:t>
      </w:r>
      <w:r w:rsidRPr="004149F2">
        <w:rPr>
          <w:rFonts w:ascii="Arial" w:hAnsi="Arial" w:cs="Arial"/>
          <w:sz w:val="24"/>
          <w:szCs w:val="24"/>
        </w:rPr>
        <w:t xml:space="preserve"> people’s uniqueness is basically taken to be a form of oppression. </w:t>
      </w:r>
      <w:r w:rsidR="00952B04" w:rsidRPr="004149F2">
        <w:rPr>
          <w:rFonts w:ascii="Arial" w:hAnsi="Arial" w:cs="Arial"/>
          <w:sz w:val="24"/>
          <w:szCs w:val="24"/>
        </w:rPr>
        <w:t>When the right to an identity is not defended, bigotry and abuse can flourish. Persons perceived to be different may end up being targets of violent attacks based on variables such as appearance, religion, gender, or sexuality (</w:t>
      </w:r>
      <w:r w:rsidR="00952B04" w:rsidRPr="004149F2">
        <w:rPr>
          <w:rFonts w:ascii="Arial" w:eastAsia="Times New Roman" w:hAnsi="Arial" w:cs="Arial"/>
          <w:bCs/>
          <w:kern w:val="36"/>
          <w:sz w:val="24"/>
          <w:szCs w:val="24"/>
          <w:lang w:eastAsia="en-GB"/>
        </w:rPr>
        <w:t>Amnesty International 2014)</w:t>
      </w:r>
      <w:r w:rsidR="00952B04" w:rsidRPr="004149F2">
        <w:rPr>
          <w:rFonts w:ascii="Arial" w:hAnsi="Arial" w:cs="Arial"/>
          <w:sz w:val="24"/>
          <w:szCs w:val="24"/>
        </w:rPr>
        <w:t xml:space="preserve">. On the other hand, when the right to identity is upheld, tolerance, mutual appreciation and chances of happiness are encouraged. </w:t>
      </w:r>
      <w:r w:rsidR="00B07182" w:rsidRPr="004149F2">
        <w:rPr>
          <w:rFonts w:ascii="Arial" w:hAnsi="Arial" w:cs="Arial"/>
          <w:sz w:val="24"/>
          <w:szCs w:val="24"/>
        </w:rPr>
        <w:t xml:space="preserve">According to Taylor (1992), since identity is partly shaped by membership of a given cultural group, a person’s sense of </w:t>
      </w:r>
      <w:r w:rsidR="00DC7048" w:rsidRPr="004149F2">
        <w:rPr>
          <w:rFonts w:ascii="Arial" w:hAnsi="Arial" w:cs="Arial"/>
          <w:sz w:val="24"/>
          <w:szCs w:val="24"/>
        </w:rPr>
        <w:t>self-worth</w:t>
      </w:r>
      <w:r w:rsidR="00B07182" w:rsidRPr="004149F2">
        <w:rPr>
          <w:rFonts w:ascii="Arial" w:hAnsi="Arial" w:cs="Arial"/>
          <w:sz w:val="24"/>
          <w:szCs w:val="24"/>
        </w:rPr>
        <w:t xml:space="preserve"> is heavily tied to the value other people assign to this group. If the group is demeaned or viewed with contempt, its members are likely to suffer real harm as a result. </w:t>
      </w:r>
      <w:r w:rsidR="00085DCD" w:rsidRPr="004149F2">
        <w:rPr>
          <w:rFonts w:ascii="Arial" w:hAnsi="Arial" w:cs="Arial"/>
          <w:sz w:val="24"/>
          <w:szCs w:val="24"/>
        </w:rPr>
        <w:t>In general, identity has played and indeed continues to play an important role in the advocacy for the rights of women and minority groups such as blacks and LGBT.</w:t>
      </w:r>
    </w:p>
    <w:p w:rsidR="00E710EA" w:rsidRPr="004149F2" w:rsidRDefault="00E710EA"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t>Contemporary Gender and Sexual Identity</w:t>
      </w:r>
    </w:p>
    <w:p w:rsidR="00E710EA" w:rsidRPr="004149F2" w:rsidRDefault="00E710EA" w:rsidP="004149F2">
      <w:pPr>
        <w:spacing w:before="100" w:beforeAutospacing="1" w:after="100" w:afterAutospacing="1" w:line="480" w:lineRule="auto"/>
        <w:jc w:val="both"/>
        <w:rPr>
          <w:rFonts w:ascii="Arial" w:hAnsi="Arial" w:cs="Arial"/>
          <w:color w:val="000000" w:themeColor="text1"/>
          <w:sz w:val="24"/>
          <w:szCs w:val="24"/>
        </w:rPr>
      </w:pPr>
      <w:r w:rsidRPr="004149F2">
        <w:rPr>
          <w:rFonts w:ascii="Arial" w:hAnsi="Arial" w:cs="Arial"/>
          <w:sz w:val="24"/>
          <w:szCs w:val="24"/>
        </w:rPr>
        <w:t xml:space="preserve">For a long time in the past, gender was based on the binary view of male versus female.  In her article titled </w:t>
      </w:r>
      <w:r w:rsidRPr="004149F2">
        <w:rPr>
          <w:rFonts w:ascii="Arial" w:hAnsi="Arial" w:cs="Arial"/>
          <w:i/>
          <w:sz w:val="24"/>
          <w:szCs w:val="24"/>
        </w:rPr>
        <w:t>Gender Trouble</w:t>
      </w:r>
      <w:r w:rsidRPr="004149F2">
        <w:rPr>
          <w:rFonts w:ascii="Arial" w:hAnsi="Arial" w:cs="Arial"/>
          <w:sz w:val="24"/>
          <w:szCs w:val="24"/>
        </w:rPr>
        <w:t xml:space="preserve"> Judith Butler (1990) challenged this traditional notion of gender and sexuality. According to Butler, far from being an essential quality or inherent identity determined by biology, gender is performed repeatedly, based on, and reinforced by societal norms (Butler 1990). In this respect, the repeated performance of gender creates the idea of gender itself </w:t>
      </w:r>
      <w:r w:rsidRPr="004149F2">
        <w:rPr>
          <w:rFonts w:ascii="Arial" w:hAnsi="Arial" w:cs="Arial"/>
          <w:color w:val="000000" w:themeColor="text1"/>
          <w:sz w:val="24"/>
          <w:szCs w:val="24"/>
        </w:rPr>
        <w:t xml:space="preserve">and the illusion of two essential and natural sexes. Therefore, rather than being men and women, people act as men and women and consequently create the categories of men and women (Morgenroth and Ryan </w:t>
      </w:r>
      <w:r w:rsidRPr="004149F2">
        <w:rPr>
          <w:rStyle w:val="cit"/>
          <w:rFonts w:ascii="Arial" w:hAnsi="Arial" w:cs="Arial"/>
          <w:color w:val="000000" w:themeColor="text1"/>
          <w:sz w:val="24"/>
          <w:szCs w:val="24"/>
        </w:rPr>
        <w:t>2018)</w:t>
      </w:r>
      <w:r w:rsidRPr="004149F2">
        <w:rPr>
          <w:rFonts w:ascii="Arial" w:hAnsi="Arial" w:cs="Arial"/>
          <w:color w:val="000000" w:themeColor="text1"/>
          <w:sz w:val="24"/>
          <w:szCs w:val="24"/>
        </w:rPr>
        <w:t xml:space="preserve">. Furthermore, if they fail to play out their gender right, </w:t>
      </w:r>
      <w:r w:rsidR="009C1542" w:rsidRPr="004149F2">
        <w:rPr>
          <w:rFonts w:ascii="Arial" w:hAnsi="Arial" w:cs="Arial"/>
          <w:color w:val="000000" w:themeColor="text1"/>
          <w:sz w:val="24"/>
          <w:szCs w:val="24"/>
        </w:rPr>
        <w:t xml:space="preserve">they face clear consequences. </w:t>
      </w:r>
    </w:p>
    <w:p w:rsidR="004F56F6" w:rsidRPr="004149F2" w:rsidRDefault="00E710EA" w:rsidP="004149F2">
      <w:pPr>
        <w:spacing w:before="100" w:beforeAutospacing="1" w:after="100" w:afterAutospacing="1" w:line="480" w:lineRule="auto"/>
        <w:jc w:val="both"/>
        <w:rPr>
          <w:rFonts w:ascii="Arial" w:hAnsi="Arial" w:cs="Arial"/>
          <w:color w:val="FF0000"/>
          <w:sz w:val="24"/>
          <w:szCs w:val="24"/>
        </w:rPr>
      </w:pPr>
      <w:r w:rsidRPr="004149F2">
        <w:rPr>
          <w:rFonts w:ascii="Arial" w:hAnsi="Arial" w:cs="Arial"/>
          <w:color w:val="000000" w:themeColor="text1"/>
          <w:sz w:val="24"/>
          <w:szCs w:val="24"/>
        </w:rPr>
        <w:lastRenderedPageBreak/>
        <w:t xml:space="preserve">Based on Bultler’s argument, gender is a social construct that is an act of doing. </w:t>
      </w:r>
      <w:r w:rsidR="004F56F6" w:rsidRPr="004149F2">
        <w:rPr>
          <w:rFonts w:ascii="Arial" w:hAnsi="Arial" w:cs="Arial"/>
          <w:color w:val="000000" w:themeColor="text1"/>
          <w:sz w:val="24"/>
          <w:szCs w:val="24"/>
        </w:rPr>
        <w:t xml:space="preserve">In agreement, Horward (2000) notes that gender identities have been conceived as constructed achievements or gender schemas. </w:t>
      </w:r>
      <w:r w:rsidRPr="004149F2">
        <w:rPr>
          <w:rFonts w:ascii="Arial" w:hAnsi="Arial" w:cs="Arial"/>
          <w:color w:val="000000" w:themeColor="text1"/>
          <w:sz w:val="24"/>
          <w:szCs w:val="24"/>
        </w:rPr>
        <w:t xml:space="preserve">While gender and sex are normally taken to mean the same thing in society, this according to Bulter may not always be the case (University of British Columbia 2017). </w:t>
      </w:r>
      <w:r w:rsidR="004F56F6" w:rsidRPr="004149F2">
        <w:rPr>
          <w:rFonts w:ascii="Arial" w:hAnsi="Arial" w:cs="Arial"/>
          <w:color w:val="000000" w:themeColor="text1"/>
          <w:sz w:val="24"/>
          <w:szCs w:val="24"/>
        </w:rPr>
        <w:t xml:space="preserve">Gender identities revolve around the perception of one’s self as being male or female, and internalizing prescriptions and proscriptions of </w:t>
      </w:r>
      <w:r w:rsidR="005E3634" w:rsidRPr="004149F2">
        <w:rPr>
          <w:rFonts w:ascii="Arial" w:hAnsi="Arial" w:cs="Arial"/>
          <w:color w:val="000000" w:themeColor="text1"/>
          <w:sz w:val="24"/>
          <w:szCs w:val="24"/>
        </w:rPr>
        <w:t>behaviors</w:t>
      </w:r>
      <w:r w:rsidR="004F56F6" w:rsidRPr="004149F2">
        <w:rPr>
          <w:rFonts w:ascii="Arial" w:hAnsi="Arial" w:cs="Arial"/>
          <w:color w:val="000000" w:themeColor="text1"/>
          <w:sz w:val="24"/>
          <w:szCs w:val="24"/>
        </w:rPr>
        <w:t xml:space="preserve"> culturally deemed appropriate to these self-preconceptions. Whether socially constructed or gender schemas, gender identities are thought to be learned through early </w:t>
      </w:r>
      <w:r w:rsidR="005E3634" w:rsidRPr="004149F2">
        <w:rPr>
          <w:rFonts w:ascii="Arial" w:hAnsi="Arial" w:cs="Arial"/>
          <w:color w:val="000000" w:themeColor="text1"/>
          <w:sz w:val="24"/>
          <w:szCs w:val="24"/>
        </w:rPr>
        <w:t>socialization</w:t>
      </w:r>
      <w:r w:rsidR="004F56F6" w:rsidRPr="004149F2">
        <w:rPr>
          <w:rFonts w:ascii="Arial" w:hAnsi="Arial" w:cs="Arial"/>
          <w:color w:val="000000" w:themeColor="text1"/>
          <w:sz w:val="24"/>
          <w:szCs w:val="24"/>
        </w:rPr>
        <w:t xml:space="preserve"> and reinforced and enacted throughout one’s life span. Both perspectives also hold that gender is a social category and therefore gender identity has a lot to do with personality (Horward 2000). </w:t>
      </w:r>
      <w:r w:rsidRPr="004149F2">
        <w:rPr>
          <w:rFonts w:ascii="Arial" w:hAnsi="Arial" w:cs="Arial"/>
          <w:color w:val="000000" w:themeColor="text1"/>
          <w:sz w:val="24"/>
          <w:szCs w:val="24"/>
        </w:rPr>
        <w:t>A person can</w:t>
      </w:r>
      <w:r w:rsidR="004F56F6" w:rsidRPr="004149F2">
        <w:rPr>
          <w:rFonts w:ascii="Arial" w:hAnsi="Arial" w:cs="Arial"/>
          <w:color w:val="000000" w:themeColor="text1"/>
          <w:sz w:val="24"/>
          <w:szCs w:val="24"/>
        </w:rPr>
        <w:t xml:space="preserve"> </w:t>
      </w:r>
      <w:r w:rsidRPr="004149F2">
        <w:rPr>
          <w:rFonts w:ascii="Arial" w:hAnsi="Arial" w:cs="Arial"/>
          <w:color w:val="000000" w:themeColor="text1"/>
          <w:sz w:val="24"/>
          <w:szCs w:val="24"/>
        </w:rPr>
        <w:t xml:space="preserve">be born a man but identify with the feminine. At the same time, female and male sexes should not be inferred to be the same for gender since gender can be male, female, an </w:t>
      </w:r>
      <w:r w:rsidR="005E3634" w:rsidRPr="004149F2">
        <w:rPr>
          <w:rFonts w:ascii="Arial" w:hAnsi="Arial" w:cs="Arial"/>
          <w:color w:val="000000" w:themeColor="text1"/>
          <w:sz w:val="24"/>
          <w:szCs w:val="24"/>
        </w:rPr>
        <w:t>in-between</w:t>
      </w:r>
      <w:r w:rsidRPr="004149F2">
        <w:rPr>
          <w:rFonts w:ascii="Arial" w:hAnsi="Arial" w:cs="Arial"/>
          <w:color w:val="000000" w:themeColor="text1"/>
          <w:sz w:val="24"/>
          <w:szCs w:val="24"/>
        </w:rPr>
        <w:t>, or neither male nor female (University of British Columbia 2017). As such a person should define their own</w:t>
      </w:r>
      <w:r w:rsidRPr="004149F2">
        <w:rPr>
          <w:rFonts w:ascii="Arial" w:hAnsi="Arial" w:cs="Arial"/>
          <w:sz w:val="24"/>
          <w:szCs w:val="24"/>
        </w:rPr>
        <w:t xml:space="preserve"> gender and not society.  In the modern day, a person can be born female and yet identify themselves as being gender fluid (flexible about their gender identity) (University of British Columbia 2017). </w:t>
      </w:r>
    </w:p>
    <w:p w:rsidR="00712B25" w:rsidRPr="004149F2" w:rsidRDefault="00990122"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t>Recent Development in</w:t>
      </w:r>
      <w:r w:rsidR="006331D6" w:rsidRPr="004149F2">
        <w:rPr>
          <w:rFonts w:ascii="Arial" w:hAnsi="Arial" w:cs="Arial"/>
          <w:b/>
          <w:sz w:val="24"/>
          <w:szCs w:val="24"/>
        </w:rPr>
        <w:t xml:space="preserve"> the </w:t>
      </w:r>
      <w:r w:rsidR="005E3634" w:rsidRPr="004149F2">
        <w:rPr>
          <w:rFonts w:ascii="Arial" w:hAnsi="Arial" w:cs="Arial"/>
          <w:b/>
          <w:sz w:val="24"/>
          <w:szCs w:val="24"/>
        </w:rPr>
        <w:t>Counseling</w:t>
      </w:r>
      <w:r w:rsidR="006331D6" w:rsidRPr="004149F2">
        <w:rPr>
          <w:rFonts w:ascii="Arial" w:hAnsi="Arial" w:cs="Arial"/>
          <w:b/>
          <w:sz w:val="24"/>
          <w:szCs w:val="24"/>
        </w:rPr>
        <w:t xml:space="preserve"> </w:t>
      </w:r>
      <w:r w:rsidRPr="004149F2">
        <w:rPr>
          <w:rFonts w:ascii="Arial" w:hAnsi="Arial" w:cs="Arial"/>
          <w:b/>
          <w:sz w:val="24"/>
          <w:szCs w:val="24"/>
        </w:rPr>
        <w:t>Field</w:t>
      </w:r>
    </w:p>
    <w:p w:rsidR="006576A3" w:rsidRPr="004149F2" w:rsidRDefault="006576A3"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According to the American Psychological Association (2012), sexual orientation relates to the sex of those to whom a person is romantically and sexually attracted. The terms “gay” and “lesbian” refer to persons attracted to members of the same sex. The term “bisexual” refers to people who are attracted to members of both sexes. While these terms are widely used, sexual orientation exists on a continuum </w:t>
      </w:r>
      <w:r w:rsidRPr="004149F2">
        <w:rPr>
          <w:rFonts w:ascii="Arial" w:hAnsi="Arial" w:cs="Arial"/>
          <w:sz w:val="24"/>
          <w:szCs w:val="24"/>
        </w:rPr>
        <w:lastRenderedPageBreak/>
        <w:t>and persons described or perceived to be LGB (lesbian, gay, and bisexual) may identify in different ways (D’Augelli, 1994; American Psychological Association 2012).</w:t>
      </w:r>
    </w:p>
    <w:p w:rsidR="00587316" w:rsidRPr="004149F2" w:rsidRDefault="006576A3"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Many psychologists have expressed their views in relation to the term LGBT (lesbian, gay, bisexual and transgender). According to some experts, several groups of persons such as the asexual, transgender, intersex, queer, questioning, 2-spirited and those in other non-traditional relationships are not included in the term and that the term is too limiting (Queer Voices 2016). Consequently, many such people do not feel able to visit mainstream </w:t>
      </w:r>
      <w:r w:rsidR="005E3634" w:rsidRPr="004149F2">
        <w:rPr>
          <w:rFonts w:ascii="Arial" w:hAnsi="Arial" w:cs="Arial"/>
          <w:sz w:val="24"/>
          <w:szCs w:val="24"/>
        </w:rPr>
        <w:t>counseling</w:t>
      </w:r>
      <w:r w:rsidRPr="004149F2">
        <w:rPr>
          <w:rFonts w:ascii="Arial" w:hAnsi="Arial" w:cs="Arial"/>
          <w:sz w:val="24"/>
          <w:szCs w:val="24"/>
        </w:rPr>
        <w:t xml:space="preserve"> </w:t>
      </w:r>
      <w:r w:rsidR="005E3634" w:rsidRPr="004149F2">
        <w:rPr>
          <w:rFonts w:ascii="Arial" w:hAnsi="Arial" w:cs="Arial"/>
          <w:sz w:val="24"/>
          <w:szCs w:val="24"/>
        </w:rPr>
        <w:t>organizations</w:t>
      </w:r>
      <w:r w:rsidRPr="004149F2">
        <w:rPr>
          <w:rFonts w:ascii="Arial" w:hAnsi="Arial" w:cs="Arial"/>
          <w:sz w:val="24"/>
          <w:szCs w:val="24"/>
        </w:rPr>
        <w:t xml:space="preserve"> and would not feel welcome at LGBT </w:t>
      </w:r>
      <w:r w:rsidR="005E3634" w:rsidRPr="004149F2">
        <w:rPr>
          <w:rFonts w:ascii="Arial" w:hAnsi="Arial" w:cs="Arial"/>
          <w:sz w:val="24"/>
          <w:szCs w:val="24"/>
        </w:rPr>
        <w:t>counseling</w:t>
      </w:r>
      <w:r w:rsidRPr="004149F2">
        <w:rPr>
          <w:rFonts w:ascii="Arial" w:hAnsi="Arial" w:cs="Arial"/>
          <w:sz w:val="24"/>
          <w:szCs w:val="24"/>
        </w:rPr>
        <w:t xml:space="preserve"> </w:t>
      </w:r>
      <w:r w:rsidR="005E3634" w:rsidRPr="004149F2">
        <w:rPr>
          <w:rFonts w:ascii="Arial" w:hAnsi="Arial" w:cs="Arial"/>
          <w:sz w:val="24"/>
          <w:szCs w:val="24"/>
        </w:rPr>
        <w:t>organizations</w:t>
      </w:r>
      <w:r w:rsidRPr="004149F2">
        <w:rPr>
          <w:rFonts w:ascii="Arial" w:hAnsi="Arial" w:cs="Arial"/>
          <w:sz w:val="24"/>
          <w:szCs w:val="24"/>
        </w:rPr>
        <w:t xml:space="preserve"> (Queer Voices 2016). A more inclusive and all-encompassing term than LGBT is DSG (Diverse Sexuality and Gender) since it breaks down the labels within the DSG community such as to give implication that people are just people and there is nothing wrong with being different (Middleton 2014). </w:t>
      </w:r>
    </w:p>
    <w:p w:rsidR="002F42D2" w:rsidRPr="004149F2" w:rsidRDefault="002F42D2"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Another development in the field of counseling relates to the view by the American Psychological Association’s (APA) and Royal College of Psychiatrists (RCP) that conversion therapy for persons who want to change their sexual orientation is potentially harmful and poses a risk to persons who seek to change their sexual orientation (Evangelical Alliance (2015). Based on a memorandum, the two organizations expressed the view that efforts to try to alter sexual orientation through psychological therapies are both potentially harmful and unethical. This effectively prevents counseling and medical professionals from recommending such therapies (Evangelical Alliance 2015).  The memorandum seems to ignore the individuals’ </w:t>
      </w:r>
      <w:r w:rsidRPr="004149F2">
        <w:rPr>
          <w:rFonts w:ascii="Arial" w:hAnsi="Arial" w:cs="Arial"/>
          <w:sz w:val="24"/>
          <w:szCs w:val="24"/>
        </w:rPr>
        <w:lastRenderedPageBreak/>
        <w:t>freedoms and rights to seek therapy for what they consider to be unwanted same-sex attraction (Evangelical Alliance 2015).</w:t>
      </w:r>
    </w:p>
    <w:p w:rsidR="00587316" w:rsidRPr="004149F2" w:rsidRDefault="006576A3" w:rsidP="004149F2">
      <w:pPr>
        <w:spacing w:before="100" w:beforeAutospacing="1" w:after="100" w:afterAutospacing="1" w:line="480" w:lineRule="auto"/>
        <w:rPr>
          <w:rFonts w:ascii="Arial" w:hAnsi="Arial" w:cs="Arial"/>
          <w:b/>
          <w:sz w:val="24"/>
          <w:szCs w:val="24"/>
        </w:rPr>
      </w:pPr>
      <w:r w:rsidRPr="004149F2">
        <w:rPr>
          <w:rFonts w:ascii="Arial" w:hAnsi="Arial" w:cs="Arial"/>
          <w:b/>
          <w:sz w:val="24"/>
          <w:szCs w:val="24"/>
        </w:rPr>
        <w:t>The ‘Psychological’ Profession’s Relationship with the GSD</w:t>
      </w:r>
      <w:r w:rsidR="006331D6" w:rsidRPr="004149F2">
        <w:rPr>
          <w:rFonts w:ascii="Arial" w:hAnsi="Arial" w:cs="Arial"/>
          <w:b/>
          <w:sz w:val="24"/>
          <w:szCs w:val="24"/>
        </w:rPr>
        <w:t xml:space="preserve"> </w:t>
      </w:r>
    </w:p>
    <w:p w:rsidR="00AA2BD3" w:rsidRPr="004149F2" w:rsidRDefault="00867F01" w:rsidP="004149F2">
      <w:pPr>
        <w:spacing w:before="100" w:beforeAutospacing="1" w:after="100" w:afterAutospacing="1" w:line="480" w:lineRule="auto"/>
        <w:jc w:val="both"/>
        <w:rPr>
          <w:rStyle w:val="Emphasis"/>
          <w:rFonts w:ascii="Arial" w:hAnsi="Arial" w:cs="Arial"/>
          <w:i w:val="0"/>
          <w:sz w:val="24"/>
          <w:szCs w:val="24"/>
        </w:rPr>
      </w:pPr>
      <w:r w:rsidRPr="004149F2">
        <w:rPr>
          <w:rFonts w:ascii="Arial" w:hAnsi="Arial" w:cs="Arial"/>
          <w:sz w:val="24"/>
          <w:szCs w:val="24"/>
        </w:rPr>
        <w:t>The rela</w:t>
      </w:r>
      <w:r w:rsidR="006576A3" w:rsidRPr="004149F2">
        <w:rPr>
          <w:rFonts w:ascii="Arial" w:hAnsi="Arial" w:cs="Arial"/>
          <w:sz w:val="24"/>
          <w:szCs w:val="24"/>
        </w:rPr>
        <w:t>tionship between the “psychological</w:t>
      </w:r>
      <w:r w:rsidRPr="004149F2">
        <w:rPr>
          <w:rFonts w:ascii="Arial" w:hAnsi="Arial" w:cs="Arial"/>
          <w:sz w:val="24"/>
          <w:szCs w:val="24"/>
        </w:rPr>
        <w:t>” profession and DSG has changed over time. As noted by Drescher (2009), in the early 20</w:t>
      </w:r>
      <w:r w:rsidRPr="004149F2">
        <w:rPr>
          <w:rFonts w:ascii="Arial" w:hAnsi="Arial" w:cs="Arial"/>
          <w:sz w:val="24"/>
          <w:szCs w:val="24"/>
          <w:vertAlign w:val="superscript"/>
        </w:rPr>
        <w:t>th</w:t>
      </w:r>
      <w:r w:rsidRPr="004149F2">
        <w:rPr>
          <w:rFonts w:ascii="Arial" w:hAnsi="Arial" w:cs="Arial"/>
          <w:sz w:val="24"/>
          <w:szCs w:val="24"/>
        </w:rPr>
        <w:t xml:space="preserve"> century, psychiatrists mostly viewed homosexuality as pathological. In the </w:t>
      </w:r>
      <w:r w:rsidR="00DC7048" w:rsidRPr="004149F2">
        <w:rPr>
          <w:rFonts w:ascii="Arial" w:hAnsi="Arial" w:cs="Arial"/>
          <w:sz w:val="24"/>
          <w:szCs w:val="24"/>
        </w:rPr>
        <w:t>mid-1900s</w:t>
      </w:r>
      <w:r w:rsidRPr="004149F2">
        <w:rPr>
          <w:rFonts w:ascii="Arial" w:hAnsi="Arial" w:cs="Arial"/>
          <w:sz w:val="24"/>
          <w:szCs w:val="24"/>
        </w:rPr>
        <w:t xml:space="preserve">, psychiatrists, psychologists and physicians made attempts to cure and change homosexuality. In 1952, in its first edition of the </w:t>
      </w:r>
      <w:r w:rsidRPr="004149F2">
        <w:rPr>
          <w:rStyle w:val="Emphasis"/>
          <w:rFonts w:ascii="Arial" w:hAnsi="Arial" w:cs="Arial"/>
          <w:sz w:val="24"/>
          <w:szCs w:val="24"/>
        </w:rPr>
        <w:t>Diagnostic and Statistical Manual</w:t>
      </w:r>
      <w:r w:rsidRPr="004149F2">
        <w:rPr>
          <w:rFonts w:ascii="Arial" w:hAnsi="Arial" w:cs="Arial"/>
          <w:sz w:val="24"/>
          <w:szCs w:val="24"/>
        </w:rPr>
        <w:t xml:space="preserve"> (DSM-I), the American Psychological Association (APA) considered homosexuality as a sociopathic personality disturbance</w:t>
      </w:r>
      <w:r w:rsidR="00EA0E76" w:rsidRPr="004149F2">
        <w:rPr>
          <w:rFonts w:ascii="Arial" w:hAnsi="Arial" w:cs="Arial"/>
          <w:sz w:val="24"/>
          <w:szCs w:val="24"/>
        </w:rPr>
        <w:t xml:space="preserve"> (Moleiro and Pinto </w:t>
      </w:r>
      <w:r w:rsidR="00EA0E76" w:rsidRPr="004149F2">
        <w:rPr>
          <w:rStyle w:val="cit"/>
          <w:rFonts w:ascii="Arial" w:hAnsi="Arial" w:cs="Arial"/>
          <w:sz w:val="24"/>
          <w:szCs w:val="24"/>
        </w:rPr>
        <w:t>2015)</w:t>
      </w:r>
      <w:r w:rsidRPr="004149F2">
        <w:rPr>
          <w:rFonts w:ascii="Arial" w:hAnsi="Arial" w:cs="Arial"/>
          <w:sz w:val="24"/>
          <w:szCs w:val="24"/>
        </w:rPr>
        <w:t xml:space="preserve">. In 1968, the Association reclassified homosexuality in DSM II as a sexual deviation. It is in 1973 that APA removed homosexuality from the </w:t>
      </w:r>
      <w:r w:rsidRPr="004149F2">
        <w:rPr>
          <w:rStyle w:val="Emphasis"/>
          <w:rFonts w:ascii="Arial" w:hAnsi="Arial" w:cs="Arial"/>
          <w:i w:val="0"/>
          <w:sz w:val="24"/>
          <w:szCs w:val="24"/>
        </w:rPr>
        <w:t xml:space="preserve">Diagnostic and Statistical Manual. </w:t>
      </w:r>
      <w:r w:rsidR="003B5CF7" w:rsidRPr="004149F2">
        <w:rPr>
          <w:rStyle w:val="Emphasis"/>
          <w:rFonts w:ascii="Arial" w:hAnsi="Arial" w:cs="Arial"/>
          <w:i w:val="0"/>
          <w:sz w:val="24"/>
          <w:szCs w:val="24"/>
        </w:rPr>
        <w:t xml:space="preserve">As noted by </w:t>
      </w:r>
      <w:r w:rsidR="003B5CF7" w:rsidRPr="004149F2">
        <w:rPr>
          <w:rFonts w:ascii="Arial" w:hAnsi="Arial" w:cs="Arial"/>
          <w:sz w:val="24"/>
          <w:szCs w:val="24"/>
        </w:rPr>
        <w:t xml:space="preserve">Drescher (2009), </w:t>
      </w:r>
      <w:r w:rsidR="003B5CF7" w:rsidRPr="004149F2">
        <w:rPr>
          <w:rStyle w:val="Emphasis"/>
          <w:rFonts w:ascii="Arial" w:hAnsi="Arial" w:cs="Arial"/>
          <w:i w:val="0"/>
          <w:sz w:val="24"/>
          <w:szCs w:val="24"/>
        </w:rPr>
        <w:t xml:space="preserve">the removal of homosexuality from the list of mental illnesses as maintained by APA was prompted by lesbian and gay activism and the group’s advocacy efforts within the Association. </w:t>
      </w:r>
    </w:p>
    <w:p w:rsidR="001B35DB" w:rsidRPr="004149F2" w:rsidRDefault="00BE42FB" w:rsidP="004149F2">
      <w:pPr>
        <w:spacing w:before="100" w:beforeAutospacing="1" w:after="100" w:afterAutospacing="1" w:line="480" w:lineRule="auto"/>
        <w:jc w:val="both"/>
        <w:rPr>
          <w:rFonts w:ascii="Arial" w:hAnsi="Arial" w:cs="Arial"/>
          <w:i/>
          <w:sz w:val="24"/>
          <w:szCs w:val="24"/>
        </w:rPr>
      </w:pPr>
      <w:r w:rsidRPr="004149F2">
        <w:rPr>
          <w:rStyle w:val="Emphasis"/>
          <w:rFonts w:ascii="Arial" w:hAnsi="Arial" w:cs="Arial"/>
          <w:i w:val="0"/>
          <w:sz w:val="24"/>
          <w:szCs w:val="24"/>
        </w:rPr>
        <w:t>With the removal of “homosexuality” diagnosis came the diagnosis of</w:t>
      </w:r>
      <w:r w:rsidRPr="004149F2">
        <w:rPr>
          <w:rFonts w:ascii="Arial" w:hAnsi="Arial" w:cs="Arial"/>
          <w:sz w:val="24"/>
          <w:szCs w:val="24"/>
        </w:rPr>
        <w:t xml:space="preserve"> “sexual orientation disturbance,” and later “ego dystonic homosexuality”</w:t>
      </w:r>
      <w:r w:rsidR="00EA0E76" w:rsidRPr="004149F2">
        <w:rPr>
          <w:rFonts w:ascii="Arial" w:hAnsi="Arial" w:cs="Arial"/>
          <w:sz w:val="24"/>
          <w:szCs w:val="24"/>
        </w:rPr>
        <w:t xml:space="preserve"> (Moleiro and Pinto </w:t>
      </w:r>
      <w:r w:rsidR="00EA0E76" w:rsidRPr="004149F2">
        <w:rPr>
          <w:rStyle w:val="cit"/>
          <w:rFonts w:ascii="Arial" w:hAnsi="Arial" w:cs="Arial"/>
          <w:sz w:val="24"/>
          <w:szCs w:val="24"/>
        </w:rPr>
        <w:t>2015)</w:t>
      </w:r>
      <w:r w:rsidRPr="004149F2">
        <w:rPr>
          <w:rFonts w:ascii="Arial" w:hAnsi="Arial" w:cs="Arial"/>
          <w:sz w:val="24"/>
          <w:szCs w:val="24"/>
        </w:rPr>
        <w:t xml:space="preserve">. This latter inclusion in DSM III served to </w:t>
      </w:r>
      <w:r w:rsidR="005E3634" w:rsidRPr="004149F2">
        <w:rPr>
          <w:rFonts w:ascii="Arial" w:hAnsi="Arial" w:cs="Arial"/>
          <w:sz w:val="24"/>
          <w:szCs w:val="24"/>
        </w:rPr>
        <w:t>legitimize</w:t>
      </w:r>
      <w:r w:rsidRPr="004149F2">
        <w:rPr>
          <w:rFonts w:ascii="Arial" w:hAnsi="Arial" w:cs="Arial"/>
          <w:sz w:val="24"/>
          <w:szCs w:val="24"/>
        </w:rPr>
        <w:t xml:space="preserve"> the application practice of sexual “conversion” therapies among those with same sex attractions and desired to alter their sexual orientation (Drescher 2009). The elimination of psychiatric diagnoses related to sexual orientation from the </w:t>
      </w:r>
      <w:r w:rsidRPr="004149F2">
        <w:rPr>
          <w:rStyle w:val="Emphasis"/>
          <w:rFonts w:ascii="Arial" w:hAnsi="Arial" w:cs="Arial"/>
          <w:i w:val="0"/>
          <w:sz w:val="24"/>
          <w:szCs w:val="24"/>
        </w:rPr>
        <w:t>Diagnostic and Statistical Manual ushered changes in the wide cultural beliefs in relation to homosexuality and led to c</w:t>
      </w:r>
      <w:r w:rsidR="00EA0E76" w:rsidRPr="004149F2">
        <w:rPr>
          <w:rStyle w:val="Emphasis"/>
          <w:rFonts w:ascii="Arial" w:hAnsi="Arial" w:cs="Arial"/>
          <w:i w:val="0"/>
          <w:sz w:val="24"/>
          <w:szCs w:val="24"/>
        </w:rPr>
        <w:t>ivil rights quest for equality.</w:t>
      </w:r>
      <w:r w:rsidR="003C7594" w:rsidRPr="004149F2">
        <w:rPr>
          <w:rStyle w:val="Emphasis"/>
          <w:rFonts w:ascii="Arial" w:hAnsi="Arial" w:cs="Arial"/>
          <w:i w:val="0"/>
          <w:sz w:val="24"/>
          <w:szCs w:val="24"/>
        </w:rPr>
        <w:t xml:space="preserve"> In 1992, the World health </w:t>
      </w:r>
      <w:r w:rsidR="005E3634" w:rsidRPr="004149F2">
        <w:rPr>
          <w:rStyle w:val="Emphasis"/>
          <w:rFonts w:ascii="Arial" w:hAnsi="Arial" w:cs="Arial"/>
          <w:i w:val="0"/>
          <w:sz w:val="24"/>
          <w:szCs w:val="24"/>
        </w:rPr>
        <w:t>Organization</w:t>
      </w:r>
      <w:r w:rsidR="003C7594" w:rsidRPr="004149F2">
        <w:rPr>
          <w:rStyle w:val="Emphasis"/>
          <w:rFonts w:ascii="Arial" w:hAnsi="Arial" w:cs="Arial"/>
          <w:i w:val="0"/>
          <w:sz w:val="24"/>
          <w:szCs w:val="24"/>
        </w:rPr>
        <w:t xml:space="preserve"> </w:t>
      </w:r>
      <w:r w:rsidR="00EA0E76" w:rsidRPr="004149F2">
        <w:rPr>
          <w:rStyle w:val="Emphasis"/>
          <w:rFonts w:ascii="Arial" w:hAnsi="Arial" w:cs="Arial"/>
          <w:i w:val="0"/>
          <w:sz w:val="24"/>
          <w:szCs w:val="24"/>
        </w:rPr>
        <w:t xml:space="preserve">(WHO) </w:t>
      </w:r>
      <w:r w:rsidR="003C7594" w:rsidRPr="004149F2">
        <w:rPr>
          <w:rStyle w:val="Emphasis"/>
          <w:rFonts w:ascii="Arial" w:hAnsi="Arial" w:cs="Arial"/>
          <w:i w:val="0"/>
          <w:sz w:val="24"/>
          <w:szCs w:val="24"/>
        </w:rPr>
        <w:t xml:space="preserve">removed </w:t>
      </w:r>
      <w:r w:rsidR="00EA0E76" w:rsidRPr="004149F2">
        <w:rPr>
          <w:rStyle w:val="Emphasis"/>
          <w:rFonts w:ascii="Arial" w:hAnsi="Arial" w:cs="Arial"/>
          <w:i w:val="0"/>
          <w:sz w:val="24"/>
          <w:szCs w:val="24"/>
        </w:rPr>
        <w:t>“</w:t>
      </w:r>
      <w:r w:rsidR="003C7594" w:rsidRPr="004149F2">
        <w:rPr>
          <w:rStyle w:val="Emphasis"/>
          <w:rFonts w:ascii="Arial" w:hAnsi="Arial" w:cs="Arial"/>
          <w:i w:val="0"/>
          <w:sz w:val="24"/>
          <w:szCs w:val="24"/>
        </w:rPr>
        <w:t>homosexuality</w:t>
      </w:r>
      <w:r w:rsidR="00EA0E76" w:rsidRPr="004149F2">
        <w:rPr>
          <w:rStyle w:val="Emphasis"/>
          <w:rFonts w:ascii="Arial" w:hAnsi="Arial" w:cs="Arial"/>
          <w:i w:val="0"/>
          <w:sz w:val="24"/>
          <w:szCs w:val="24"/>
        </w:rPr>
        <w:t>”</w:t>
      </w:r>
      <w:r w:rsidR="003C7594" w:rsidRPr="004149F2">
        <w:rPr>
          <w:rStyle w:val="Emphasis"/>
          <w:rFonts w:ascii="Arial" w:hAnsi="Arial" w:cs="Arial"/>
          <w:i w:val="0"/>
          <w:sz w:val="24"/>
          <w:szCs w:val="24"/>
        </w:rPr>
        <w:t xml:space="preserve"> from the </w:t>
      </w:r>
      <w:r w:rsidR="00EA0E76" w:rsidRPr="004149F2">
        <w:rPr>
          <w:rStyle w:val="Emphasis"/>
          <w:rFonts w:ascii="Arial" w:hAnsi="Arial" w:cs="Arial"/>
          <w:i w:val="0"/>
          <w:sz w:val="24"/>
          <w:szCs w:val="24"/>
        </w:rPr>
        <w:t xml:space="preserve">International Classification of Diseases </w:t>
      </w:r>
      <w:r w:rsidR="003C7594" w:rsidRPr="004149F2">
        <w:rPr>
          <w:rStyle w:val="Emphasis"/>
          <w:rFonts w:ascii="Arial" w:hAnsi="Arial" w:cs="Arial"/>
          <w:i w:val="0"/>
          <w:sz w:val="24"/>
          <w:szCs w:val="24"/>
        </w:rPr>
        <w:t>(I</w:t>
      </w:r>
      <w:r w:rsidR="00EA0E76" w:rsidRPr="004149F2">
        <w:rPr>
          <w:rStyle w:val="Emphasis"/>
          <w:rFonts w:ascii="Arial" w:hAnsi="Arial" w:cs="Arial"/>
          <w:i w:val="0"/>
          <w:sz w:val="24"/>
          <w:szCs w:val="24"/>
        </w:rPr>
        <w:t>C</w:t>
      </w:r>
      <w:r w:rsidR="003C7594" w:rsidRPr="004149F2">
        <w:rPr>
          <w:rStyle w:val="Emphasis"/>
          <w:rFonts w:ascii="Arial" w:hAnsi="Arial" w:cs="Arial"/>
          <w:i w:val="0"/>
          <w:sz w:val="24"/>
          <w:szCs w:val="24"/>
        </w:rPr>
        <w:t>D-10</w:t>
      </w:r>
      <w:r w:rsidR="00EA0E76" w:rsidRPr="004149F2">
        <w:rPr>
          <w:rStyle w:val="Emphasis"/>
          <w:rFonts w:ascii="Arial" w:hAnsi="Arial" w:cs="Arial"/>
          <w:i w:val="0"/>
          <w:sz w:val="24"/>
          <w:szCs w:val="24"/>
        </w:rPr>
        <w:t xml:space="preserve">) (WHO </w:t>
      </w:r>
      <w:r w:rsidR="00EA0E76" w:rsidRPr="004149F2">
        <w:rPr>
          <w:rStyle w:val="Emphasis"/>
          <w:rFonts w:ascii="Arial" w:hAnsi="Arial" w:cs="Arial"/>
          <w:i w:val="0"/>
          <w:sz w:val="24"/>
          <w:szCs w:val="24"/>
        </w:rPr>
        <w:lastRenderedPageBreak/>
        <w:t>1992). Today, the “psycholog</w:t>
      </w:r>
      <w:r w:rsidR="00AA2BD3" w:rsidRPr="004149F2">
        <w:rPr>
          <w:rStyle w:val="Emphasis"/>
          <w:rFonts w:ascii="Arial" w:hAnsi="Arial" w:cs="Arial"/>
          <w:i w:val="0"/>
          <w:sz w:val="24"/>
          <w:szCs w:val="24"/>
        </w:rPr>
        <w:t>ical</w:t>
      </w:r>
      <w:r w:rsidR="00EA0E76" w:rsidRPr="004149F2">
        <w:rPr>
          <w:rStyle w:val="Emphasis"/>
          <w:rFonts w:ascii="Arial" w:hAnsi="Arial" w:cs="Arial"/>
          <w:i w:val="0"/>
          <w:sz w:val="24"/>
          <w:szCs w:val="24"/>
        </w:rPr>
        <w:t xml:space="preserve">” profession appreciates that the higher rates of distress among members of the </w:t>
      </w:r>
      <w:r w:rsidR="00EA0E76" w:rsidRPr="004149F2">
        <w:rPr>
          <w:rFonts w:ascii="Arial" w:hAnsi="Arial" w:cs="Arial"/>
          <w:sz w:val="24"/>
          <w:szCs w:val="24"/>
        </w:rPr>
        <w:t xml:space="preserve">DSG are related to their status as a minority group and to discrimination. </w:t>
      </w:r>
      <w:r w:rsidR="00990122" w:rsidRPr="004149F2">
        <w:rPr>
          <w:rFonts w:ascii="Arial" w:hAnsi="Arial" w:cs="Arial"/>
          <w:sz w:val="24"/>
          <w:szCs w:val="24"/>
        </w:rPr>
        <w:t xml:space="preserve">The profession also generally appreciates that members of the DSG community need to be </w:t>
      </w:r>
      <w:r w:rsidR="005E3634" w:rsidRPr="004149F2">
        <w:rPr>
          <w:rFonts w:ascii="Arial" w:hAnsi="Arial" w:cs="Arial"/>
          <w:sz w:val="24"/>
          <w:szCs w:val="24"/>
        </w:rPr>
        <w:t>recognized</w:t>
      </w:r>
      <w:r w:rsidR="00990122" w:rsidRPr="004149F2">
        <w:rPr>
          <w:rFonts w:ascii="Arial" w:hAnsi="Arial" w:cs="Arial"/>
          <w:sz w:val="24"/>
          <w:szCs w:val="24"/>
        </w:rPr>
        <w:t xml:space="preserve"> and given psychological assistance and </w:t>
      </w:r>
      <w:r w:rsidR="005E3634" w:rsidRPr="004149F2">
        <w:rPr>
          <w:rFonts w:ascii="Arial" w:hAnsi="Arial" w:cs="Arial"/>
          <w:sz w:val="24"/>
          <w:szCs w:val="24"/>
        </w:rPr>
        <w:t>counseling</w:t>
      </w:r>
      <w:r w:rsidR="00990122" w:rsidRPr="004149F2">
        <w:rPr>
          <w:rFonts w:ascii="Arial" w:hAnsi="Arial" w:cs="Arial"/>
          <w:sz w:val="24"/>
          <w:szCs w:val="24"/>
        </w:rPr>
        <w:t xml:space="preserve"> when necessary.</w:t>
      </w:r>
    </w:p>
    <w:p w:rsidR="00D06B42" w:rsidRPr="004149F2" w:rsidRDefault="00D06B42"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t>Conclusion</w:t>
      </w:r>
    </w:p>
    <w:p w:rsidR="002F4517" w:rsidRPr="004149F2" w:rsidRDefault="00D75B72" w:rsidP="004149F2">
      <w:pPr>
        <w:spacing w:before="100" w:beforeAutospacing="1" w:after="100" w:afterAutospacing="1" w:line="480" w:lineRule="auto"/>
        <w:jc w:val="both"/>
        <w:rPr>
          <w:rFonts w:ascii="Arial" w:hAnsi="Arial" w:cs="Arial"/>
          <w:sz w:val="24"/>
          <w:szCs w:val="24"/>
        </w:rPr>
      </w:pPr>
      <w:r w:rsidRPr="004149F2">
        <w:rPr>
          <w:rFonts w:ascii="Arial" w:hAnsi="Arial" w:cs="Arial"/>
          <w:color w:val="000000" w:themeColor="text1"/>
          <w:sz w:val="24"/>
          <w:szCs w:val="24"/>
        </w:rPr>
        <w:t xml:space="preserve">Taylor’s theory of recognition holds that a person’s or group’s identity is partly shaped by recognition, the absence of recognition, or by the misrecognition of others. The theory therefore highlights the importance of recognition and its relationship with identity and human rights. According to the theory, non-recognition or misrecognition of identity can harm an individual or group of individuals that share an identity. Women and minority groups such as LGBT and GSD have in the past not been </w:t>
      </w:r>
      <w:r w:rsidR="00DC7048">
        <w:rPr>
          <w:rFonts w:ascii="Arial" w:hAnsi="Arial" w:cs="Arial"/>
          <w:color w:val="000000" w:themeColor="text1"/>
          <w:sz w:val="24"/>
          <w:szCs w:val="24"/>
        </w:rPr>
        <w:t>recognis</w:t>
      </w:r>
      <w:bookmarkStart w:id="0" w:name="_GoBack"/>
      <w:bookmarkEnd w:id="0"/>
      <w:r w:rsidR="00DC7048" w:rsidRPr="004149F2">
        <w:rPr>
          <w:rFonts w:ascii="Arial" w:hAnsi="Arial" w:cs="Arial"/>
          <w:color w:val="000000" w:themeColor="text1"/>
          <w:sz w:val="24"/>
          <w:szCs w:val="24"/>
        </w:rPr>
        <w:t>ed or</w:t>
      </w:r>
      <w:r w:rsidR="002E0ACC" w:rsidRPr="004149F2">
        <w:rPr>
          <w:rFonts w:ascii="Arial" w:hAnsi="Arial" w:cs="Arial"/>
          <w:color w:val="000000" w:themeColor="text1"/>
          <w:sz w:val="24"/>
          <w:szCs w:val="24"/>
        </w:rPr>
        <w:t xml:space="preserve"> have been misrecognised </w:t>
      </w:r>
      <w:r w:rsidRPr="004149F2">
        <w:rPr>
          <w:rFonts w:ascii="Arial" w:hAnsi="Arial" w:cs="Arial"/>
          <w:color w:val="000000" w:themeColor="text1"/>
          <w:sz w:val="24"/>
          <w:szCs w:val="24"/>
        </w:rPr>
        <w:t>based on their unique</w:t>
      </w:r>
      <w:r w:rsidR="00696949" w:rsidRPr="004149F2">
        <w:rPr>
          <w:rFonts w:ascii="Arial" w:hAnsi="Arial" w:cs="Arial"/>
          <w:color w:val="000000" w:themeColor="text1"/>
          <w:sz w:val="24"/>
          <w:szCs w:val="24"/>
        </w:rPr>
        <w:t>, non-traditional</w:t>
      </w:r>
      <w:r w:rsidRPr="004149F2">
        <w:rPr>
          <w:rFonts w:ascii="Arial" w:hAnsi="Arial" w:cs="Arial"/>
          <w:color w:val="000000" w:themeColor="text1"/>
          <w:sz w:val="24"/>
          <w:szCs w:val="24"/>
        </w:rPr>
        <w:t xml:space="preserve"> identities. Their non-recognition has let to their </w:t>
      </w:r>
      <w:r w:rsidR="005E3634" w:rsidRPr="004149F2">
        <w:rPr>
          <w:rFonts w:ascii="Arial" w:hAnsi="Arial" w:cs="Arial"/>
          <w:color w:val="000000" w:themeColor="text1"/>
          <w:sz w:val="24"/>
          <w:szCs w:val="24"/>
        </w:rPr>
        <w:t>victimization</w:t>
      </w:r>
      <w:r w:rsidRPr="004149F2">
        <w:rPr>
          <w:rFonts w:ascii="Arial" w:hAnsi="Arial" w:cs="Arial"/>
          <w:color w:val="000000" w:themeColor="text1"/>
          <w:sz w:val="24"/>
          <w:szCs w:val="24"/>
        </w:rPr>
        <w:t xml:space="preserve"> and targeting by members of the majority group. They have also been discriminated against and </w:t>
      </w:r>
      <w:r w:rsidR="005E3634" w:rsidRPr="004149F2">
        <w:rPr>
          <w:rFonts w:ascii="Arial" w:hAnsi="Arial" w:cs="Arial"/>
          <w:color w:val="000000" w:themeColor="text1"/>
          <w:sz w:val="24"/>
          <w:szCs w:val="24"/>
        </w:rPr>
        <w:t>stigmatized</w:t>
      </w:r>
      <w:r w:rsidRPr="004149F2">
        <w:rPr>
          <w:rFonts w:ascii="Arial" w:hAnsi="Arial" w:cs="Arial"/>
          <w:color w:val="000000" w:themeColor="text1"/>
          <w:sz w:val="24"/>
          <w:szCs w:val="24"/>
        </w:rPr>
        <w:t xml:space="preserve"> as individuals following the non-recognition of their identity. </w:t>
      </w:r>
      <w:r w:rsidR="00A010F4" w:rsidRPr="004149F2">
        <w:rPr>
          <w:rFonts w:ascii="Arial" w:hAnsi="Arial" w:cs="Arial"/>
          <w:color w:val="000000" w:themeColor="text1"/>
          <w:sz w:val="24"/>
          <w:szCs w:val="24"/>
        </w:rPr>
        <w:t>As a group, the LGBT and GSD communities have been treated with contempt and have been demeaned by mainstream society. This has consequently affected the safety, sense of self-worth, and well-being of individual members of these groups as evidenced by their increased risk of developing mental conditions. This gives credit to Taylor’s theory.</w:t>
      </w:r>
      <w:r w:rsidR="002F4517" w:rsidRPr="004149F2">
        <w:rPr>
          <w:rFonts w:ascii="Arial" w:hAnsi="Arial" w:cs="Arial"/>
          <w:color w:val="000000" w:themeColor="text1"/>
          <w:sz w:val="24"/>
          <w:szCs w:val="24"/>
        </w:rPr>
        <w:t xml:space="preserve"> The increasing recognition of these communities by the psychological profession and international </w:t>
      </w:r>
      <w:r w:rsidR="005E3634" w:rsidRPr="004149F2">
        <w:rPr>
          <w:rFonts w:ascii="Arial" w:hAnsi="Arial" w:cs="Arial"/>
          <w:color w:val="000000" w:themeColor="text1"/>
          <w:sz w:val="24"/>
          <w:szCs w:val="24"/>
        </w:rPr>
        <w:t>organizations</w:t>
      </w:r>
      <w:r w:rsidR="002F4517" w:rsidRPr="004149F2">
        <w:rPr>
          <w:rFonts w:ascii="Arial" w:hAnsi="Arial" w:cs="Arial"/>
          <w:color w:val="000000" w:themeColor="text1"/>
          <w:sz w:val="24"/>
          <w:szCs w:val="24"/>
        </w:rPr>
        <w:t xml:space="preserve"> such as the World Health </w:t>
      </w:r>
      <w:r w:rsidR="005E3634" w:rsidRPr="004149F2">
        <w:rPr>
          <w:rFonts w:ascii="Arial" w:hAnsi="Arial" w:cs="Arial"/>
          <w:color w:val="000000" w:themeColor="text1"/>
          <w:sz w:val="24"/>
          <w:szCs w:val="24"/>
        </w:rPr>
        <w:t>Organization</w:t>
      </w:r>
      <w:r w:rsidR="002F4517" w:rsidRPr="004149F2">
        <w:rPr>
          <w:rFonts w:ascii="Arial" w:hAnsi="Arial" w:cs="Arial"/>
          <w:color w:val="000000" w:themeColor="text1"/>
          <w:sz w:val="24"/>
          <w:szCs w:val="24"/>
        </w:rPr>
        <w:t xml:space="preserve"> has served to strengthen the identity of these groups</w:t>
      </w:r>
      <w:r w:rsidR="004021D5" w:rsidRPr="004149F2">
        <w:rPr>
          <w:rFonts w:ascii="Arial" w:hAnsi="Arial" w:cs="Arial"/>
          <w:color w:val="000000" w:themeColor="text1"/>
          <w:sz w:val="24"/>
          <w:szCs w:val="24"/>
        </w:rPr>
        <w:t>, let to the recognition of their rights, and</w:t>
      </w:r>
      <w:r w:rsidR="002F4517" w:rsidRPr="004149F2">
        <w:rPr>
          <w:rFonts w:ascii="Arial" w:hAnsi="Arial" w:cs="Arial"/>
          <w:color w:val="000000" w:themeColor="text1"/>
          <w:sz w:val="24"/>
          <w:szCs w:val="24"/>
        </w:rPr>
        <w:t xml:space="preserve"> improved the</w:t>
      </w:r>
      <w:r w:rsidR="002F4517" w:rsidRPr="004149F2">
        <w:rPr>
          <w:rFonts w:ascii="Arial" w:hAnsi="Arial" w:cs="Arial"/>
          <w:sz w:val="24"/>
          <w:szCs w:val="24"/>
        </w:rPr>
        <w:t xml:space="preserve"> self-esteem of their members. </w:t>
      </w:r>
    </w:p>
    <w:p w:rsidR="004933CD" w:rsidRPr="004149F2" w:rsidRDefault="00594CB5" w:rsidP="004149F2">
      <w:pPr>
        <w:spacing w:before="100" w:beforeAutospacing="1" w:after="100" w:afterAutospacing="1" w:line="480" w:lineRule="auto"/>
        <w:jc w:val="both"/>
        <w:rPr>
          <w:rFonts w:ascii="Arial" w:hAnsi="Arial" w:cs="Arial"/>
          <w:b/>
          <w:sz w:val="24"/>
          <w:szCs w:val="24"/>
        </w:rPr>
      </w:pPr>
      <w:r w:rsidRPr="004149F2">
        <w:rPr>
          <w:rFonts w:ascii="Arial" w:hAnsi="Arial" w:cs="Arial"/>
          <w:b/>
          <w:sz w:val="24"/>
          <w:szCs w:val="24"/>
        </w:rPr>
        <w:lastRenderedPageBreak/>
        <w:t>References</w:t>
      </w:r>
    </w:p>
    <w:p w:rsidR="004933CD" w:rsidRPr="004149F2" w:rsidRDefault="004933CD" w:rsidP="004149F2">
      <w:pPr>
        <w:spacing w:before="100" w:beforeAutospacing="1" w:after="100" w:afterAutospacing="1" w:line="480" w:lineRule="auto"/>
        <w:rPr>
          <w:rFonts w:ascii="Arial" w:hAnsi="Arial" w:cs="Arial"/>
          <w:sz w:val="24"/>
          <w:szCs w:val="24"/>
        </w:rPr>
      </w:pPr>
      <w:r w:rsidRPr="004149F2">
        <w:rPr>
          <w:rStyle w:val="mixed-citation"/>
          <w:rFonts w:ascii="Arial" w:hAnsi="Arial" w:cs="Arial"/>
          <w:sz w:val="24"/>
          <w:szCs w:val="24"/>
        </w:rPr>
        <w:t xml:space="preserve">American Psychological Association (2012). </w:t>
      </w:r>
      <w:r w:rsidRPr="004149F2">
        <w:rPr>
          <w:rStyle w:val="ref-title"/>
          <w:rFonts w:ascii="Arial" w:hAnsi="Arial" w:cs="Arial"/>
          <w:sz w:val="24"/>
          <w:szCs w:val="24"/>
        </w:rPr>
        <w:t>Guidelines for psychological practice with lesbian, gay, and bisexual clients.</w:t>
      </w:r>
      <w:r w:rsidRPr="004149F2">
        <w:rPr>
          <w:rStyle w:val="mixed-citation"/>
          <w:rFonts w:ascii="Arial" w:hAnsi="Arial" w:cs="Arial"/>
          <w:sz w:val="24"/>
          <w:szCs w:val="24"/>
        </w:rPr>
        <w:t xml:space="preserve"> </w:t>
      </w:r>
      <w:r w:rsidRPr="004149F2">
        <w:rPr>
          <w:rStyle w:val="Emphasis"/>
          <w:rFonts w:ascii="Arial" w:hAnsi="Arial" w:cs="Arial"/>
          <w:sz w:val="24"/>
          <w:szCs w:val="24"/>
        </w:rPr>
        <w:t>Am. Psychol.</w:t>
      </w:r>
      <w:r w:rsidRPr="004149F2">
        <w:rPr>
          <w:rStyle w:val="mixed-citation"/>
          <w:rFonts w:ascii="Arial" w:hAnsi="Arial" w:cs="Arial"/>
          <w:sz w:val="24"/>
          <w:szCs w:val="24"/>
        </w:rPr>
        <w:t xml:space="preserve"> </w:t>
      </w:r>
      <w:r w:rsidRPr="004149F2">
        <w:rPr>
          <w:rStyle w:val="ref-vol"/>
          <w:rFonts w:ascii="Arial" w:hAnsi="Arial" w:cs="Arial"/>
          <w:sz w:val="24"/>
          <w:szCs w:val="24"/>
        </w:rPr>
        <w:t>67, pp.</w:t>
      </w:r>
      <w:r w:rsidRPr="004149F2">
        <w:rPr>
          <w:rStyle w:val="mixed-citation"/>
          <w:rFonts w:ascii="Arial" w:hAnsi="Arial" w:cs="Arial"/>
          <w:sz w:val="24"/>
          <w:szCs w:val="24"/>
        </w:rPr>
        <w:t xml:space="preserve"> 10–42. Doi: 10.1037/a0024659</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eastAsia="Times New Roman" w:hAnsi="Arial" w:cs="Arial"/>
          <w:bCs/>
          <w:kern w:val="36"/>
          <w:sz w:val="24"/>
          <w:szCs w:val="24"/>
          <w:lang w:eastAsia="en-GB"/>
        </w:rPr>
        <w:t xml:space="preserve">Amnesty International (2014). </w:t>
      </w:r>
      <w:r w:rsidRPr="004149F2">
        <w:rPr>
          <w:rFonts w:ascii="Arial" w:eastAsia="Times New Roman" w:hAnsi="Arial" w:cs="Arial"/>
          <w:bCs/>
          <w:i/>
          <w:kern w:val="36"/>
          <w:sz w:val="24"/>
          <w:szCs w:val="24"/>
          <w:lang w:eastAsia="en-GB"/>
        </w:rPr>
        <w:t>Why we have the right to an identity,</w:t>
      </w:r>
      <w:r w:rsidRPr="004149F2">
        <w:rPr>
          <w:rFonts w:ascii="Arial" w:eastAsia="Times New Roman" w:hAnsi="Arial" w:cs="Arial"/>
          <w:bCs/>
          <w:kern w:val="36"/>
          <w:sz w:val="24"/>
          <w:szCs w:val="24"/>
          <w:lang w:eastAsia="en-GB"/>
        </w:rPr>
        <w:t xml:space="preserve"> available at: </w:t>
      </w:r>
      <w:hyperlink r:id="rId6" w:history="1">
        <w:r w:rsidRPr="004149F2">
          <w:rPr>
            <w:rStyle w:val="Hyperlink"/>
            <w:rFonts w:ascii="Arial" w:hAnsi="Arial" w:cs="Arial"/>
            <w:sz w:val="24"/>
            <w:szCs w:val="24"/>
          </w:rPr>
          <w:t>https://www.amnesty.org.uk/blogs/stories-and-rights/why-we-have-right-identity</w:t>
        </w:r>
      </w:hyperlink>
      <w:r w:rsidRPr="004149F2">
        <w:rPr>
          <w:rFonts w:ascii="Arial" w:hAnsi="Arial" w:cs="Arial"/>
          <w:sz w:val="24"/>
          <w:szCs w:val="24"/>
        </w:rPr>
        <w:t xml:space="preserve"> [Accessed 22nd January, 2019].</w:t>
      </w:r>
    </w:p>
    <w:p w:rsidR="004933CD" w:rsidRPr="004149F2" w:rsidRDefault="004933CD" w:rsidP="004149F2">
      <w:pPr>
        <w:spacing w:before="100" w:beforeAutospacing="1" w:after="100" w:afterAutospacing="1" w:line="480" w:lineRule="auto"/>
        <w:rPr>
          <w:rStyle w:val="nowrap"/>
          <w:rFonts w:ascii="Arial" w:hAnsi="Arial" w:cs="Arial"/>
          <w:sz w:val="24"/>
          <w:szCs w:val="24"/>
        </w:rPr>
      </w:pPr>
      <w:r w:rsidRPr="004149F2">
        <w:rPr>
          <w:rStyle w:val="mixed-citation"/>
          <w:rFonts w:ascii="Arial" w:hAnsi="Arial" w:cs="Arial"/>
          <w:sz w:val="24"/>
          <w:szCs w:val="24"/>
        </w:rPr>
        <w:t xml:space="preserve">Bostwick, W. B., Boyd, C. J., Hughes, T. L., McCabe, S. E. (2010). </w:t>
      </w:r>
      <w:r w:rsidRPr="004149F2">
        <w:rPr>
          <w:rStyle w:val="ref-title"/>
          <w:rFonts w:ascii="Arial" w:hAnsi="Arial" w:cs="Arial"/>
          <w:sz w:val="24"/>
          <w:szCs w:val="24"/>
        </w:rPr>
        <w:t>Sexual orientation and the prevalence of mood and anxiety disorders in the United States.</w:t>
      </w:r>
      <w:r w:rsidRPr="004149F2">
        <w:rPr>
          <w:rStyle w:val="mixed-citation"/>
          <w:rFonts w:ascii="Arial" w:hAnsi="Arial" w:cs="Arial"/>
          <w:sz w:val="24"/>
          <w:szCs w:val="24"/>
        </w:rPr>
        <w:t xml:space="preserve"> </w:t>
      </w:r>
      <w:r w:rsidRPr="004149F2">
        <w:rPr>
          <w:rStyle w:val="Emphasis"/>
          <w:rFonts w:ascii="Arial" w:hAnsi="Arial" w:cs="Arial"/>
          <w:sz w:val="24"/>
          <w:szCs w:val="24"/>
        </w:rPr>
        <w:t>Am. J. Public Health</w:t>
      </w:r>
      <w:r w:rsidRPr="004149F2">
        <w:rPr>
          <w:rStyle w:val="mixed-citation"/>
          <w:rFonts w:ascii="Arial" w:hAnsi="Arial" w:cs="Arial"/>
          <w:sz w:val="24"/>
          <w:szCs w:val="24"/>
        </w:rPr>
        <w:t xml:space="preserve"> </w:t>
      </w:r>
      <w:r w:rsidRPr="004149F2">
        <w:rPr>
          <w:rStyle w:val="ref-vol"/>
          <w:rFonts w:ascii="Arial" w:hAnsi="Arial" w:cs="Arial"/>
          <w:sz w:val="24"/>
          <w:szCs w:val="24"/>
        </w:rPr>
        <w:t>100</w:t>
      </w:r>
      <w:r w:rsidRPr="004149F2">
        <w:rPr>
          <w:rStyle w:val="mixed-citation"/>
          <w:rFonts w:ascii="Arial" w:hAnsi="Arial" w:cs="Arial"/>
          <w:sz w:val="24"/>
          <w:szCs w:val="24"/>
        </w:rPr>
        <w:t xml:space="preserve"> 468–475. 10.2105/AJPH.2008.152942 </w:t>
      </w:r>
    </w:p>
    <w:p w:rsidR="004933CD" w:rsidRPr="004149F2" w:rsidRDefault="004933CD" w:rsidP="004149F2">
      <w:pPr>
        <w:spacing w:before="100" w:beforeAutospacing="1" w:after="100" w:afterAutospacing="1" w:line="480" w:lineRule="auto"/>
        <w:rPr>
          <w:rFonts w:ascii="Arial" w:hAnsi="Arial" w:cs="Arial"/>
          <w:sz w:val="24"/>
          <w:szCs w:val="24"/>
        </w:rPr>
      </w:pPr>
      <w:r w:rsidRPr="004149F2">
        <w:rPr>
          <w:rStyle w:val="mixed-citation"/>
          <w:rFonts w:ascii="Arial" w:hAnsi="Arial" w:cs="Arial"/>
          <w:sz w:val="24"/>
          <w:szCs w:val="24"/>
        </w:rPr>
        <w:t xml:space="preserve">Bostwick, W. B., Boyd, C. J., Hughes, T. L., West, B. T., McCabe, S. E. (2014). </w:t>
      </w:r>
      <w:r w:rsidRPr="004149F2">
        <w:rPr>
          <w:rStyle w:val="ref-title"/>
          <w:rFonts w:ascii="Arial" w:hAnsi="Arial" w:cs="Arial"/>
          <w:sz w:val="24"/>
          <w:szCs w:val="24"/>
        </w:rPr>
        <w:t>Discrimination and mental health among lesbian, gay, and bisexual adults in the United States.</w:t>
      </w:r>
      <w:r w:rsidRPr="004149F2">
        <w:rPr>
          <w:rStyle w:val="mixed-citation"/>
          <w:rFonts w:ascii="Arial" w:hAnsi="Arial" w:cs="Arial"/>
          <w:sz w:val="24"/>
          <w:szCs w:val="24"/>
        </w:rPr>
        <w:t xml:space="preserve"> </w:t>
      </w:r>
      <w:r w:rsidRPr="004149F2">
        <w:rPr>
          <w:rStyle w:val="Emphasis"/>
          <w:rFonts w:ascii="Arial" w:hAnsi="Arial" w:cs="Arial"/>
          <w:sz w:val="24"/>
          <w:szCs w:val="24"/>
        </w:rPr>
        <w:t>Am. J. Orthopsychiatry (Am. Psychol. Assoc.)</w:t>
      </w:r>
      <w:r w:rsidRPr="004149F2">
        <w:rPr>
          <w:rStyle w:val="mixed-citation"/>
          <w:rFonts w:ascii="Arial" w:hAnsi="Arial" w:cs="Arial"/>
          <w:sz w:val="24"/>
          <w:szCs w:val="24"/>
        </w:rPr>
        <w:t xml:space="preserve"> </w:t>
      </w:r>
      <w:r w:rsidRPr="004149F2">
        <w:rPr>
          <w:rStyle w:val="ref-vol"/>
          <w:rFonts w:ascii="Arial" w:hAnsi="Arial" w:cs="Arial"/>
          <w:sz w:val="24"/>
          <w:szCs w:val="24"/>
        </w:rPr>
        <w:t>84</w:t>
      </w:r>
      <w:r w:rsidRPr="004149F2">
        <w:rPr>
          <w:rStyle w:val="mixed-citation"/>
          <w:rFonts w:ascii="Arial" w:hAnsi="Arial" w:cs="Arial"/>
          <w:sz w:val="24"/>
          <w:szCs w:val="24"/>
        </w:rPr>
        <w:t xml:space="preserve"> 35–45. 10.1037/h0098851</w:t>
      </w:r>
    </w:p>
    <w:p w:rsidR="004933CD" w:rsidRPr="004149F2" w:rsidRDefault="004933CD" w:rsidP="004149F2">
      <w:pPr>
        <w:spacing w:before="100" w:beforeAutospacing="1" w:after="100" w:afterAutospacing="1" w:line="480" w:lineRule="auto"/>
        <w:jc w:val="both"/>
        <w:rPr>
          <w:rFonts w:ascii="Arial" w:hAnsi="Arial" w:cs="Arial"/>
          <w:b/>
          <w:sz w:val="24"/>
          <w:szCs w:val="24"/>
        </w:rPr>
      </w:pPr>
      <w:r w:rsidRPr="004149F2">
        <w:rPr>
          <w:rStyle w:val="mixed-citation"/>
          <w:rFonts w:ascii="Arial" w:hAnsi="Arial" w:cs="Arial"/>
          <w:sz w:val="24"/>
          <w:szCs w:val="24"/>
        </w:rPr>
        <w:t xml:space="preserve">Butler, J. (1990). </w:t>
      </w:r>
      <w:r w:rsidRPr="004149F2">
        <w:rPr>
          <w:rStyle w:val="Emphasis"/>
          <w:rFonts w:ascii="Arial" w:hAnsi="Arial" w:cs="Arial"/>
          <w:sz w:val="24"/>
          <w:szCs w:val="24"/>
        </w:rPr>
        <w:t>Gender Trouble: Feminism and the Subversion of Identity.</w:t>
      </w:r>
      <w:r w:rsidRPr="004149F2">
        <w:rPr>
          <w:rStyle w:val="mixed-citation"/>
          <w:rFonts w:ascii="Arial" w:hAnsi="Arial" w:cs="Arial"/>
          <w:sz w:val="24"/>
          <w:szCs w:val="24"/>
        </w:rPr>
        <w:t xml:space="preserve"> Abingdon: Routledge.</w:t>
      </w:r>
    </w:p>
    <w:p w:rsidR="004933CD" w:rsidRPr="004149F2" w:rsidRDefault="004933CD" w:rsidP="004149F2">
      <w:pPr>
        <w:spacing w:before="100" w:beforeAutospacing="1" w:after="100" w:afterAutospacing="1" w:line="480" w:lineRule="auto"/>
        <w:jc w:val="both"/>
        <w:rPr>
          <w:rFonts w:ascii="Arial" w:hAnsi="Arial" w:cs="Arial"/>
          <w:b/>
          <w:sz w:val="24"/>
          <w:szCs w:val="24"/>
        </w:rPr>
      </w:pPr>
      <w:r w:rsidRPr="004149F2">
        <w:rPr>
          <w:rStyle w:val="mixed-citation"/>
          <w:rFonts w:ascii="Arial" w:hAnsi="Arial" w:cs="Arial"/>
          <w:sz w:val="24"/>
          <w:szCs w:val="24"/>
        </w:rPr>
        <w:t>D’Augelli, A. R. (1994). “</w:t>
      </w:r>
      <w:r w:rsidRPr="004149F2">
        <w:rPr>
          <w:rStyle w:val="ref-title"/>
          <w:rFonts w:ascii="Arial" w:hAnsi="Arial" w:cs="Arial"/>
          <w:sz w:val="24"/>
          <w:szCs w:val="24"/>
        </w:rPr>
        <w:t>Identity development and sexual orientation: toward a model of lesbian, gay, and bisexual development</w:t>
      </w:r>
      <w:r w:rsidRPr="004149F2">
        <w:rPr>
          <w:rStyle w:val="mixed-citation"/>
          <w:rFonts w:ascii="Arial" w:hAnsi="Arial" w:cs="Arial"/>
          <w:sz w:val="24"/>
          <w:szCs w:val="24"/>
        </w:rPr>
        <w:t xml:space="preserve">,” in </w:t>
      </w:r>
      <w:r w:rsidRPr="004149F2">
        <w:rPr>
          <w:rStyle w:val="Emphasis"/>
          <w:rFonts w:ascii="Arial" w:hAnsi="Arial" w:cs="Arial"/>
          <w:sz w:val="24"/>
          <w:szCs w:val="24"/>
        </w:rPr>
        <w:t>Human Diversity: Perspectives on People in Context</w:t>
      </w:r>
      <w:r w:rsidRPr="004149F2">
        <w:rPr>
          <w:rStyle w:val="mixed-citation"/>
          <w:rFonts w:ascii="Arial" w:hAnsi="Arial" w:cs="Arial"/>
          <w:sz w:val="24"/>
          <w:szCs w:val="24"/>
        </w:rPr>
        <w:t>, eds Trickett E. J., Watts R. J., Birman D., editors. (San Francisco, CA: Jossey-Bass;).</w:t>
      </w:r>
    </w:p>
    <w:p w:rsidR="004933CD" w:rsidRPr="004149F2" w:rsidRDefault="004933CD" w:rsidP="004149F2">
      <w:pPr>
        <w:spacing w:before="100" w:beforeAutospacing="1" w:after="100" w:afterAutospacing="1" w:line="480" w:lineRule="auto"/>
        <w:jc w:val="both"/>
        <w:rPr>
          <w:rFonts w:ascii="Arial" w:hAnsi="Arial" w:cs="Arial"/>
          <w:b/>
          <w:sz w:val="24"/>
          <w:szCs w:val="24"/>
        </w:rPr>
      </w:pPr>
      <w:r w:rsidRPr="004149F2">
        <w:rPr>
          <w:rStyle w:val="mixed-citation"/>
          <w:rFonts w:ascii="Arial" w:hAnsi="Arial" w:cs="Arial"/>
          <w:sz w:val="24"/>
          <w:szCs w:val="24"/>
        </w:rPr>
        <w:lastRenderedPageBreak/>
        <w:t xml:space="preserve">Drescher, J. (2009). </w:t>
      </w:r>
      <w:r w:rsidRPr="004149F2">
        <w:rPr>
          <w:rStyle w:val="ref-title"/>
          <w:rFonts w:ascii="Arial" w:hAnsi="Arial" w:cs="Arial"/>
          <w:sz w:val="24"/>
          <w:szCs w:val="24"/>
        </w:rPr>
        <w:t>Queer diagnoses: parallels and contrasts in the history of homosexuality. Gender Variance, and the Diagnostic and Statistical Manual.</w:t>
      </w:r>
      <w:r w:rsidRPr="004149F2">
        <w:rPr>
          <w:rStyle w:val="mixed-citation"/>
          <w:rFonts w:ascii="Arial" w:hAnsi="Arial" w:cs="Arial"/>
          <w:sz w:val="24"/>
          <w:szCs w:val="24"/>
        </w:rPr>
        <w:t xml:space="preserve"> </w:t>
      </w:r>
      <w:r w:rsidRPr="004149F2">
        <w:rPr>
          <w:rStyle w:val="Emphasis"/>
          <w:rFonts w:ascii="Arial" w:hAnsi="Arial" w:cs="Arial"/>
          <w:sz w:val="24"/>
          <w:szCs w:val="24"/>
        </w:rPr>
        <w:t>Arch. Sex. Behav.</w:t>
      </w:r>
      <w:r w:rsidRPr="004149F2">
        <w:rPr>
          <w:rStyle w:val="mixed-citation"/>
          <w:rFonts w:ascii="Arial" w:hAnsi="Arial" w:cs="Arial"/>
          <w:sz w:val="24"/>
          <w:szCs w:val="24"/>
        </w:rPr>
        <w:t xml:space="preserve"> </w:t>
      </w:r>
      <w:r w:rsidRPr="004149F2">
        <w:rPr>
          <w:rStyle w:val="ref-vol"/>
          <w:rFonts w:ascii="Arial" w:hAnsi="Arial" w:cs="Arial"/>
          <w:sz w:val="24"/>
          <w:szCs w:val="24"/>
        </w:rPr>
        <w:t>39</w:t>
      </w:r>
      <w:r w:rsidRPr="004149F2">
        <w:rPr>
          <w:rStyle w:val="mixed-citation"/>
          <w:rFonts w:ascii="Arial" w:hAnsi="Arial" w:cs="Arial"/>
          <w:sz w:val="24"/>
          <w:szCs w:val="24"/>
        </w:rPr>
        <w:t xml:space="preserve"> 427–460. 10.1007/s10508-009-9531-5</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Epstein, S. (1987). Gay politics, ethnic identity: the limits of social constructionism. </w:t>
      </w:r>
      <w:r w:rsidRPr="004149F2">
        <w:rPr>
          <w:rFonts w:ascii="Arial" w:hAnsi="Arial" w:cs="Arial"/>
          <w:i/>
          <w:sz w:val="24"/>
          <w:szCs w:val="24"/>
        </w:rPr>
        <w:t>Social Rev.</w:t>
      </w:r>
      <w:r w:rsidRPr="004149F2">
        <w:rPr>
          <w:rFonts w:ascii="Arial" w:hAnsi="Arial" w:cs="Arial"/>
          <w:sz w:val="24"/>
          <w:szCs w:val="24"/>
        </w:rPr>
        <w:t xml:space="preserve"> 17, pp. 9-54.  </w:t>
      </w:r>
    </w:p>
    <w:p w:rsidR="005E366E" w:rsidRPr="004149F2" w:rsidRDefault="005E366E"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Evangelical Alliance (2015). </w:t>
      </w:r>
      <w:r w:rsidRPr="004149F2">
        <w:rPr>
          <w:rFonts w:ascii="Arial" w:hAnsi="Arial" w:cs="Arial"/>
          <w:i/>
          <w:sz w:val="24"/>
          <w:szCs w:val="24"/>
        </w:rPr>
        <w:t>Recent developments in counselling practice</w:t>
      </w:r>
      <w:r w:rsidRPr="004149F2">
        <w:rPr>
          <w:rFonts w:ascii="Arial" w:hAnsi="Arial" w:cs="Arial"/>
          <w:sz w:val="24"/>
          <w:szCs w:val="24"/>
        </w:rPr>
        <w:t xml:space="preserve">, </w:t>
      </w:r>
      <w:r w:rsidRPr="004149F2">
        <w:rPr>
          <w:rFonts w:ascii="Arial" w:eastAsia="Times New Roman" w:hAnsi="Arial" w:cs="Arial"/>
          <w:bCs/>
          <w:kern w:val="36"/>
          <w:sz w:val="24"/>
          <w:szCs w:val="24"/>
          <w:lang w:eastAsia="en-GB"/>
        </w:rPr>
        <w:t>available at:</w:t>
      </w:r>
      <w:r w:rsidRPr="004149F2">
        <w:rPr>
          <w:rFonts w:ascii="Arial" w:hAnsi="Arial" w:cs="Arial"/>
          <w:sz w:val="24"/>
          <w:szCs w:val="24"/>
        </w:rPr>
        <w:t xml:space="preserve"> </w:t>
      </w:r>
      <w:hyperlink r:id="rId7" w:history="1">
        <w:r w:rsidRPr="004149F2">
          <w:rPr>
            <w:rStyle w:val="Hyperlink"/>
            <w:rFonts w:ascii="Arial" w:hAnsi="Arial" w:cs="Arial"/>
            <w:sz w:val="24"/>
            <w:szCs w:val="24"/>
          </w:rPr>
          <w:t>https://www.eauk.org/current-affairs/politics/recent-developments-in-counselling-practice.cfm</w:t>
        </w:r>
      </w:hyperlink>
      <w:r w:rsidRPr="004149F2">
        <w:rPr>
          <w:rFonts w:ascii="Arial" w:hAnsi="Arial" w:cs="Arial"/>
          <w:sz w:val="24"/>
          <w:szCs w:val="24"/>
        </w:rPr>
        <w:t xml:space="preserve"> [Accessed 22nd January, 2019].</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Herek, G. (1995). Psychological heterosexism in the United Sates. </w:t>
      </w:r>
      <w:r w:rsidRPr="004149F2">
        <w:rPr>
          <w:rFonts w:ascii="Arial" w:hAnsi="Arial" w:cs="Arial"/>
          <w:i/>
          <w:sz w:val="24"/>
          <w:szCs w:val="24"/>
        </w:rPr>
        <w:t>In Lesbian, gay, and Bisexual Identities over the lifespan,</w:t>
      </w:r>
      <w:r w:rsidRPr="004149F2">
        <w:rPr>
          <w:rFonts w:ascii="Arial" w:hAnsi="Arial" w:cs="Arial"/>
          <w:sz w:val="24"/>
          <w:szCs w:val="24"/>
        </w:rPr>
        <w:t xml:space="preserve"> ed. AR ‘Augelli, J Patterson, pp. 321-46. New York: Oxford University Press. </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Heshmat, S. (2014). </w:t>
      </w:r>
      <w:r w:rsidRPr="004149F2">
        <w:rPr>
          <w:rFonts w:ascii="Arial" w:hAnsi="Arial" w:cs="Arial"/>
          <w:i/>
          <w:sz w:val="24"/>
          <w:szCs w:val="24"/>
        </w:rPr>
        <w:t>Basics of Identity</w:t>
      </w:r>
      <w:r w:rsidRPr="004149F2">
        <w:rPr>
          <w:rFonts w:ascii="Arial" w:hAnsi="Arial" w:cs="Arial"/>
          <w:sz w:val="24"/>
          <w:szCs w:val="24"/>
        </w:rPr>
        <w:t xml:space="preserve">, </w:t>
      </w:r>
      <w:r w:rsidRPr="004149F2">
        <w:rPr>
          <w:rFonts w:ascii="Arial" w:eastAsia="Times New Roman" w:hAnsi="Arial" w:cs="Arial"/>
          <w:bCs/>
          <w:kern w:val="36"/>
          <w:sz w:val="24"/>
          <w:szCs w:val="24"/>
          <w:lang w:eastAsia="en-GB"/>
        </w:rPr>
        <w:t xml:space="preserve">available at: </w:t>
      </w:r>
      <w:hyperlink r:id="rId8" w:history="1">
        <w:r w:rsidRPr="004149F2">
          <w:rPr>
            <w:rStyle w:val="Hyperlink"/>
            <w:rFonts w:ascii="Arial" w:hAnsi="Arial" w:cs="Arial"/>
            <w:sz w:val="24"/>
            <w:szCs w:val="24"/>
          </w:rPr>
          <w:t>https://www.psychologytoday.com/us/blog/science-choice/201412/basics-identity</w:t>
        </w:r>
      </w:hyperlink>
      <w:r w:rsidRPr="004149F2">
        <w:rPr>
          <w:rFonts w:ascii="Arial" w:hAnsi="Arial" w:cs="Arial"/>
          <w:sz w:val="24"/>
          <w:szCs w:val="24"/>
        </w:rPr>
        <w:t xml:space="preserve"> [Accessed 22nd January, 2019].</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Horward, J. (2000). Social Psychology of Identities. </w:t>
      </w:r>
      <w:r w:rsidRPr="004149F2">
        <w:rPr>
          <w:rFonts w:ascii="Arial" w:hAnsi="Arial" w:cs="Arial"/>
          <w:i/>
          <w:sz w:val="24"/>
          <w:szCs w:val="24"/>
        </w:rPr>
        <w:t>Annu. Rev. Sociol</w:t>
      </w:r>
      <w:r w:rsidRPr="004149F2">
        <w:rPr>
          <w:rFonts w:ascii="Arial" w:hAnsi="Arial" w:cs="Arial"/>
          <w:sz w:val="24"/>
          <w:szCs w:val="24"/>
        </w:rPr>
        <w:t>. 26, pp. 367-93.</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Leary, M. and Tangney, J. (2012). </w:t>
      </w:r>
      <w:r w:rsidRPr="004149F2">
        <w:rPr>
          <w:rFonts w:ascii="Arial" w:hAnsi="Arial" w:cs="Arial"/>
          <w:i/>
          <w:sz w:val="24"/>
          <w:szCs w:val="24"/>
        </w:rPr>
        <w:t>Handbook of Self and Identity</w:t>
      </w:r>
      <w:r w:rsidRPr="004149F2">
        <w:rPr>
          <w:rFonts w:ascii="Arial" w:hAnsi="Arial" w:cs="Arial"/>
          <w:sz w:val="24"/>
          <w:szCs w:val="24"/>
        </w:rPr>
        <w:t xml:space="preserve"> (2</w:t>
      </w:r>
      <w:r w:rsidRPr="004149F2">
        <w:rPr>
          <w:rFonts w:ascii="Arial" w:hAnsi="Arial" w:cs="Arial"/>
          <w:sz w:val="24"/>
          <w:szCs w:val="24"/>
          <w:vertAlign w:val="superscript"/>
        </w:rPr>
        <w:t>nd</w:t>
      </w:r>
      <w:r w:rsidRPr="004149F2">
        <w:rPr>
          <w:rFonts w:ascii="Arial" w:hAnsi="Arial" w:cs="Arial"/>
          <w:sz w:val="24"/>
          <w:szCs w:val="24"/>
        </w:rPr>
        <w:t xml:space="preserve"> ed). New York &amp; London: The Guilford Press.</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McLaren, J. (2018).  </w:t>
      </w:r>
      <w:r w:rsidRPr="004149F2">
        <w:rPr>
          <w:rFonts w:ascii="Arial" w:hAnsi="Arial" w:cs="Arial"/>
          <w:sz w:val="24"/>
          <w:szCs w:val="24"/>
          <w:lang w:eastAsia="en-GB"/>
        </w:rPr>
        <w:t xml:space="preserve">118: </w:t>
      </w:r>
      <w:r w:rsidRPr="004149F2">
        <w:rPr>
          <w:rFonts w:ascii="Arial" w:hAnsi="Arial" w:cs="Arial"/>
          <w:i/>
          <w:sz w:val="24"/>
          <w:szCs w:val="24"/>
          <w:lang w:eastAsia="en-GB"/>
        </w:rPr>
        <w:t xml:space="preserve">Charles Taylor Part V: Multiculturalism, The Politics of Recognition, </w:t>
      </w:r>
      <w:r w:rsidRPr="004149F2">
        <w:rPr>
          <w:rFonts w:ascii="Arial" w:eastAsia="Times New Roman" w:hAnsi="Arial" w:cs="Arial"/>
          <w:bCs/>
          <w:kern w:val="36"/>
          <w:sz w:val="24"/>
          <w:szCs w:val="24"/>
          <w:lang w:eastAsia="en-GB"/>
        </w:rPr>
        <w:t>available at:</w:t>
      </w:r>
      <w:r w:rsidRPr="004149F2">
        <w:rPr>
          <w:rFonts w:ascii="Arial" w:hAnsi="Arial" w:cs="Arial"/>
          <w:sz w:val="24"/>
          <w:szCs w:val="24"/>
          <w:lang w:eastAsia="en-GB"/>
        </w:rPr>
        <w:t xml:space="preserve"> </w:t>
      </w:r>
      <w:hyperlink r:id="rId9" w:history="1">
        <w:r w:rsidRPr="004149F2">
          <w:rPr>
            <w:rStyle w:val="Hyperlink"/>
            <w:rFonts w:ascii="Arial" w:hAnsi="Arial" w:cs="Arial"/>
            <w:sz w:val="24"/>
            <w:szCs w:val="24"/>
          </w:rPr>
          <w:t>http://www.philosophyhammer.com/text.php?id=184</w:t>
        </w:r>
      </w:hyperlink>
      <w:r w:rsidRPr="004149F2">
        <w:rPr>
          <w:rFonts w:ascii="Arial" w:hAnsi="Arial" w:cs="Arial"/>
          <w:sz w:val="24"/>
          <w:szCs w:val="24"/>
        </w:rPr>
        <w:t xml:space="preserve"> [Accessed 22nd January, 2019].</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lastRenderedPageBreak/>
        <w:t xml:space="preserve">Middleton, A. (2014). LGBT vs ‘DSG’ – A new acronym for a new era, </w:t>
      </w:r>
      <w:r w:rsidRPr="004149F2">
        <w:rPr>
          <w:rFonts w:ascii="Arial" w:hAnsi="Arial" w:cs="Arial"/>
          <w:i/>
          <w:sz w:val="24"/>
          <w:szCs w:val="24"/>
        </w:rPr>
        <w:t>Archer</w:t>
      </w:r>
      <w:r w:rsidRPr="004149F2">
        <w:rPr>
          <w:rFonts w:ascii="Arial" w:hAnsi="Arial" w:cs="Arial"/>
          <w:sz w:val="24"/>
          <w:szCs w:val="24"/>
        </w:rPr>
        <w:t xml:space="preserve"> 29 May, </w:t>
      </w:r>
      <w:r w:rsidRPr="004149F2">
        <w:rPr>
          <w:rFonts w:ascii="Arial" w:eastAsia="Times New Roman" w:hAnsi="Arial" w:cs="Arial"/>
          <w:bCs/>
          <w:kern w:val="36"/>
          <w:sz w:val="24"/>
          <w:szCs w:val="24"/>
          <w:lang w:eastAsia="en-GB"/>
        </w:rPr>
        <w:t>available at:</w:t>
      </w:r>
      <w:r w:rsidRPr="004149F2">
        <w:rPr>
          <w:rFonts w:ascii="Arial" w:hAnsi="Arial" w:cs="Arial"/>
          <w:sz w:val="24"/>
          <w:szCs w:val="24"/>
        </w:rPr>
        <w:t xml:space="preserve"> </w:t>
      </w:r>
      <w:hyperlink r:id="rId10" w:history="1">
        <w:r w:rsidRPr="004149F2">
          <w:rPr>
            <w:rStyle w:val="Hyperlink"/>
            <w:rFonts w:ascii="Arial" w:hAnsi="Arial" w:cs="Arial"/>
            <w:sz w:val="24"/>
            <w:szCs w:val="24"/>
          </w:rPr>
          <w:t>http://archermagazine.com.au/2014/05/lgbt-vs-dsg-a-new-acronym-for-a-new-era/</w:t>
        </w:r>
      </w:hyperlink>
      <w:r w:rsidRPr="004149F2">
        <w:rPr>
          <w:rFonts w:ascii="Arial" w:hAnsi="Arial" w:cs="Arial"/>
          <w:b/>
          <w:sz w:val="24"/>
          <w:szCs w:val="24"/>
        </w:rPr>
        <w:t xml:space="preserve"> </w:t>
      </w:r>
      <w:r w:rsidRPr="004149F2">
        <w:rPr>
          <w:rFonts w:ascii="Arial" w:hAnsi="Arial" w:cs="Arial"/>
          <w:sz w:val="24"/>
          <w:szCs w:val="24"/>
        </w:rPr>
        <w:t>[Accessed 22nd January, 2019].</w:t>
      </w:r>
    </w:p>
    <w:p w:rsidR="004933CD" w:rsidRPr="004149F2" w:rsidRDefault="004933CD" w:rsidP="004149F2">
      <w:pPr>
        <w:spacing w:before="100" w:beforeAutospacing="1" w:after="100" w:afterAutospacing="1" w:line="480" w:lineRule="auto"/>
        <w:rPr>
          <w:rFonts w:ascii="Arial" w:hAnsi="Arial" w:cs="Arial"/>
          <w:sz w:val="24"/>
          <w:szCs w:val="24"/>
        </w:rPr>
      </w:pPr>
      <w:r w:rsidRPr="004149F2">
        <w:rPr>
          <w:rFonts w:ascii="Arial" w:hAnsi="Arial" w:cs="Arial"/>
          <w:sz w:val="24"/>
          <w:szCs w:val="24"/>
        </w:rPr>
        <w:t>Moleiro, C. and Pinto, N. (</w:t>
      </w:r>
      <w:r w:rsidRPr="004149F2">
        <w:rPr>
          <w:rStyle w:val="cit"/>
          <w:rFonts w:ascii="Arial" w:hAnsi="Arial" w:cs="Arial"/>
          <w:sz w:val="24"/>
          <w:szCs w:val="24"/>
        </w:rPr>
        <w:t>2015).</w:t>
      </w:r>
      <w:r w:rsidRPr="004149F2">
        <w:rPr>
          <w:rFonts w:ascii="Arial" w:hAnsi="Arial" w:cs="Arial"/>
          <w:sz w:val="24"/>
          <w:szCs w:val="24"/>
        </w:rPr>
        <w:t xml:space="preserve"> Sexual orientation and gender identity: review of concepts, controversies and their relation to psychopathology classification systems, </w:t>
      </w:r>
      <w:r w:rsidRPr="004149F2">
        <w:rPr>
          <w:rStyle w:val="cit"/>
          <w:rFonts w:ascii="Arial" w:hAnsi="Arial" w:cs="Arial"/>
          <w:i/>
          <w:sz w:val="24"/>
          <w:szCs w:val="24"/>
        </w:rPr>
        <w:t>Front Psychol.</w:t>
      </w:r>
      <w:r w:rsidRPr="004149F2">
        <w:rPr>
          <w:rStyle w:val="cit"/>
          <w:rFonts w:ascii="Arial" w:hAnsi="Arial" w:cs="Arial"/>
          <w:sz w:val="24"/>
          <w:szCs w:val="24"/>
        </w:rPr>
        <w:t xml:space="preserve">, 6: 1511. </w:t>
      </w:r>
      <w:r w:rsidRPr="004149F2">
        <w:rPr>
          <w:rStyle w:val="doi"/>
          <w:rFonts w:ascii="Arial" w:hAnsi="Arial" w:cs="Arial"/>
          <w:sz w:val="24"/>
          <w:szCs w:val="24"/>
        </w:rPr>
        <w:t>doi: </w:t>
      </w:r>
      <w:hyperlink r:id="rId11" w:tgtFrame="pmc_ext" w:history="1">
        <w:r w:rsidRPr="004149F2">
          <w:rPr>
            <w:rStyle w:val="Hyperlink"/>
            <w:rFonts w:ascii="Arial" w:hAnsi="Arial" w:cs="Arial"/>
            <w:sz w:val="24"/>
            <w:szCs w:val="24"/>
          </w:rPr>
          <w:t>10.3389/fpsyg.2015.01511</w:t>
        </w:r>
      </w:hyperlink>
      <w:r w:rsidRPr="004149F2">
        <w:rPr>
          <w:rStyle w:val="doi"/>
          <w:rFonts w:ascii="Arial" w:hAnsi="Arial" w:cs="Arial"/>
          <w:sz w:val="24"/>
          <w:szCs w:val="24"/>
        </w:rPr>
        <w:t xml:space="preserve"> </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Morgenroth, T. and Ryan, M. (</w:t>
      </w:r>
      <w:r w:rsidRPr="004149F2">
        <w:rPr>
          <w:rStyle w:val="cit"/>
          <w:rFonts w:ascii="Arial" w:hAnsi="Arial" w:cs="Arial"/>
          <w:sz w:val="24"/>
          <w:szCs w:val="24"/>
        </w:rPr>
        <w:t xml:space="preserve">2018). </w:t>
      </w:r>
      <w:r w:rsidRPr="004149F2">
        <w:rPr>
          <w:rFonts w:ascii="Arial" w:hAnsi="Arial" w:cs="Arial"/>
          <w:sz w:val="24"/>
          <w:szCs w:val="24"/>
        </w:rPr>
        <w:t xml:space="preserve">Gender Trouble in Social Psychology: How Can Butler’s Work Inform Experimental Social Psychologists’ Conceptualization of Gender? </w:t>
      </w:r>
      <w:r w:rsidRPr="004149F2">
        <w:rPr>
          <w:rStyle w:val="cit"/>
          <w:rFonts w:ascii="Arial" w:hAnsi="Arial" w:cs="Arial"/>
          <w:i/>
          <w:sz w:val="24"/>
          <w:szCs w:val="24"/>
        </w:rPr>
        <w:t>Front Psychol</w:t>
      </w:r>
      <w:r w:rsidRPr="004149F2">
        <w:rPr>
          <w:rStyle w:val="cit"/>
          <w:rFonts w:ascii="Arial" w:hAnsi="Arial" w:cs="Arial"/>
          <w:sz w:val="24"/>
          <w:szCs w:val="24"/>
        </w:rPr>
        <w:t xml:space="preserve">., 9: 1320. </w:t>
      </w:r>
      <w:r w:rsidRPr="004149F2">
        <w:rPr>
          <w:rStyle w:val="doi"/>
          <w:rFonts w:ascii="Arial" w:hAnsi="Arial" w:cs="Arial"/>
          <w:sz w:val="24"/>
          <w:szCs w:val="24"/>
        </w:rPr>
        <w:t>doi: </w:t>
      </w:r>
      <w:hyperlink r:id="rId12" w:tgtFrame="pmc_ext" w:history="1">
        <w:r w:rsidRPr="004149F2">
          <w:rPr>
            <w:rStyle w:val="Hyperlink"/>
            <w:rFonts w:ascii="Arial" w:hAnsi="Arial" w:cs="Arial"/>
            <w:sz w:val="24"/>
            <w:szCs w:val="24"/>
          </w:rPr>
          <w:t>10.3389/fpsyg.2018.01320</w:t>
        </w:r>
      </w:hyperlink>
      <w:r w:rsidRPr="004149F2">
        <w:rPr>
          <w:rStyle w:val="doi"/>
          <w:rFonts w:ascii="Arial" w:hAnsi="Arial" w:cs="Arial"/>
          <w:sz w:val="24"/>
          <w:szCs w:val="24"/>
        </w:rPr>
        <w:t xml:space="preserve"> </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Queer Voices (2016). </w:t>
      </w:r>
      <w:r w:rsidRPr="004149F2">
        <w:rPr>
          <w:rFonts w:ascii="Arial" w:hAnsi="Arial" w:cs="Arial"/>
          <w:i/>
          <w:sz w:val="24"/>
          <w:szCs w:val="24"/>
        </w:rPr>
        <w:t xml:space="preserve">‘Gender And Sexual Diversities,’ Or GSD, Should Replace ‘LGBT,’ Say London Therapists, </w:t>
      </w:r>
      <w:r w:rsidRPr="004149F2">
        <w:rPr>
          <w:rFonts w:ascii="Arial" w:eastAsia="Times New Roman" w:hAnsi="Arial" w:cs="Arial"/>
          <w:bCs/>
          <w:kern w:val="36"/>
          <w:sz w:val="24"/>
          <w:szCs w:val="24"/>
          <w:lang w:eastAsia="en-GB"/>
        </w:rPr>
        <w:t>available at:</w:t>
      </w:r>
      <w:r w:rsidRPr="004149F2">
        <w:rPr>
          <w:rFonts w:ascii="Arial" w:hAnsi="Arial" w:cs="Arial"/>
          <w:i/>
          <w:sz w:val="24"/>
          <w:szCs w:val="24"/>
        </w:rPr>
        <w:t xml:space="preserve"> </w:t>
      </w:r>
      <w:hyperlink r:id="rId13" w:history="1">
        <w:r w:rsidRPr="004149F2">
          <w:rPr>
            <w:rStyle w:val="Hyperlink"/>
            <w:rFonts w:ascii="Arial" w:hAnsi="Arial" w:cs="Arial"/>
            <w:sz w:val="24"/>
            <w:szCs w:val="24"/>
          </w:rPr>
          <w:t>https://www.huffingtonpost.com/2013/02/25/gender-and-sexual-diversities-gsd-lgbt-label-_n_2758908.html</w:t>
        </w:r>
      </w:hyperlink>
      <w:r w:rsidRPr="004149F2">
        <w:rPr>
          <w:rFonts w:ascii="Arial" w:hAnsi="Arial" w:cs="Arial"/>
          <w:sz w:val="24"/>
          <w:szCs w:val="24"/>
        </w:rPr>
        <w:t xml:space="preserve"> [Accessed 22nd January, 2019].</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Ryan, G. (2016). Charles Taylor and the Political Recognition of Difference as a Resource for Theological Reflection on Religious Recognition. </w:t>
      </w:r>
      <w:r w:rsidRPr="004149F2">
        <w:rPr>
          <w:rFonts w:ascii="Arial" w:hAnsi="Arial" w:cs="Arial"/>
          <w:i/>
          <w:sz w:val="24"/>
          <w:szCs w:val="24"/>
        </w:rPr>
        <w:t>Open Theology</w:t>
      </w:r>
      <w:r w:rsidRPr="004149F2">
        <w:rPr>
          <w:rFonts w:ascii="Arial" w:hAnsi="Arial" w:cs="Arial"/>
          <w:sz w:val="24"/>
          <w:szCs w:val="24"/>
        </w:rPr>
        <w:t xml:space="preserve"> 2, pp. 907-923. DOI 10.1515/opth-2016-0069</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Stets, J. E., &amp; Burke, P. J. (2003). A sociological approach to self and identity. In M.  R. Leary &amp; J. P. Tangney (Eds.), </w:t>
      </w:r>
      <w:r w:rsidRPr="004149F2">
        <w:rPr>
          <w:rFonts w:ascii="Arial" w:hAnsi="Arial" w:cs="Arial"/>
          <w:i/>
          <w:sz w:val="24"/>
          <w:szCs w:val="24"/>
        </w:rPr>
        <w:t>Handbook of self and identity</w:t>
      </w:r>
      <w:r w:rsidRPr="004149F2">
        <w:rPr>
          <w:rFonts w:ascii="Arial" w:hAnsi="Arial" w:cs="Arial"/>
          <w:sz w:val="24"/>
          <w:szCs w:val="24"/>
        </w:rPr>
        <w:t xml:space="preserve"> (pp.  128-152). New York: Guilford. </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t xml:space="preserve">Taylor, C. (1992). The Politics of Recognition. In A. Gutmann (Ed.), </w:t>
      </w:r>
      <w:r w:rsidRPr="004149F2">
        <w:rPr>
          <w:rFonts w:ascii="Arial" w:hAnsi="Arial" w:cs="Arial"/>
          <w:i/>
          <w:sz w:val="24"/>
          <w:szCs w:val="24"/>
        </w:rPr>
        <w:t>Multiculturalism and the Politics of Recognition</w:t>
      </w:r>
      <w:r w:rsidRPr="004149F2">
        <w:rPr>
          <w:rFonts w:ascii="Arial" w:hAnsi="Arial" w:cs="Arial"/>
          <w:sz w:val="24"/>
          <w:szCs w:val="24"/>
        </w:rPr>
        <w:t xml:space="preserve"> (pp. 25-74). Princeton: Princeton University Press.</w:t>
      </w:r>
    </w:p>
    <w:p w:rsidR="004933CD" w:rsidRPr="004149F2" w:rsidRDefault="004933CD" w:rsidP="004149F2">
      <w:pPr>
        <w:spacing w:before="100" w:beforeAutospacing="1" w:after="100" w:afterAutospacing="1" w:line="480" w:lineRule="auto"/>
        <w:jc w:val="both"/>
        <w:rPr>
          <w:rFonts w:ascii="Arial" w:hAnsi="Arial" w:cs="Arial"/>
          <w:sz w:val="24"/>
          <w:szCs w:val="24"/>
        </w:rPr>
      </w:pPr>
      <w:r w:rsidRPr="004149F2">
        <w:rPr>
          <w:rFonts w:ascii="Arial" w:hAnsi="Arial" w:cs="Arial"/>
          <w:sz w:val="24"/>
          <w:szCs w:val="24"/>
        </w:rPr>
        <w:lastRenderedPageBreak/>
        <w:t xml:space="preserve">University of British Columbia (2017). </w:t>
      </w:r>
      <w:r w:rsidRPr="004149F2">
        <w:rPr>
          <w:rFonts w:ascii="Arial" w:hAnsi="Arial" w:cs="Arial"/>
          <w:i/>
          <w:sz w:val="24"/>
          <w:szCs w:val="24"/>
        </w:rPr>
        <w:t xml:space="preserve">Gender vs. Sex: A Social Act of Doing, </w:t>
      </w:r>
      <w:r w:rsidRPr="004149F2">
        <w:rPr>
          <w:rFonts w:ascii="Arial" w:eastAsia="Times New Roman" w:hAnsi="Arial" w:cs="Arial"/>
          <w:bCs/>
          <w:kern w:val="36"/>
          <w:sz w:val="24"/>
          <w:szCs w:val="24"/>
          <w:lang w:eastAsia="en-GB"/>
        </w:rPr>
        <w:t>available at:</w:t>
      </w:r>
      <w:r w:rsidRPr="004149F2">
        <w:rPr>
          <w:rFonts w:ascii="Arial" w:hAnsi="Arial" w:cs="Arial"/>
          <w:sz w:val="24"/>
          <w:szCs w:val="24"/>
        </w:rPr>
        <w:t xml:space="preserve"> </w:t>
      </w:r>
      <w:hyperlink r:id="rId14" w:history="1">
        <w:r w:rsidRPr="004149F2">
          <w:rPr>
            <w:rStyle w:val="Hyperlink"/>
            <w:rFonts w:ascii="Arial" w:hAnsi="Arial" w:cs="Arial"/>
            <w:sz w:val="24"/>
            <w:szCs w:val="24"/>
          </w:rPr>
          <w:t>https://blogs.ubc.ca/socialtheory/category/marxist-traditions/butler-gender-trouble/</w:t>
        </w:r>
      </w:hyperlink>
      <w:r w:rsidRPr="004149F2">
        <w:rPr>
          <w:rFonts w:ascii="Arial" w:hAnsi="Arial" w:cs="Arial"/>
          <w:sz w:val="24"/>
          <w:szCs w:val="24"/>
        </w:rPr>
        <w:t xml:space="preserve"> [Accessed 22nd January, 2019].</w:t>
      </w:r>
    </w:p>
    <w:p w:rsidR="005E366E" w:rsidRPr="004149F2" w:rsidRDefault="004933CD" w:rsidP="004149F2">
      <w:pPr>
        <w:spacing w:before="100" w:beforeAutospacing="1" w:after="100" w:afterAutospacing="1" w:line="480" w:lineRule="auto"/>
        <w:jc w:val="both"/>
        <w:rPr>
          <w:rStyle w:val="mixed-citation"/>
          <w:rFonts w:ascii="Arial" w:hAnsi="Arial" w:cs="Arial"/>
          <w:sz w:val="24"/>
          <w:szCs w:val="24"/>
        </w:rPr>
      </w:pPr>
      <w:r w:rsidRPr="004149F2">
        <w:rPr>
          <w:rStyle w:val="mixed-citation"/>
          <w:rFonts w:ascii="Arial" w:hAnsi="Arial" w:cs="Arial"/>
          <w:sz w:val="24"/>
          <w:szCs w:val="24"/>
        </w:rPr>
        <w:t xml:space="preserve">World Health Organization (1992). </w:t>
      </w:r>
      <w:r w:rsidRPr="004149F2">
        <w:rPr>
          <w:rStyle w:val="Emphasis"/>
          <w:rFonts w:ascii="Arial" w:hAnsi="Arial" w:cs="Arial"/>
          <w:sz w:val="24"/>
          <w:szCs w:val="24"/>
        </w:rPr>
        <w:t>International Statistical Classification of Diseases and Related Health Problems</w:t>
      </w:r>
      <w:r w:rsidRPr="004149F2">
        <w:rPr>
          <w:rStyle w:val="mixed-citation"/>
          <w:rFonts w:ascii="Arial" w:hAnsi="Arial" w:cs="Arial"/>
          <w:sz w:val="24"/>
          <w:szCs w:val="24"/>
        </w:rPr>
        <w:t xml:space="preserve"> (10th rev.) Geneva: World Health Organization.</w:t>
      </w:r>
    </w:p>
    <w:p w:rsidR="005E366E" w:rsidRPr="004149F2" w:rsidRDefault="005E366E" w:rsidP="004149F2">
      <w:pPr>
        <w:spacing w:before="100" w:beforeAutospacing="1" w:after="100" w:afterAutospacing="1" w:line="480" w:lineRule="auto"/>
        <w:jc w:val="both"/>
        <w:rPr>
          <w:rFonts w:ascii="Arial" w:hAnsi="Arial" w:cs="Arial"/>
          <w:b/>
          <w:sz w:val="24"/>
          <w:szCs w:val="24"/>
        </w:rPr>
      </w:pPr>
    </w:p>
    <w:p w:rsidR="00694BE2" w:rsidRPr="004149F2" w:rsidRDefault="00694BE2" w:rsidP="004149F2">
      <w:pPr>
        <w:spacing w:before="100" w:beforeAutospacing="1" w:after="100" w:afterAutospacing="1" w:line="480" w:lineRule="auto"/>
        <w:jc w:val="both"/>
        <w:rPr>
          <w:rFonts w:ascii="Arial" w:hAnsi="Arial" w:cs="Arial"/>
          <w:sz w:val="24"/>
          <w:szCs w:val="24"/>
        </w:rPr>
      </w:pPr>
    </w:p>
    <w:p w:rsidR="00694BE2" w:rsidRPr="004149F2" w:rsidRDefault="00694BE2" w:rsidP="004149F2">
      <w:pPr>
        <w:spacing w:before="100" w:beforeAutospacing="1" w:after="100" w:afterAutospacing="1" w:line="480" w:lineRule="auto"/>
        <w:jc w:val="both"/>
        <w:rPr>
          <w:rFonts w:ascii="Arial" w:hAnsi="Arial" w:cs="Arial"/>
          <w:sz w:val="24"/>
          <w:szCs w:val="24"/>
        </w:rPr>
      </w:pPr>
    </w:p>
    <w:sectPr w:rsidR="00694BE2" w:rsidRPr="004149F2" w:rsidSect="00E54BC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109D" w:rsidRDefault="0048109D" w:rsidP="007A3CB4">
      <w:pPr>
        <w:spacing w:after="0" w:line="240" w:lineRule="auto"/>
      </w:pPr>
      <w:r>
        <w:separator/>
      </w:r>
    </w:p>
  </w:endnote>
  <w:endnote w:type="continuationSeparator" w:id="0">
    <w:p w:rsidR="0048109D" w:rsidRDefault="0048109D" w:rsidP="007A3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109D" w:rsidRDefault="0048109D" w:rsidP="007A3CB4">
      <w:pPr>
        <w:spacing w:after="0" w:line="240" w:lineRule="auto"/>
      </w:pPr>
      <w:r>
        <w:separator/>
      </w:r>
    </w:p>
  </w:footnote>
  <w:footnote w:type="continuationSeparator" w:id="0">
    <w:p w:rsidR="0048109D" w:rsidRDefault="0048109D" w:rsidP="007A3C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535905"/>
      <w:docPartObj>
        <w:docPartGallery w:val="Page Numbers (Top of Page)"/>
        <w:docPartUnique/>
      </w:docPartObj>
    </w:sdtPr>
    <w:sdtEndPr/>
    <w:sdtContent>
      <w:p w:rsidR="00C610D5" w:rsidRDefault="0048109D">
        <w:pPr>
          <w:pStyle w:val="Header"/>
          <w:jc w:val="right"/>
        </w:pPr>
        <w:r>
          <w:rPr>
            <w:noProof/>
          </w:rPr>
          <w:fldChar w:fldCharType="begin"/>
        </w:r>
        <w:r>
          <w:rPr>
            <w:noProof/>
          </w:rPr>
          <w:instrText xml:space="preserve"> PAGE   \* MERGEFORMAT </w:instrText>
        </w:r>
        <w:r>
          <w:rPr>
            <w:noProof/>
          </w:rPr>
          <w:fldChar w:fldCharType="separate"/>
        </w:r>
        <w:r w:rsidR="00DC7048">
          <w:rPr>
            <w:noProof/>
          </w:rPr>
          <w:t>9</w:t>
        </w:r>
        <w:r>
          <w:rPr>
            <w:noProof/>
          </w:rPr>
          <w:fldChar w:fldCharType="end"/>
        </w:r>
      </w:p>
    </w:sdtContent>
  </w:sdt>
  <w:p w:rsidR="00C610D5" w:rsidRDefault="00C610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D41D7"/>
    <w:rsid w:val="00022C95"/>
    <w:rsid w:val="00035BEF"/>
    <w:rsid w:val="000406BC"/>
    <w:rsid w:val="00050085"/>
    <w:rsid w:val="00061462"/>
    <w:rsid w:val="00085DCD"/>
    <w:rsid w:val="000A3CE0"/>
    <w:rsid w:val="000D5171"/>
    <w:rsid w:val="000F1A44"/>
    <w:rsid w:val="000F6B44"/>
    <w:rsid w:val="001152AA"/>
    <w:rsid w:val="00130D3B"/>
    <w:rsid w:val="0014514D"/>
    <w:rsid w:val="0016181B"/>
    <w:rsid w:val="0016621F"/>
    <w:rsid w:val="001B35DB"/>
    <w:rsid w:val="001D4381"/>
    <w:rsid w:val="00257BF5"/>
    <w:rsid w:val="002E0ACC"/>
    <w:rsid w:val="002E5678"/>
    <w:rsid w:val="002F1033"/>
    <w:rsid w:val="002F42D2"/>
    <w:rsid w:val="002F4517"/>
    <w:rsid w:val="00304FA7"/>
    <w:rsid w:val="00351C47"/>
    <w:rsid w:val="00356D2F"/>
    <w:rsid w:val="0037398A"/>
    <w:rsid w:val="003850DA"/>
    <w:rsid w:val="003B4035"/>
    <w:rsid w:val="003B5CF7"/>
    <w:rsid w:val="003C7594"/>
    <w:rsid w:val="003D10E1"/>
    <w:rsid w:val="004021D5"/>
    <w:rsid w:val="004149F2"/>
    <w:rsid w:val="004479FB"/>
    <w:rsid w:val="0048109D"/>
    <w:rsid w:val="004933CD"/>
    <w:rsid w:val="004F56F6"/>
    <w:rsid w:val="00504CAD"/>
    <w:rsid w:val="00516004"/>
    <w:rsid w:val="00521A2A"/>
    <w:rsid w:val="00526E5E"/>
    <w:rsid w:val="00527B39"/>
    <w:rsid w:val="00534F77"/>
    <w:rsid w:val="00587316"/>
    <w:rsid w:val="00590506"/>
    <w:rsid w:val="00594CB5"/>
    <w:rsid w:val="005A77B6"/>
    <w:rsid w:val="005B3699"/>
    <w:rsid w:val="005B3E4D"/>
    <w:rsid w:val="005C4A66"/>
    <w:rsid w:val="005E0371"/>
    <w:rsid w:val="005E3634"/>
    <w:rsid w:val="005E366E"/>
    <w:rsid w:val="005F3115"/>
    <w:rsid w:val="005F647F"/>
    <w:rsid w:val="005F7C62"/>
    <w:rsid w:val="006331D6"/>
    <w:rsid w:val="0063388B"/>
    <w:rsid w:val="006576A3"/>
    <w:rsid w:val="00674D08"/>
    <w:rsid w:val="0068149D"/>
    <w:rsid w:val="00691306"/>
    <w:rsid w:val="00694BE2"/>
    <w:rsid w:val="00696949"/>
    <w:rsid w:val="006F5E45"/>
    <w:rsid w:val="00712B25"/>
    <w:rsid w:val="00720AA4"/>
    <w:rsid w:val="00753739"/>
    <w:rsid w:val="00756E98"/>
    <w:rsid w:val="00786899"/>
    <w:rsid w:val="007A3CB4"/>
    <w:rsid w:val="007A47B2"/>
    <w:rsid w:val="007D7788"/>
    <w:rsid w:val="008018AF"/>
    <w:rsid w:val="00817B80"/>
    <w:rsid w:val="00867F01"/>
    <w:rsid w:val="00870DC0"/>
    <w:rsid w:val="008D3F82"/>
    <w:rsid w:val="008F0BC4"/>
    <w:rsid w:val="00905748"/>
    <w:rsid w:val="00920140"/>
    <w:rsid w:val="00952B04"/>
    <w:rsid w:val="009775D8"/>
    <w:rsid w:val="00990122"/>
    <w:rsid w:val="00992522"/>
    <w:rsid w:val="009C1542"/>
    <w:rsid w:val="009C2FE4"/>
    <w:rsid w:val="00A010F4"/>
    <w:rsid w:val="00A60EAB"/>
    <w:rsid w:val="00A85C36"/>
    <w:rsid w:val="00A913E1"/>
    <w:rsid w:val="00AA2BD3"/>
    <w:rsid w:val="00AD41D7"/>
    <w:rsid w:val="00AF5BA8"/>
    <w:rsid w:val="00B07182"/>
    <w:rsid w:val="00B33646"/>
    <w:rsid w:val="00B33F75"/>
    <w:rsid w:val="00B418CD"/>
    <w:rsid w:val="00BC1C57"/>
    <w:rsid w:val="00BD7BFD"/>
    <w:rsid w:val="00BE13AE"/>
    <w:rsid w:val="00BE42FB"/>
    <w:rsid w:val="00BF77A1"/>
    <w:rsid w:val="00C01E57"/>
    <w:rsid w:val="00C053FC"/>
    <w:rsid w:val="00C0564D"/>
    <w:rsid w:val="00C2543C"/>
    <w:rsid w:val="00C46F91"/>
    <w:rsid w:val="00C610D5"/>
    <w:rsid w:val="00C6768B"/>
    <w:rsid w:val="00CC1168"/>
    <w:rsid w:val="00D06B42"/>
    <w:rsid w:val="00D60543"/>
    <w:rsid w:val="00D75B72"/>
    <w:rsid w:val="00DB2571"/>
    <w:rsid w:val="00DB26F0"/>
    <w:rsid w:val="00DC5C46"/>
    <w:rsid w:val="00DC7048"/>
    <w:rsid w:val="00DF0219"/>
    <w:rsid w:val="00DF31D0"/>
    <w:rsid w:val="00DF7D62"/>
    <w:rsid w:val="00E27253"/>
    <w:rsid w:val="00E52FBF"/>
    <w:rsid w:val="00E54BC6"/>
    <w:rsid w:val="00E64B7C"/>
    <w:rsid w:val="00E710EA"/>
    <w:rsid w:val="00E72A3C"/>
    <w:rsid w:val="00E74B6A"/>
    <w:rsid w:val="00E868D3"/>
    <w:rsid w:val="00EA0E76"/>
    <w:rsid w:val="00ED5659"/>
    <w:rsid w:val="00F10F5E"/>
    <w:rsid w:val="00F147C9"/>
    <w:rsid w:val="00F20FC6"/>
    <w:rsid w:val="00F324F5"/>
    <w:rsid w:val="00F3612D"/>
    <w:rsid w:val="00F46C7B"/>
    <w:rsid w:val="00F51114"/>
    <w:rsid w:val="00F66BF1"/>
    <w:rsid w:val="00F72566"/>
    <w:rsid w:val="00F77025"/>
    <w:rsid w:val="00F861FA"/>
    <w:rsid w:val="00FE7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A7CB6D7-C3FC-477D-BF59-4B7F98CE9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4BC6"/>
    <w:rPr>
      <w:lang w:val="en-US"/>
    </w:rPr>
  </w:style>
  <w:style w:type="paragraph" w:styleId="Heading1">
    <w:name w:val="heading 1"/>
    <w:basedOn w:val="Normal"/>
    <w:link w:val="Heading1Char"/>
    <w:uiPriority w:val="9"/>
    <w:qFormat/>
    <w:rsid w:val="00952B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E36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1B35D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C36"/>
    <w:rPr>
      <w:color w:val="0000FF" w:themeColor="hyperlink"/>
      <w:u w:val="single"/>
    </w:rPr>
  </w:style>
  <w:style w:type="character" w:customStyle="1" w:styleId="pagetitles">
    <w:name w:val="pagetitles"/>
    <w:basedOn w:val="DefaultParagraphFont"/>
    <w:rsid w:val="00A85C36"/>
  </w:style>
  <w:style w:type="character" w:customStyle="1" w:styleId="Heading1Char">
    <w:name w:val="Heading 1 Char"/>
    <w:basedOn w:val="DefaultParagraphFont"/>
    <w:link w:val="Heading1"/>
    <w:uiPriority w:val="9"/>
    <w:rsid w:val="00952B04"/>
    <w:rPr>
      <w:rFonts w:ascii="Times New Roman" w:eastAsia="Times New Roman" w:hAnsi="Times New Roman" w:cs="Times New Roman"/>
      <w:b/>
      <w:bCs/>
      <w:kern w:val="36"/>
      <w:sz w:val="48"/>
      <w:szCs w:val="48"/>
      <w:lang w:eastAsia="en-GB"/>
    </w:rPr>
  </w:style>
  <w:style w:type="character" w:customStyle="1" w:styleId="mixed-citation">
    <w:name w:val="mixed-citation"/>
    <w:basedOn w:val="DefaultParagraphFont"/>
    <w:rsid w:val="00F324F5"/>
  </w:style>
  <w:style w:type="character" w:styleId="Emphasis">
    <w:name w:val="Emphasis"/>
    <w:basedOn w:val="DefaultParagraphFont"/>
    <w:uiPriority w:val="20"/>
    <w:qFormat/>
    <w:rsid w:val="00F324F5"/>
    <w:rPr>
      <w:i/>
      <w:iCs/>
    </w:rPr>
  </w:style>
  <w:style w:type="character" w:customStyle="1" w:styleId="cit">
    <w:name w:val="cit"/>
    <w:basedOn w:val="DefaultParagraphFont"/>
    <w:rsid w:val="00712B25"/>
  </w:style>
  <w:style w:type="character" w:customStyle="1" w:styleId="doi">
    <w:name w:val="doi"/>
    <w:basedOn w:val="DefaultParagraphFont"/>
    <w:rsid w:val="00712B25"/>
  </w:style>
  <w:style w:type="character" w:customStyle="1" w:styleId="Heading4Char">
    <w:name w:val="Heading 4 Char"/>
    <w:basedOn w:val="DefaultParagraphFont"/>
    <w:link w:val="Heading4"/>
    <w:uiPriority w:val="9"/>
    <w:semiHidden/>
    <w:rsid w:val="001B35DB"/>
    <w:rPr>
      <w:rFonts w:asciiTheme="majorHAnsi" w:eastAsiaTheme="majorEastAsia" w:hAnsiTheme="majorHAnsi" w:cstheme="majorBidi"/>
      <w:b/>
      <w:bCs/>
      <w:i/>
      <w:iCs/>
      <w:color w:val="4F81BD" w:themeColor="accent1"/>
    </w:rPr>
  </w:style>
  <w:style w:type="character" w:customStyle="1" w:styleId="ref-title">
    <w:name w:val="ref-title"/>
    <w:basedOn w:val="DefaultParagraphFont"/>
    <w:rsid w:val="0016621F"/>
  </w:style>
  <w:style w:type="character" w:customStyle="1" w:styleId="ref-vol">
    <w:name w:val="ref-vol"/>
    <w:basedOn w:val="DefaultParagraphFont"/>
    <w:rsid w:val="0016621F"/>
  </w:style>
  <w:style w:type="character" w:customStyle="1" w:styleId="nowrap">
    <w:name w:val="nowrap"/>
    <w:basedOn w:val="DefaultParagraphFont"/>
    <w:rsid w:val="0016621F"/>
  </w:style>
  <w:style w:type="paragraph" w:styleId="Header">
    <w:name w:val="header"/>
    <w:basedOn w:val="Normal"/>
    <w:link w:val="HeaderChar"/>
    <w:uiPriority w:val="99"/>
    <w:unhideWhenUsed/>
    <w:rsid w:val="007A3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CB4"/>
  </w:style>
  <w:style w:type="paragraph" w:styleId="Footer">
    <w:name w:val="footer"/>
    <w:basedOn w:val="Normal"/>
    <w:link w:val="FooterChar"/>
    <w:uiPriority w:val="99"/>
    <w:semiHidden/>
    <w:unhideWhenUsed/>
    <w:rsid w:val="007A3CB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3CB4"/>
  </w:style>
  <w:style w:type="character" w:customStyle="1" w:styleId="Heading2Char">
    <w:name w:val="Heading 2 Char"/>
    <w:basedOn w:val="DefaultParagraphFont"/>
    <w:link w:val="Heading2"/>
    <w:uiPriority w:val="9"/>
    <w:semiHidden/>
    <w:rsid w:val="005E366E"/>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308337">
      <w:bodyDiv w:val="1"/>
      <w:marLeft w:val="0"/>
      <w:marRight w:val="0"/>
      <w:marTop w:val="0"/>
      <w:marBottom w:val="0"/>
      <w:divBdr>
        <w:top w:val="none" w:sz="0" w:space="0" w:color="auto"/>
        <w:left w:val="none" w:sz="0" w:space="0" w:color="auto"/>
        <w:bottom w:val="none" w:sz="0" w:space="0" w:color="auto"/>
        <w:right w:val="none" w:sz="0" w:space="0" w:color="auto"/>
      </w:divBdr>
    </w:div>
    <w:div w:id="91559633">
      <w:bodyDiv w:val="1"/>
      <w:marLeft w:val="0"/>
      <w:marRight w:val="0"/>
      <w:marTop w:val="0"/>
      <w:marBottom w:val="0"/>
      <w:divBdr>
        <w:top w:val="none" w:sz="0" w:space="0" w:color="auto"/>
        <w:left w:val="none" w:sz="0" w:space="0" w:color="auto"/>
        <w:bottom w:val="none" w:sz="0" w:space="0" w:color="auto"/>
        <w:right w:val="none" w:sz="0" w:space="0" w:color="auto"/>
      </w:divBdr>
    </w:div>
    <w:div w:id="267468216">
      <w:bodyDiv w:val="1"/>
      <w:marLeft w:val="0"/>
      <w:marRight w:val="0"/>
      <w:marTop w:val="0"/>
      <w:marBottom w:val="0"/>
      <w:divBdr>
        <w:top w:val="none" w:sz="0" w:space="0" w:color="auto"/>
        <w:left w:val="none" w:sz="0" w:space="0" w:color="auto"/>
        <w:bottom w:val="none" w:sz="0" w:space="0" w:color="auto"/>
        <w:right w:val="none" w:sz="0" w:space="0" w:color="auto"/>
      </w:divBdr>
    </w:div>
    <w:div w:id="601690745">
      <w:bodyDiv w:val="1"/>
      <w:marLeft w:val="0"/>
      <w:marRight w:val="0"/>
      <w:marTop w:val="0"/>
      <w:marBottom w:val="0"/>
      <w:divBdr>
        <w:top w:val="none" w:sz="0" w:space="0" w:color="auto"/>
        <w:left w:val="none" w:sz="0" w:space="0" w:color="auto"/>
        <w:bottom w:val="none" w:sz="0" w:space="0" w:color="auto"/>
        <w:right w:val="none" w:sz="0" w:space="0" w:color="auto"/>
      </w:divBdr>
    </w:div>
    <w:div w:id="870650925">
      <w:bodyDiv w:val="1"/>
      <w:marLeft w:val="0"/>
      <w:marRight w:val="0"/>
      <w:marTop w:val="0"/>
      <w:marBottom w:val="0"/>
      <w:divBdr>
        <w:top w:val="none" w:sz="0" w:space="0" w:color="auto"/>
        <w:left w:val="none" w:sz="0" w:space="0" w:color="auto"/>
        <w:bottom w:val="none" w:sz="0" w:space="0" w:color="auto"/>
        <w:right w:val="none" w:sz="0" w:space="0" w:color="auto"/>
      </w:divBdr>
    </w:div>
    <w:div w:id="1151211881">
      <w:bodyDiv w:val="1"/>
      <w:marLeft w:val="0"/>
      <w:marRight w:val="0"/>
      <w:marTop w:val="0"/>
      <w:marBottom w:val="0"/>
      <w:divBdr>
        <w:top w:val="none" w:sz="0" w:space="0" w:color="auto"/>
        <w:left w:val="none" w:sz="0" w:space="0" w:color="auto"/>
        <w:bottom w:val="none" w:sz="0" w:space="0" w:color="auto"/>
        <w:right w:val="none" w:sz="0" w:space="0" w:color="auto"/>
      </w:divBdr>
      <w:divsChild>
        <w:div w:id="354624950">
          <w:marLeft w:val="0"/>
          <w:marRight w:val="0"/>
          <w:marTop w:val="0"/>
          <w:marBottom w:val="0"/>
          <w:divBdr>
            <w:top w:val="none" w:sz="0" w:space="0" w:color="auto"/>
            <w:left w:val="none" w:sz="0" w:space="0" w:color="auto"/>
            <w:bottom w:val="none" w:sz="0" w:space="0" w:color="auto"/>
            <w:right w:val="none" w:sz="0" w:space="0" w:color="auto"/>
          </w:divBdr>
          <w:divsChild>
            <w:div w:id="90217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896317">
      <w:bodyDiv w:val="1"/>
      <w:marLeft w:val="0"/>
      <w:marRight w:val="0"/>
      <w:marTop w:val="0"/>
      <w:marBottom w:val="0"/>
      <w:divBdr>
        <w:top w:val="none" w:sz="0" w:space="0" w:color="auto"/>
        <w:left w:val="none" w:sz="0" w:space="0" w:color="auto"/>
        <w:bottom w:val="none" w:sz="0" w:space="0" w:color="auto"/>
        <w:right w:val="none" w:sz="0" w:space="0" w:color="auto"/>
      </w:divBdr>
      <w:divsChild>
        <w:div w:id="305624321">
          <w:marLeft w:val="0"/>
          <w:marRight w:val="0"/>
          <w:marTop w:val="0"/>
          <w:marBottom w:val="0"/>
          <w:divBdr>
            <w:top w:val="none" w:sz="0" w:space="0" w:color="auto"/>
            <w:left w:val="none" w:sz="0" w:space="0" w:color="auto"/>
            <w:bottom w:val="none" w:sz="0" w:space="0" w:color="auto"/>
            <w:right w:val="none" w:sz="0" w:space="0" w:color="auto"/>
          </w:divBdr>
          <w:divsChild>
            <w:div w:id="212075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541978">
      <w:bodyDiv w:val="1"/>
      <w:marLeft w:val="0"/>
      <w:marRight w:val="0"/>
      <w:marTop w:val="0"/>
      <w:marBottom w:val="0"/>
      <w:divBdr>
        <w:top w:val="none" w:sz="0" w:space="0" w:color="auto"/>
        <w:left w:val="none" w:sz="0" w:space="0" w:color="auto"/>
        <w:bottom w:val="none" w:sz="0" w:space="0" w:color="auto"/>
        <w:right w:val="none" w:sz="0" w:space="0" w:color="auto"/>
      </w:divBdr>
    </w:div>
    <w:div w:id="1731271952">
      <w:bodyDiv w:val="1"/>
      <w:marLeft w:val="0"/>
      <w:marRight w:val="0"/>
      <w:marTop w:val="0"/>
      <w:marBottom w:val="0"/>
      <w:divBdr>
        <w:top w:val="none" w:sz="0" w:space="0" w:color="auto"/>
        <w:left w:val="none" w:sz="0" w:space="0" w:color="auto"/>
        <w:bottom w:val="none" w:sz="0" w:space="0" w:color="auto"/>
        <w:right w:val="none" w:sz="0" w:space="0" w:color="auto"/>
      </w:divBdr>
    </w:div>
    <w:div w:id="211913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science-choice/201412/basics-identity" TargetMode="External"/><Relationship Id="rId13" Type="http://schemas.openxmlformats.org/officeDocument/2006/relationships/hyperlink" Target="https://www.huffingtonpost.com/2013/02/25/gender-and-sexual-diversities-gsd-lgbt-label-_n_2758908.html" TargetMode="External"/><Relationship Id="rId3" Type="http://schemas.openxmlformats.org/officeDocument/2006/relationships/webSettings" Target="webSettings.xml"/><Relationship Id="rId7" Type="http://schemas.openxmlformats.org/officeDocument/2006/relationships/hyperlink" Target="https://www.eauk.org/current-affairs/politics/recent-developments-in-counselling-practice.cfm" TargetMode="External"/><Relationship Id="rId12" Type="http://schemas.openxmlformats.org/officeDocument/2006/relationships/hyperlink" Target="https://dx.doi.org/10.3389%2Ffpsyg.2018.01320"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mnesty.org.uk/blogs/stories-and-rights/why-we-have-right-identity" TargetMode="External"/><Relationship Id="rId11" Type="http://schemas.openxmlformats.org/officeDocument/2006/relationships/hyperlink" Target="https://dx.doi.org/10.3389%2Ffpsyg.2015.0151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archermagazine.com.au/2014/05/lgbt-vs-dsg-a-new-acronym-for-a-new-era/" TargetMode="External"/><Relationship Id="rId4" Type="http://schemas.openxmlformats.org/officeDocument/2006/relationships/footnotes" Target="footnotes.xml"/><Relationship Id="rId9" Type="http://schemas.openxmlformats.org/officeDocument/2006/relationships/hyperlink" Target="http://www.philosophyhammer.com/text.php?id=184" TargetMode="External"/><Relationship Id="rId14" Type="http://schemas.openxmlformats.org/officeDocument/2006/relationships/hyperlink" Target="https://blogs.ubc.ca/socialtheory/category/marxist-traditions/butler-gender-trou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1314</TotalTime>
  <Pages>13</Pages>
  <Words>3208</Words>
  <Characters>18291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Guest</cp:lastModifiedBy>
  <cp:revision>131</cp:revision>
  <dcterms:created xsi:type="dcterms:W3CDTF">2019-01-21T19:01:00Z</dcterms:created>
  <dcterms:modified xsi:type="dcterms:W3CDTF">2019-01-22T19:33:00Z</dcterms:modified>
</cp:coreProperties>
</file>