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7633B9B" w14:textId="77777777" w:rsidR="00BD3B18" w:rsidRDefault="00BD3B18">
      <w:pPr>
        <w:spacing w:before="1800" w:line="360" w:lineRule="auto"/>
        <w:rPr>
          <w:rFonts w:ascii="Times New Roman" w:eastAsia="Times New Roman" w:hAnsi="Times New Roman" w:cs="Times New Roman"/>
        </w:rPr>
      </w:pPr>
    </w:p>
    <w:p w14:paraId="44F28CBD" w14:textId="77777777" w:rsidR="00BD3B18" w:rsidRDefault="00000000">
      <w:pPr>
        <w:spacing w:after="240" w:line="360" w:lineRule="auto"/>
        <w:jc w:val="center"/>
        <w:rPr>
          <w:rFonts w:ascii="Times New Roman" w:eastAsia="Times New Roman" w:hAnsi="Times New Roman" w:cs="Times New Roman"/>
        </w:rPr>
      </w:pPr>
      <w:r>
        <w:rPr>
          <w:rFonts w:ascii="Times New Roman" w:eastAsia="Times New Roman" w:hAnsi="Times New Roman" w:cs="Times New Roman"/>
          <w:b/>
          <w:bCs/>
          <w:sz w:val="36"/>
          <w:szCs w:val="36"/>
        </w:rPr>
        <w:t>A Critical Analysis of External Factors Influencing the Creator Economy (Influencer Industry)</w:t>
      </w:r>
    </w:p>
    <w:p w14:paraId="078477BC" w14:textId="58E021A8" w:rsidR="005F292C" w:rsidRPr="00817B88" w:rsidRDefault="00000000" w:rsidP="0015064D">
      <w:pPr>
        <w:spacing w:after="600" w:line="360" w:lineRule="auto"/>
        <w:jc w:val="center"/>
        <w:rPr>
          <w:rFonts w:ascii="Times New Roman" w:eastAsia="Times New Roman" w:hAnsi="Times New Roman" w:cs="Times New Roman"/>
          <w:b/>
          <w:bCs/>
          <w:sz w:val="26"/>
          <w:szCs w:val="26"/>
        </w:rPr>
      </w:pPr>
      <w:r>
        <w:rPr>
          <w:rFonts w:ascii="Times New Roman" w:eastAsia="Times New Roman" w:hAnsi="Times New Roman" w:cs="Times New Roman"/>
          <w:i/>
          <w:iCs/>
          <w:sz w:val="26"/>
          <w:szCs w:val="26"/>
        </w:rPr>
        <w:t>Applying the STEEPLE and SWOT Frameworks with a Future Lens</w:t>
      </w:r>
    </w:p>
    <w:p w14:paraId="79BE0E32" w14:textId="77777777" w:rsidR="004D03CB" w:rsidRDefault="00D85404" w:rsidP="00330C84">
      <w:pPr>
        <w:spacing w:after="120" w:line="360" w:lineRule="auto"/>
        <w:rPr>
          <w:rFonts w:ascii="Times New Roman" w:eastAsia="Times New Roman" w:hAnsi="Times New Roman" w:cs="Times New Roman"/>
        </w:rPr>
      </w:pPr>
      <w:r>
        <w:rPr>
          <w:rFonts w:ascii="Times New Roman" w:eastAsia="Times New Roman" w:hAnsi="Times New Roman" w:cs="Times New Roman"/>
        </w:rPr>
        <w:t xml:space="preserve">  </w:t>
      </w:r>
    </w:p>
    <w:p w14:paraId="4CDA07C9" w14:textId="5F508490" w:rsidR="003A729F" w:rsidRDefault="00D85404" w:rsidP="00330C84">
      <w:pPr>
        <w:spacing w:after="120" w:line="360" w:lineRule="auto"/>
        <w:rPr>
          <w:rFonts w:ascii="Times New Roman" w:eastAsia="Times New Roman" w:hAnsi="Times New Roman" w:cs="Times New Roman"/>
        </w:rPr>
      </w:pPr>
      <w:r>
        <w:rPr>
          <w:rFonts w:ascii="Times New Roman" w:eastAsia="Times New Roman" w:hAnsi="Times New Roman" w:cs="Times New Roman"/>
        </w:rPr>
        <w:t xml:space="preserve"> </w:t>
      </w:r>
      <w:r w:rsidR="00CD06BB">
        <w:rPr>
          <w:rFonts w:ascii="Times New Roman" w:eastAsia="Times New Roman" w:hAnsi="Times New Roman" w:cs="Times New Roman"/>
          <w:b/>
          <w:bCs/>
        </w:rPr>
        <w:t>Module</w:t>
      </w:r>
      <w:r w:rsidR="00DA4630">
        <w:rPr>
          <w:rFonts w:ascii="Times New Roman" w:eastAsia="Times New Roman" w:hAnsi="Times New Roman" w:cs="Times New Roman"/>
          <w:b/>
          <w:bCs/>
        </w:rPr>
        <w:t xml:space="preserve"> </w:t>
      </w:r>
      <w:r w:rsidR="00CD06BB">
        <w:rPr>
          <w:rFonts w:ascii="Times New Roman" w:eastAsia="Times New Roman" w:hAnsi="Times New Roman" w:cs="Times New Roman"/>
          <w:b/>
          <w:bCs/>
        </w:rPr>
        <w:t xml:space="preserve"> </w:t>
      </w:r>
      <w:r w:rsidR="00B5789C">
        <w:rPr>
          <w:rFonts w:ascii="Times New Roman" w:eastAsia="Times New Roman" w:hAnsi="Times New Roman" w:cs="Times New Roman"/>
        </w:rPr>
        <w:t>:</w:t>
      </w:r>
      <w:r w:rsidR="00D673F0">
        <w:rPr>
          <w:rFonts w:ascii="Times New Roman" w:eastAsia="Times New Roman" w:hAnsi="Times New Roman" w:cs="Times New Roman"/>
        </w:rPr>
        <w:t xml:space="preserve"> </w:t>
      </w:r>
      <w:r w:rsidR="00000000">
        <w:rPr>
          <w:rFonts w:ascii="Times New Roman" w:eastAsia="Times New Roman" w:hAnsi="Times New Roman" w:cs="Times New Roman"/>
        </w:rPr>
        <w:t>Problem Solving and Innovation (BMSW4014)</w:t>
      </w:r>
    </w:p>
    <w:p w14:paraId="2BD9954C" w14:textId="6C5680DA" w:rsidR="00BD3B18" w:rsidRDefault="0044585F">
      <w:pPr>
        <w:spacing w:after="120" w:line="360" w:lineRule="auto"/>
        <w:jc w:val="center"/>
        <w:rPr>
          <w:rFonts w:ascii="Times New Roman" w:eastAsia="Times New Roman" w:hAnsi="Times New Roman" w:cs="Times New Roman"/>
        </w:rPr>
      </w:pPr>
      <w:r>
        <w:rPr>
          <w:rFonts w:ascii="Times New Roman" w:eastAsia="Times New Roman" w:hAnsi="Times New Roman" w:cs="Times New Roman"/>
          <w:b/>
          <w:bCs/>
        </w:rPr>
        <w:t xml:space="preserve">Assignment </w:t>
      </w:r>
      <w:r w:rsidR="00461775">
        <w:rPr>
          <w:rFonts w:ascii="Times New Roman" w:eastAsia="Times New Roman" w:hAnsi="Times New Roman" w:cs="Times New Roman"/>
          <w:b/>
          <w:bCs/>
        </w:rPr>
        <w:t>title</w:t>
      </w:r>
      <w:r w:rsidR="00000000">
        <w:rPr>
          <w:rFonts w:ascii="Times New Roman" w:eastAsia="Times New Roman" w:hAnsi="Times New Roman" w:cs="Times New Roman"/>
        </w:rPr>
        <w:t>: Understanding the Business Environment of the Influencer Industry</w:t>
      </w:r>
    </w:p>
    <w:p w14:paraId="00FCD492" w14:textId="6886FF70" w:rsidR="000C7A9A" w:rsidRDefault="005D796C">
      <w:pPr>
        <w:spacing w:after="120" w:line="360" w:lineRule="auto"/>
        <w:jc w:val="center"/>
        <w:rPr>
          <w:rFonts w:ascii="Times New Roman" w:eastAsia="Times New Roman" w:hAnsi="Times New Roman" w:cs="Times New Roman"/>
        </w:rPr>
      </w:pPr>
      <w:r>
        <w:rPr>
          <w:rFonts w:ascii="Times New Roman" w:eastAsia="Times New Roman" w:hAnsi="Times New Roman" w:cs="Times New Roman"/>
          <w:b/>
          <w:bCs/>
        </w:rPr>
        <w:t>Student name</w:t>
      </w:r>
      <w:r w:rsidR="000B756B">
        <w:rPr>
          <w:rFonts w:ascii="Times New Roman" w:eastAsia="Times New Roman" w:hAnsi="Times New Roman" w:cs="Times New Roman"/>
          <w:b/>
          <w:bCs/>
        </w:rPr>
        <w:t xml:space="preserve">: </w:t>
      </w:r>
      <w:r w:rsidR="000B756B">
        <w:rPr>
          <w:rFonts w:ascii="Times New Roman" w:eastAsia="Times New Roman" w:hAnsi="Times New Roman" w:cs="Times New Roman"/>
        </w:rPr>
        <w:t>Khalil Ullah</w:t>
      </w:r>
    </w:p>
    <w:p w14:paraId="071F50F6" w14:textId="2DC193C4" w:rsidR="00B333C9" w:rsidRPr="00B333C9" w:rsidRDefault="00B333C9">
      <w:pPr>
        <w:spacing w:after="120" w:line="360" w:lineRule="auto"/>
        <w:jc w:val="center"/>
        <w:rPr>
          <w:rFonts w:ascii="Times New Roman" w:eastAsia="Times New Roman" w:hAnsi="Times New Roman" w:cs="Times New Roman"/>
        </w:rPr>
      </w:pPr>
      <w:r>
        <w:rPr>
          <w:rFonts w:ascii="Times New Roman" w:eastAsia="Times New Roman" w:hAnsi="Times New Roman" w:cs="Times New Roman"/>
          <w:b/>
          <w:bCs/>
        </w:rPr>
        <w:t>Student number:</w:t>
      </w:r>
      <w:r>
        <w:rPr>
          <w:rFonts w:ascii="Times New Roman" w:eastAsia="Times New Roman" w:hAnsi="Times New Roman" w:cs="Times New Roman"/>
        </w:rPr>
        <w:t xml:space="preserve"> 2508</w:t>
      </w:r>
      <w:r w:rsidR="005E5AC9">
        <w:rPr>
          <w:rFonts w:ascii="Times New Roman" w:eastAsia="Times New Roman" w:hAnsi="Times New Roman" w:cs="Times New Roman"/>
        </w:rPr>
        <w:t>657</w:t>
      </w:r>
    </w:p>
    <w:p w14:paraId="554159F4" w14:textId="77777777" w:rsidR="00BD3B18" w:rsidRDefault="00000000">
      <w:pPr>
        <w:spacing w:after="120" w:line="360" w:lineRule="auto"/>
        <w:jc w:val="center"/>
        <w:rPr>
          <w:rFonts w:ascii="Times New Roman" w:eastAsia="Times New Roman" w:hAnsi="Times New Roman" w:cs="Times New Roman"/>
        </w:rPr>
      </w:pPr>
      <w:r>
        <w:rPr>
          <w:rFonts w:ascii="Times New Roman" w:eastAsia="Times New Roman" w:hAnsi="Times New Roman" w:cs="Times New Roman"/>
        </w:rPr>
        <w:t>Word count (main body): approx. 1,490 words</w:t>
      </w:r>
      <w:r>
        <w:br w:type="page"/>
      </w:r>
    </w:p>
    <w:p w14:paraId="4724BB35" w14:textId="77777777" w:rsidR="00BD3B18" w:rsidRDefault="00000000">
      <w:pPr>
        <w:spacing w:after="120"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Table of Contents</w:t>
      </w:r>
    </w:p>
    <w:sdt>
      <w:sdtPr>
        <w:id w:val="-1751025206"/>
        <w:docPartObj>
          <w:docPartGallery w:val="Table of Contents"/>
          <w:docPartUnique/>
        </w:docPartObj>
      </w:sdtPr>
      <w:sdtContent>
        <w:p w14:paraId="672ECABA" w14:textId="77777777" w:rsidR="00BD3B18" w:rsidRDefault="00000000">
          <w:pPr>
            <w:widowControl w:val="0"/>
            <w:tabs>
              <w:tab w:val="right" w:leader="dot" w:pos="9025"/>
            </w:tabs>
            <w:spacing w:before="60" w:line="360" w:lineRule="auto"/>
            <w:rPr>
              <w:rFonts w:ascii="Times New Roman" w:eastAsia="Times New Roman" w:hAnsi="Times New Roman" w:cs="Times New Roman"/>
              <w:b/>
              <w:bCs/>
              <w:color w:val="000000"/>
              <w:sz w:val="22"/>
              <w:szCs w:val="22"/>
            </w:rPr>
          </w:pPr>
          <w:r>
            <w:fldChar w:fldCharType="begin"/>
          </w:r>
          <w:r>
            <w:instrText xml:space="preserve"> TOC \h \u \z \t "Heading 1,1,Heading 2,2,Heading 3,3,Heading 4,4,Heading 5,5,Heading 6,6,"</w:instrText>
          </w:r>
          <w:r>
            <w:fldChar w:fldCharType="separate"/>
          </w:r>
          <w:hyperlink>
            <w:r>
              <w:rPr>
                <w:rFonts w:ascii="Times New Roman" w:eastAsia="Times New Roman" w:hAnsi="Times New Roman" w:cs="Times New Roman"/>
                <w:b/>
                <w:bCs/>
                <w:color w:val="000000"/>
                <w:sz w:val="22"/>
                <w:szCs w:val="22"/>
              </w:rPr>
              <w:t>1. Introduction</w:t>
            </w:r>
            <w:r>
              <w:rPr>
                <w:rFonts w:ascii="Times New Roman" w:eastAsia="Times New Roman" w:hAnsi="Times New Roman" w:cs="Times New Roman"/>
                <w:b/>
                <w:bCs/>
                <w:color w:val="000000"/>
                <w:sz w:val="22"/>
                <w:szCs w:val="22"/>
              </w:rPr>
              <w:tab/>
            </w:r>
          </w:hyperlink>
          <w:r>
            <w:fldChar w:fldCharType="begin"/>
          </w:r>
          <w:r>
            <w:instrText xml:space="preserve"> PAGEREF  \h </w:instrText>
          </w:r>
          <w:r>
            <w:fldChar w:fldCharType="separate"/>
          </w:r>
          <w:r>
            <w:rPr>
              <w:rFonts w:ascii="Times New Roman" w:eastAsia="Times New Roman" w:hAnsi="Times New Roman" w:cs="Times New Roman"/>
              <w:b/>
              <w:bCs/>
              <w:sz w:val="22"/>
              <w:szCs w:val="22"/>
            </w:rPr>
            <w:t>3</w:t>
          </w:r>
          <w:r>
            <w:fldChar w:fldCharType="end"/>
          </w:r>
        </w:p>
        <w:p w14:paraId="09241FAF" w14:textId="77777777" w:rsidR="00BD3B18" w:rsidRDefault="00000000">
          <w:pPr>
            <w:widowControl w:val="0"/>
            <w:tabs>
              <w:tab w:val="right" w:leader="dot" w:pos="9025"/>
            </w:tabs>
            <w:spacing w:before="60" w:line="360" w:lineRule="auto"/>
            <w:rPr>
              <w:rFonts w:ascii="Times New Roman" w:eastAsia="Times New Roman" w:hAnsi="Times New Roman" w:cs="Times New Roman"/>
              <w:b/>
              <w:bCs/>
              <w:color w:val="000000"/>
              <w:sz w:val="22"/>
              <w:szCs w:val="22"/>
            </w:rPr>
          </w:pPr>
          <w:hyperlink>
            <w:r>
              <w:rPr>
                <w:rFonts w:ascii="Times New Roman" w:eastAsia="Times New Roman" w:hAnsi="Times New Roman" w:cs="Times New Roman"/>
                <w:b/>
                <w:bCs/>
                <w:color w:val="000000"/>
                <w:sz w:val="22"/>
                <w:szCs w:val="22"/>
              </w:rPr>
              <w:t>2. STEEPLE Analysis of the External Environment</w:t>
            </w:r>
            <w:r>
              <w:rPr>
                <w:rFonts w:ascii="Times New Roman" w:eastAsia="Times New Roman" w:hAnsi="Times New Roman" w:cs="Times New Roman"/>
                <w:b/>
                <w:bCs/>
                <w:color w:val="000000"/>
                <w:sz w:val="22"/>
                <w:szCs w:val="22"/>
              </w:rPr>
              <w:tab/>
            </w:r>
          </w:hyperlink>
          <w:r>
            <w:fldChar w:fldCharType="begin"/>
          </w:r>
          <w:r>
            <w:instrText xml:space="preserve"> PAGEREF  \h </w:instrText>
          </w:r>
          <w:r>
            <w:fldChar w:fldCharType="separate"/>
          </w:r>
          <w:r>
            <w:rPr>
              <w:rFonts w:ascii="Times New Roman" w:eastAsia="Times New Roman" w:hAnsi="Times New Roman" w:cs="Times New Roman"/>
              <w:b/>
              <w:bCs/>
              <w:sz w:val="22"/>
              <w:szCs w:val="22"/>
            </w:rPr>
            <w:t>3</w:t>
          </w:r>
          <w:r>
            <w:fldChar w:fldCharType="end"/>
          </w:r>
        </w:p>
        <w:p w14:paraId="49E03572" w14:textId="77777777" w:rsidR="00BD3B18" w:rsidRDefault="00000000">
          <w:pPr>
            <w:widowControl w:val="0"/>
            <w:tabs>
              <w:tab w:val="right" w:leader="dot" w:pos="9025"/>
            </w:tabs>
            <w:spacing w:before="60" w:line="360" w:lineRule="auto"/>
            <w:ind w:left="360"/>
            <w:rPr>
              <w:rFonts w:ascii="Times New Roman" w:eastAsia="Times New Roman" w:hAnsi="Times New Roman" w:cs="Times New Roman"/>
              <w:color w:val="000000"/>
              <w:sz w:val="22"/>
              <w:szCs w:val="22"/>
            </w:rPr>
          </w:pPr>
          <w:hyperlink>
            <w:r>
              <w:rPr>
                <w:rFonts w:ascii="Times New Roman" w:eastAsia="Times New Roman" w:hAnsi="Times New Roman" w:cs="Times New Roman"/>
                <w:color w:val="000000"/>
                <w:sz w:val="22"/>
                <w:szCs w:val="22"/>
              </w:rPr>
              <w:t>Social</w:t>
            </w:r>
            <w:r>
              <w:rPr>
                <w:rFonts w:ascii="Times New Roman" w:eastAsia="Times New Roman" w:hAnsi="Times New Roman" w:cs="Times New Roman"/>
                <w:color w:val="000000"/>
                <w:sz w:val="22"/>
                <w:szCs w:val="22"/>
              </w:rPr>
              <w:tab/>
            </w:r>
          </w:hyperlink>
          <w:r>
            <w:fldChar w:fldCharType="begin"/>
          </w:r>
          <w:r>
            <w:instrText xml:space="preserve"> PAGEREF  \h </w:instrText>
          </w:r>
          <w:r>
            <w:fldChar w:fldCharType="separate"/>
          </w:r>
          <w:r>
            <w:rPr>
              <w:rFonts w:ascii="Times New Roman" w:eastAsia="Times New Roman" w:hAnsi="Times New Roman" w:cs="Times New Roman"/>
              <w:sz w:val="22"/>
              <w:szCs w:val="22"/>
            </w:rPr>
            <w:t>4</w:t>
          </w:r>
          <w:r>
            <w:fldChar w:fldCharType="end"/>
          </w:r>
        </w:p>
        <w:p w14:paraId="396F2B15" w14:textId="77777777" w:rsidR="00BD3B18" w:rsidRDefault="00000000">
          <w:pPr>
            <w:widowControl w:val="0"/>
            <w:tabs>
              <w:tab w:val="right" w:leader="dot" w:pos="9025"/>
            </w:tabs>
            <w:spacing w:before="60" w:line="360" w:lineRule="auto"/>
            <w:ind w:left="360"/>
            <w:rPr>
              <w:rFonts w:ascii="Times New Roman" w:eastAsia="Times New Roman" w:hAnsi="Times New Roman" w:cs="Times New Roman"/>
              <w:color w:val="000000"/>
              <w:sz w:val="22"/>
              <w:szCs w:val="22"/>
            </w:rPr>
          </w:pPr>
          <w:hyperlink>
            <w:r>
              <w:rPr>
                <w:rFonts w:ascii="Times New Roman" w:eastAsia="Times New Roman" w:hAnsi="Times New Roman" w:cs="Times New Roman"/>
                <w:color w:val="000000"/>
                <w:sz w:val="22"/>
                <w:szCs w:val="22"/>
              </w:rPr>
              <w:t>Technological</w:t>
            </w:r>
            <w:r>
              <w:rPr>
                <w:rFonts w:ascii="Times New Roman" w:eastAsia="Times New Roman" w:hAnsi="Times New Roman" w:cs="Times New Roman"/>
                <w:color w:val="000000"/>
                <w:sz w:val="22"/>
                <w:szCs w:val="22"/>
              </w:rPr>
              <w:tab/>
            </w:r>
          </w:hyperlink>
          <w:r>
            <w:fldChar w:fldCharType="begin"/>
          </w:r>
          <w:r>
            <w:instrText xml:space="preserve"> PAGEREF  \h </w:instrText>
          </w:r>
          <w:r>
            <w:fldChar w:fldCharType="separate"/>
          </w:r>
          <w:r>
            <w:rPr>
              <w:rFonts w:ascii="Times New Roman" w:eastAsia="Times New Roman" w:hAnsi="Times New Roman" w:cs="Times New Roman"/>
              <w:sz w:val="22"/>
              <w:szCs w:val="22"/>
            </w:rPr>
            <w:t>4</w:t>
          </w:r>
          <w:r>
            <w:fldChar w:fldCharType="end"/>
          </w:r>
        </w:p>
        <w:p w14:paraId="78D4A835" w14:textId="77777777" w:rsidR="00BD3B18" w:rsidRDefault="00000000">
          <w:pPr>
            <w:widowControl w:val="0"/>
            <w:tabs>
              <w:tab w:val="right" w:leader="dot" w:pos="9025"/>
            </w:tabs>
            <w:spacing w:before="60" w:line="360" w:lineRule="auto"/>
            <w:ind w:left="360"/>
            <w:rPr>
              <w:rFonts w:ascii="Times New Roman" w:eastAsia="Times New Roman" w:hAnsi="Times New Roman" w:cs="Times New Roman"/>
              <w:color w:val="000000"/>
              <w:sz w:val="22"/>
              <w:szCs w:val="22"/>
            </w:rPr>
          </w:pPr>
          <w:hyperlink>
            <w:r>
              <w:rPr>
                <w:rFonts w:ascii="Times New Roman" w:eastAsia="Times New Roman" w:hAnsi="Times New Roman" w:cs="Times New Roman"/>
                <w:color w:val="000000"/>
                <w:sz w:val="22"/>
                <w:szCs w:val="22"/>
              </w:rPr>
              <w:t>Economic</w:t>
            </w:r>
            <w:r>
              <w:rPr>
                <w:rFonts w:ascii="Times New Roman" w:eastAsia="Times New Roman" w:hAnsi="Times New Roman" w:cs="Times New Roman"/>
                <w:color w:val="000000"/>
                <w:sz w:val="22"/>
                <w:szCs w:val="22"/>
              </w:rPr>
              <w:tab/>
            </w:r>
          </w:hyperlink>
          <w:r>
            <w:fldChar w:fldCharType="begin"/>
          </w:r>
          <w:r>
            <w:instrText xml:space="preserve"> PAGEREF  \h </w:instrText>
          </w:r>
          <w:r>
            <w:fldChar w:fldCharType="separate"/>
          </w:r>
          <w:r>
            <w:rPr>
              <w:rFonts w:ascii="Times New Roman" w:eastAsia="Times New Roman" w:hAnsi="Times New Roman" w:cs="Times New Roman"/>
              <w:sz w:val="22"/>
              <w:szCs w:val="22"/>
            </w:rPr>
            <w:t>5</w:t>
          </w:r>
          <w:r>
            <w:fldChar w:fldCharType="end"/>
          </w:r>
        </w:p>
        <w:p w14:paraId="1145E275" w14:textId="77777777" w:rsidR="00BD3B18" w:rsidRDefault="00000000">
          <w:pPr>
            <w:widowControl w:val="0"/>
            <w:tabs>
              <w:tab w:val="right" w:leader="dot" w:pos="9025"/>
            </w:tabs>
            <w:spacing w:before="60" w:line="360" w:lineRule="auto"/>
            <w:ind w:left="360"/>
            <w:rPr>
              <w:rFonts w:ascii="Times New Roman" w:eastAsia="Times New Roman" w:hAnsi="Times New Roman" w:cs="Times New Roman"/>
              <w:color w:val="000000"/>
              <w:sz w:val="22"/>
              <w:szCs w:val="22"/>
            </w:rPr>
          </w:pPr>
          <w:hyperlink>
            <w:r>
              <w:rPr>
                <w:rFonts w:ascii="Times New Roman" w:eastAsia="Times New Roman" w:hAnsi="Times New Roman" w:cs="Times New Roman"/>
                <w:color w:val="000000"/>
                <w:sz w:val="22"/>
                <w:szCs w:val="22"/>
              </w:rPr>
              <w:t>Political, Legal, and Ethical</w:t>
            </w:r>
            <w:r>
              <w:rPr>
                <w:rFonts w:ascii="Times New Roman" w:eastAsia="Times New Roman" w:hAnsi="Times New Roman" w:cs="Times New Roman"/>
                <w:color w:val="000000"/>
                <w:sz w:val="22"/>
                <w:szCs w:val="22"/>
              </w:rPr>
              <w:tab/>
            </w:r>
          </w:hyperlink>
          <w:r>
            <w:fldChar w:fldCharType="begin"/>
          </w:r>
          <w:r>
            <w:instrText xml:space="preserve"> PAGEREF  \h </w:instrText>
          </w:r>
          <w:r>
            <w:fldChar w:fldCharType="separate"/>
          </w:r>
          <w:r>
            <w:rPr>
              <w:rFonts w:ascii="Times New Roman" w:eastAsia="Times New Roman" w:hAnsi="Times New Roman" w:cs="Times New Roman"/>
              <w:sz w:val="22"/>
              <w:szCs w:val="22"/>
            </w:rPr>
            <w:t>6</w:t>
          </w:r>
          <w:r>
            <w:fldChar w:fldCharType="end"/>
          </w:r>
        </w:p>
        <w:p w14:paraId="410D56E1" w14:textId="77777777" w:rsidR="00BD3B18" w:rsidRDefault="00000000">
          <w:pPr>
            <w:widowControl w:val="0"/>
            <w:tabs>
              <w:tab w:val="right" w:leader="dot" w:pos="9025"/>
            </w:tabs>
            <w:spacing w:before="60" w:line="360" w:lineRule="auto"/>
            <w:rPr>
              <w:rFonts w:ascii="Times New Roman" w:eastAsia="Times New Roman" w:hAnsi="Times New Roman" w:cs="Times New Roman"/>
              <w:b/>
              <w:bCs/>
              <w:color w:val="000000"/>
              <w:sz w:val="22"/>
              <w:szCs w:val="22"/>
            </w:rPr>
          </w:pPr>
          <w:hyperlink>
            <w:r>
              <w:rPr>
                <w:rFonts w:ascii="Times New Roman" w:eastAsia="Times New Roman" w:hAnsi="Times New Roman" w:cs="Times New Roman"/>
                <w:b/>
                <w:bCs/>
                <w:color w:val="000000"/>
                <w:sz w:val="22"/>
                <w:szCs w:val="22"/>
              </w:rPr>
              <w:t>3. SWOT Analysis Linked to STEEPLE Findings</w:t>
            </w:r>
            <w:r>
              <w:rPr>
                <w:rFonts w:ascii="Times New Roman" w:eastAsia="Times New Roman" w:hAnsi="Times New Roman" w:cs="Times New Roman"/>
                <w:b/>
                <w:bCs/>
                <w:color w:val="000000"/>
                <w:sz w:val="22"/>
                <w:szCs w:val="22"/>
              </w:rPr>
              <w:tab/>
            </w:r>
          </w:hyperlink>
          <w:r>
            <w:fldChar w:fldCharType="begin"/>
          </w:r>
          <w:r>
            <w:instrText xml:space="preserve"> PAGEREF  \h </w:instrText>
          </w:r>
          <w:r>
            <w:fldChar w:fldCharType="separate"/>
          </w:r>
          <w:r>
            <w:rPr>
              <w:rFonts w:ascii="Times New Roman" w:eastAsia="Times New Roman" w:hAnsi="Times New Roman" w:cs="Times New Roman"/>
              <w:b/>
              <w:bCs/>
              <w:sz w:val="22"/>
              <w:szCs w:val="22"/>
            </w:rPr>
            <w:t>6</w:t>
          </w:r>
          <w:r>
            <w:fldChar w:fldCharType="end"/>
          </w:r>
        </w:p>
        <w:p w14:paraId="37CACE4E" w14:textId="77777777" w:rsidR="00BD3B18" w:rsidRDefault="00000000">
          <w:pPr>
            <w:widowControl w:val="0"/>
            <w:tabs>
              <w:tab w:val="right" w:leader="dot" w:pos="9025"/>
            </w:tabs>
            <w:spacing w:before="60" w:line="360" w:lineRule="auto"/>
            <w:rPr>
              <w:rFonts w:ascii="Times New Roman" w:eastAsia="Times New Roman" w:hAnsi="Times New Roman" w:cs="Times New Roman"/>
              <w:b/>
              <w:bCs/>
              <w:color w:val="000000"/>
              <w:sz w:val="22"/>
              <w:szCs w:val="22"/>
            </w:rPr>
          </w:pPr>
          <w:hyperlink>
            <w:r>
              <w:rPr>
                <w:rFonts w:ascii="Times New Roman" w:eastAsia="Times New Roman" w:hAnsi="Times New Roman" w:cs="Times New Roman"/>
                <w:b/>
                <w:bCs/>
                <w:color w:val="000000"/>
                <w:sz w:val="22"/>
                <w:szCs w:val="22"/>
              </w:rPr>
              <w:t>4. Future Lens: Predictions Using DPSIR</w:t>
            </w:r>
            <w:r>
              <w:rPr>
                <w:rFonts w:ascii="Times New Roman" w:eastAsia="Times New Roman" w:hAnsi="Times New Roman" w:cs="Times New Roman"/>
                <w:b/>
                <w:bCs/>
                <w:color w:val="000000"/>
                <w:sz w:val="22"/>
                <w:szCs w:val="22"/>
              </w:rPr>
              <w:tab/>
            </w:r>
          </w:hyperlink>
          <w:r>
            <w:fldChar w:fldCharType="begin"/>
          </w:r>
          <w:r>
            <w:instrText xml:space="preserve"> PAGEREF  \h </w:instrText>
          </w:r>
          <w:r>
            <w:fldChar w:fldCharType="separate"/>
          </w:r>
          <w:r>
            <w:rPr>
              <w:rFonts w:ascii="Times New Roman" w:eastAsia="Times New Roman" w:hAnsi="Times New Roman" w:cs="Times New Roman"/>
              <w:b/>
              <w:bCs/>
              <w:sz w:val="22"/>
              <w:szCs w:val="22"/>
            </w:rPr>
            <w:t>7</w:t>
          </w:r>
          <w:r>
            <w:fldChar w:fldCharType="end"/>
          </w:r>
        </w:p>
        <w:p w14:paraId="7A5954A2" w14:textId="77777777" w:rsidR="00BD3B18" w:rsidRDefault="00000000">
          <w:pPr>
            <w:widowControl w:val="0"/>
            <w:tabs>
              <w:tab w:val="right" w:leader="dot" w:pos="9025"/>
            </w:tabs>
            <w:spacing w:before="60" w:line="360" w:lineRule="auto"/>
            <w:rPr>
              <w:rFonts w:ascii="Times New Roman" w:eastAsia="Times New Roman" w:hAnsi="Times New Roman" w:cs="Times New Roman"/>
              <w:b/>
              <w:bCs/>
              <w:color w:val="000000"/>
              <w:sz w:val="22"/>
              <w:szCs w:val="22"/>
            </w:rPr>
          </w:pPr>
          <w:hyperlink>
            <w:r>
              <w:rPr>
                <w:rFonts w:ascii="Times New Roman" w:eastAsia="Times New Roman" w:hAnsi="Times New Roman" w:cs="Times New Roman"/>
                <w:b/>
                <w:bCs/>
                <w:color w:val="000000"/>
                <w:sz w:val="22"/>
                <w:szCs w:val="22"/>
              </w:rPr>
              <w:t>5. Recommendations</w:t>
            </w:r>
            <w:r>
              <w:rPr>
                <w:rFonts w:ascii="Times New Roman" w:eastAsia="Times New Roman" w:hAnsi="Times New Roman" w:cs="Times New Roman"/>
                <w:b/>
                <w:bCs/>
                <w:color w:val="000000"/>
                <w:sz w:val="22"/>
                <w:szCs w:val="22"/>
              </w:rPr>
              <w:tab/>
            </w:r>
          </w:hyperlink>
          <w:r>
            <w:fldChar w:fldCharType="begin"/>
          </w:r>
          <w:r>
            <w:instrText xml:space="preserve"> PAGEREF  \h </w:instrText>
          </w:r>
          <w:r>
            <w:fldChar w:fldCharType="separate"/>
          </w:r>
          <w:r>
            <w:rPr>
              <w:rFonts w:ascii="Times New Roman" w:eastAsia="Times New Roman" w:hAnsi="Times New Roman" w:cs="Times New Roman"/>
              <w:b/>
              <w:bCs/>
              <w:sz w:val="22"/>
              <w:szCs w:val="22"/>
            </w:rPr>
            <w:t>8</w:t>
          </w:r>
          <w:r>
            <w:fldChar w:fldCharType="end"/>
          </w:r>
        </w:p>
        <w:p w14:paraId="5010C3EF" w14:textId="77777777" w:rsidR="00BD3B18" w:rsidRDefault="00000000">
          <w:pPr>
            <w:widowControl w:val="0"/>
            <w:tabs>
              <w:tab w:val="right" w:leader="dot" w:pos="9025"/>
            </w:tabs>
            <w:spacing w:before="60" w:line="360" w:lineRule="auto"/>
            <w:rPr>
              <w:rFonts w:ascii="Times New Roman" w:eastAsia="Times New Roman" w:hAnsi="Times New Roman" w:cs="Times New Roman"/>
              <w:b/>
              <w:bCs/>
              <w:color w:val="000000"/>
              <w:sz w:val="22"/>
              <w:szCs w:val="22"/>
            </w:rPr>
          </w:pPr>
          <w:hyperlink>
            <w:r>
              <w:rPr>
                <w:rFonts w:ascii="Times New Roman" w:eastAsia="Times New Roman" w:hAnsi="Times New Roman" w:cs="Times New Roman"/>
                <w:b/>
                <w:bCs/>
                <w:color w:val="000000"/>
                <w:sz w:val="22"/>
                <w:szCs w:val="22"/>
              </w:rPr>
              <w:t>6. Conclusion</w:t>
            </w:r>
            <w:r>
              <w:rPr>
                <w:rFonts w:ascii="Times New Roman" w:eastAsia="Times New Roman" w:hAnsi="Times New Roman" w:cs="Times New Roman"/>
                <w:b/>
                <w:bCs/>
                <w:color w:val="000000"/>
                <w:sz w:val="22"/>
                <w:szCs w:val="22"/>
              </w:rPr>
              <w:tab/>
            </w:r>
          </w:hyperlink>
          <w:r>
            <w:fldChar w:fldCharType="begin"/>
          </w:r>
          <w:r>
            <w:instrText xml:space="preserve"> PAGEREF  \h </w:instrText>
          </w:r>
          <w:r>
            <w:fldChar w:fldCharType="separate"/>
          </w:r>
          <w:r>
            <w:rPr>
              <w:rFonts w:ascii="Times New Roman" w:eastAsia="Times New Roman" w:hAnsi="Times New Roman" w:cs="Times New Roman"/>
              <w:b/>
              <w:bCs/>
              <w:sz w:val="22"/>
              <w:szCs w:val="22"/>
            </w:rPr>
            <w:t>9</w:t>
          </w:r>
          <w:r>
            <w:fldChar w:fldCharType="end"/>
          </w:r>
        </w:p>
        <w:p w14:paraId="2E39960C" w14:textId="77777777" w:rsidR="00BD3B18" w:rsidRDefault="00000000">
          <w:pPr>
            <w:widowControl w:val="0"/>
            <w:tabs>
              <w:tab w:val="right" w:leader="dot" w:pos="9025"/>
            </w:tabs>
            <w:spacing w:before="60" w:line="360" w:lineRule="auto"/>
            <w:rPr>
              <w:rFonts w:ascii="Times New Roman" w:eastAsia="Times New Roman" w:hAnsi="Times New Roman" w:cs="Times New Roman"/>
              <w:b/>
              <w:bCs/>
              <w:color w:val="000000"/>
              <w:sz w:val="22"/>
              <w:szCs w:val="22"/>
            </w:rPr>
          </w:pPr>
          <w:hyperlink>
            <w:r>
              <w:rPr>
                <w:rFonts w:ascii="Times New Roman" w:eastAsia="Times New Roman" w:hAnsi="Times New Roman" w:cs="Times New Roman"/>
                <w:b/>
                <w:bCs/>
                <w:color w:val="000000"/>
                <w:sz w:val="22"/>
                <w:szCs w:val="22"/>
              </w:rPr>
              <w:t>References</w:t>
            </w:r>
            <w:r>
              <w:rPr>
                <w:rFonts w:ascii="Times New Roman" w:eastAsia="Times New Roman" w:hAnsi="Times New Roman" w:cs="Times New Roman"/>
                <w:b/>
                <w:bCs/>
                <w:color w:val="000000"/>
                <w:sz w:val="22"/>
                <w:szCs w:val="22"/>
              </w:rPr>
              <w:tab/>
            </w:r>
          </w:hyperlink>
          <w:r>
            <w:fldChar w:fldCharType="begin"/>
          </w:r>
          <w:r>
            <w:instrText xml:space="preserve"> PAGEREF  \h </w:instrText>
          </w:r>
          <w:r>
            <w:fldChar w:fldCharType="separate"/>
          </w:r>
          <w:r>
            <w:rPr>
              <w:rFonts w:ascii="Times New Roman" w:eastAsia="Times New Roman" w:hAnsi="Times New Roman" w:cs="Times New Roman"/>
              <w:b/>
              <w:bCs/>
              <w:sz w:val="22"/>
              <w:szCs w:val="22"/>
            </w:rPr>
            <w:t>10</w:t>
          </w:r>
          <w:r>
            <w:fldChar w:fldCharType="end"/>
          </w:r>
          <w:r>
            <w:fldChar w:fldCharType="end"/>
          </w:r>
        </w:p>
      </w:sdtContent>
    </w:sdt>
    <w:p w14:paraId="723E0540" w14:textId="77777777" w:rsidR="00BD3B18" w:rsidRDefault="00BD3B18">
      <w:pPr>
        <w:spacing w:after="120" w:line="360" w:lineRule="auto"/>
        <w:rPr>
          <w:rFonts w:ascii="Times New Roman" w:eastAsia="Times New Roman" w:hAnsi="Times New Roman" w:cs="Times New Roman"/>
          <w:b/>
          <w:bCs/>
          <w:sz w:val="28"/>
          <w:szCs w:val="28"/>
        </w:rPr>
      </w:pPr>
    </w:p>
    <w:p w14:paraId="505C5F9C" w14:textId="77777777" w:rsidR="00BD3B18" w:rsidRDefault="00000000">
      <w:pPr>
        <w:pStyle w:val="Heading1"/>
        <w:pageBreakBefore/>
        <w:spacing w:line="360" w:lineRule="auto"/>
        <w:rPr>
          <w:rFonts w:ascii="Times New Roman" w:eastAsia="Times New Roman" w:hAnsi="Times New Roman" w:cs="Times New Roman"/>
        </w:rPr>
      </w:pPr>
      <w:r>
        <w:rPr>
          <w:rFonts w:ascii="Times New Roman" w:eastAsia="Times New Roman" w:hAnsi="Times New Roman" w:cs="Times New Roman"/>
        </w:rPr>
        <w:t>1. Introduction</w:t>
      </w:r>
    </w:p>
    <w:p w14:paraId="02CCCB27"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The creator economy describes how independent content creators and influencers are aided by digital platforms to produce and monetise content directly to audiences on TikTok, YouTube, Instagram, etc. (Market.Us, 2025).</w:t>
      </w:r>
    </w:p>
    <w:p w14:paraId="059A44BA"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5FBBD864" wp14:editId="44695390">
            <wp:extent cx="5731200" cy="27940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200" cy="2794000"/>
                    </a:xfrm>
                    <a:prstGeom prst="rect">
                      <a:avLst/>
                    </a:prstGeom>
                    <a:ln/>
                  </pic:spPr>
                </pic:pic>
              </a:graphicData>
            </a:graphic>
          </wp:inline>
        </w:drawing>
      </w:r>
    </w:p>
    <w:p w14:paraId="0A4B57D6"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i/>
          <w:iCs/>
          <w:sz w:val="22"/>
          <w:szCs w:val="22"/>
        </w:rPr>
        <w:t>Figure  1: Creator Economy Market Share by Platform Analysis (%), 2019-2024 Source: (Market.Us, 2025)</w:t>
      </w:r>
    </w:p>
    <w:p w14:paraId="07756310"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Once considered experimental, it is now an integral and </w:t>
      </w:r>
      <w:proofErr w:type="spellStart"/>
      <w:r>
        <w:rPr>
          <w:rFonts w:ascii="Times New Roman" w:eastAsia="Times New Roman" w:hAnsi="Times New Roman" w:cs="Times New Roman"/>
        </w:rPr>
        <w:t>stabilized</w:t>
      </w:r>
      <w:proofErr w:type="spellEnd"/>
      <w:r>
        <w:rPr>
          <w:rFonts w:ascii="Times New Roman" w:eastAsia="Times New Roman" w:hAnsi="Times New Roman" w:cs="Times New Roman"/>
        </w:rPr>
        <w:t xml:space="preserve"> segment of commerce: estimates for the global value in 2025 range from USD 178 billion to USD 250 billion, with most analysts predicting a compound annual growth rate of 22% to the mid-2030s (Grand View Research, 2026; Research Nester, 2026). Rapid growth leads to increased exposure to the volatility of external factors. As a result, this report provides an evaluation of the external considerations affecting the industry </w:t>
      </w:r>
      <w:proofErr w:type="spellStart"/>
      <w:r>
        <w:rPr>
          <w:rFonts w:ascii="Times New Roman" w:eastAsia="Times New Roman" w:hAnsi="Times New Roman" w:cs="Times New Roman"/>
        </w:rPr>
        <w:t>utilizing</w:t>
      </w:r>
      <w:proofErr w:type="spellEnd"/>
      <w:r>
        <w:rPr>
          <w:rFonts w:ascii="Times New Roman" w:eastAsia="Times New Roman" w:hAnsi="Times New Roman" w:cs="Times New Roman"/>
        </w:rPr>
        <w:t xml:space="preserve"> the STEEPLE framework, assesses the strategic implications of the results using a SWOT analysis, and applies a future lens based on DPSIR considerations before providing two recommendations. In this context, the analysis focuses on the relationships and effects of external factors, considering the importance of strategic environmental analysis over the simple enumeration of external factors.</w:t>
      </w:r>
    </w:p>
    <w:p w14:paraId="3D66231D" w14:textId="77777777" w:rsidR="00BD3B18" w:rsidRDefault="00000000">
      <w:pPr>
        <w:pStyle w:val="Heading1"/>
        <w:spacing w:line="360" w:lineRule="auto"/>
        <w:rPr>
          <w:rFonts w:ascii="Times New Roman" w:eastAsia="Times New Roman" w:hAnsi="Times New Roman" w:cs="Times New Roman"/>
        </w:rPr>
      </w:pPr>
      <w:r>
        <w:rPr>
          <w:rFonts w:ascii="Times New Roman" w:eastAsia="Times New Roman" w:hAnsi="Times New Roman" w:cs="Times New Roman"/>
        </w:rPr>
        <w:t>2. STEEPLE Analysis of the External Environment</w:t>
      </w:r>
    </w:p>
    <w:p w14:paraId="125DF011"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STEEPLE adds Ethics to PESTLE, making it ideal for an industry in which authenticity and trust are both profitable and for which issues of credibility are central. The model of source-credibility developed by Lee, Chang, and Zhang (2022) describes trustworthiness, expertise, and attractiveness as the elements of persuasive influence. It provides the appropriate model for these external pressures. The least significant are examined first, with a summary of the seven factors in Table 1.</w:t>
      </w:r>
    </w:p>
    <w:p w14:paraId="38CF65FD" w14:textId="77777777" w:rsidR="00BD3B18" w:rsidRDefault="00000000">
      <w:pPr>
        <w:spacing w:after="100" w:line="360" w:lineRule="auto"/>
        <w:rPr>
          <w:rFonts w:ascii="Times New Roman" w:eastAsia="Times New Roman" w:hAnsi="Times New Roman" w:cs="Times New Roman"/>
        </w:rPr>
      </w:pPr>
      <w:r>
        <w:rPr>
          <w:rFonts w:ascii="Times New Roman" w:eastAsia="Times New Roman" w:hAnsi="Times New Roman" w:cs="Times New Roman"/>
          <w:i/>
          <w:iCs/>
          <w:sz w:val="22"/>
          <w:szCs w:val="22"/>
        </w:rPr>
        <w:t>Table 1: STEEPLE summary for the creator economy</w:t>
      </w:r>
    </w:p>
    <w:tbl>
      <w:tblPr>
        <w:tblStyle w:val="a"/>
        <w:tblW w:w="902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226"/>
      </w:tblGrid>
      <w:tr w:rsidR="00BD3B18" w14:paraId="32A577B5" w14:textId="77777777">
        <w:trPr>
          <w:tblHeader/>
        </w:trPr>
        <w:tc>
          <w:tcPr>
            <w:tcW w:w="1800"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07885C07" w14:textId="77777777" w:rsidR="00BD3B18" w:rsidRDefault="00000000">
            <w:pPr>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b/>
                <w:bCs/>
                <w:color w:val="FFFFFF"/>
                <w:sz w:val="22"/>
                <w:szCs w:val="22"/>
              </w:rPr>
              <w:t>Factor</w:t>
            </w:r>
          </w:p>
        </w:tc>
        <w:tc>
          <w:tcPr>
            <w:tcW w:w="7226"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153F261A" w14:textId="77777777" w:rsidR="00BD3B18" w:rsidRDefault="00000000">
            <w:pPr>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b/>
                <w:bCs/>
                <w:color w:val="FFFFFF"/>
                <w:sz w:val="22"/>
                <w:szCs w:val="22"/>
              </w:rPr>
              <w:t>Key external influence and implication</w:t>
            </w:r>
          </w:p>
        </w:tc>
      </w:tr>
      <w:tr w:rsidR="00BD3B18" w14:paraId="531ACBA1" w14:textId="77777777">
        <w:tc>
          <w:tcPr>
            <w:tcW w:w="1800" w:type="dxa"/>
            <w:tcBorders>
              <w:top w:val="single" w:sz="4" w:space="0" w:color="AAAAAA"/>
              <w:left w:val="single" w:sz="4" w:space="0" w:color="AAAAAA"/>
              <w:bottom w:val="single" w:sz="4" w:space="0" w:color="AAAAAA"/>
              <w:right w:val="single" w:sz="4" w:space="0" w:color="AAAAAA"/>
            </w:tcBorders>
            <w:shd w:val="clear" w:color="auto" w:fill="EDF3F8"/>
            <w:tcMar>
              <w:top w:w="80" w:type="dxa"/>
              <w:left w:w="120" w:type="dxa"/>
              <w:bottom w:w="80" w:type="dxa"/>
              <w:right w:w="120" w:type="dxa"/>
            </w:tcMar>
          </w:tcPr>
          <w:p w14:paraId="10EE2071" w14:textId="77777777" w:rsidR="00BD3B18"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sz w:val="22"/>
                <w:szCs w:val="22"/>
              </w:rPr>
              <w:t>Social</w:t>
            </w:r>
          </w:p>
        </w:tc>
        <w:tc>
          <w:tcPr>
            <w:tcW w:w="7226"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1A5F3FAF" w14:textId="77777777" w:rsidR="00BD3B18" w:rsidRDefault="00000000">
            <w:pPr>
              <w:spacing w:line="360" w:lineRule="auto"/>
              <w:rPr>
                <w:rFonts w:ascii="Times New Roman" w:eastAsia="Times New Roman" w:hAnsi="Times New Roman" w:cs="Times New Roman"/>
              </w:rPr>
            </w:pPr>
            <w:r>
              <w:rPr>
                <w:rFonts w:ascii="Times New Roman" w:eastAsia="Times New Roman" w:hAnsi="Times New Roman" w:cs="Times New Roman"/>
                <w:sz w:val="22"/>
                <w:szCs w:val="22"/>
              </w:rPr>
              <w:t xml:space="preserve">Shift toward authenticity, niche communities, and </w:t>
            </w:r>
            <w:proofErr w:type="spellStart"/>
            <w:r>
              <w:rPr>
                <w:rFonts w:ascii="Times New Roman" w:eastAsia="Times New Roman" w:hAnsi="Times New Roman" w:cs="Times New Roman"/>
                <w:sz w:val="22"/>
                <w:szCs w:val="22"/>
              </w:rPr>
              <w:t>parasocial</w:t>
            </w:r>
            <w:proofErr w:type="spellEnd"/>
            <w:r>
              <w:rPr>
                <w:rFonts w:ascii="Times New Roman" w:eastAsia="Times New Roman" w:hAnsi="Times New Roman" w:cs="Times New Roman"/>
                <w:sz w:val="22"/>
                <w:szCs w:val="22"/>
              </w:rPr>
              <w:t xml:space="preserve"> connection; trust is the core asset but is fragile.</w:t>
            </w:r>
          </w:p>
        </w:tc>
      </w:tr>
      <w:tr w:rsidR="00BD3B18" w14:paraId="3C5DF7E4" w14:textId="77777777">
        <w:tc>
          <w:tcPr>
            <w:tcW w:w="1800" w:type="dxa"/>
            <w:tcBorders>
              <w:top w:val="single" w:sz="4" w:space="0" w:color="AAAAAA"/>
              <w:left w:val="single" w:sz="4" w:space="0" w:color="AAAAAA"/>
              <w:bottom w:val="single" w:sz="4" w:space="0" w:color="AAAAAA"/>
              <w:right w:val="single" w:sz="4" w:space="0" w:color="AAAAAA"/>
            </w:tcBorders>
            <w:shd w:val="clear" w:color="auto" w:fill="EDF3F8"/>
            <w:tcMar>
              <w:top w:w="80" w:type="dxa"/>
              <w:left w:w="120" w:type="dxa"/>
              <w:bottom w:w="80" w:type="dxa"/>
              <w:right w:w="120" w:type="dxa"/>
            </w:tcMar>
          </w:tcPr>
          <w:p w14:paraId="4602BC06" w14:textId="77777777" w:rsidR="00BD3B18"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sz w:val="22"/>
                <w:szCs w:val="22"/>
              </w:rPr>
              <w:t>Technological</w:t>
            </w:r>
          </w:p>
        </w:tc>
        <w:tc>
          <w:tcPr>
            <w:tcW w:w="7226"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71F41887" w14:textId="77777777" w:rsidR="00BD3B18" w:rsidRDefault="00000000">
            <w:pPr>
              <w:spacing w:line="360" w:lineRule="auto"/>
              <w:rPr>
                <w:rFonts w:ascii="Times New Roman" w:eastAsia="Times New Roman" w:hAnsi="Times New Roman" w:cs="Times New Roman"/>
              </w:rPr>
            </w:pPr>
            <w:r>
              <w:rPr>
                <w:rFonts w:ascii="Times New Roman" w:eastAsia="Times New Roman" w:hAnsi="Times New Roman" w:cs="Times New Roman"/>
                <w:sz w:val="22"/>
                <w:szCs w:val="22"/>
              </w:rPr>
              <w:t>Algorithmic distribution dictates reach and income; generative AI enables synthetic virtual influencers, adding scale and volatility.</w:t>
            </w:r>
          </w:p>
        </w:tc>
      </w:tr>
      <w:tr w:rsidR="00BD3B18" w14:paraId="15BB0A4C" w14:textId="77777777">
        <w:tc>
          <w:tcPr>
            <w:tcW w:w="1800" w:type="dxa"/>
            <w:tcBorders>
              <w:top w:val="single" w:sz="4" w:space="0" w:color="AAAAAA"/>
              <w:left w:val="single" w:sz="4" w:space="0" w:color="AAAAAA"/>
              <w:bottom w:val="single" w:sz="4" w:space="0" w:color="AAAAAA"/>
              <w:right w:val="single" w:sz="4" w:space="0" w:color="AAAAAA"/>
            </w:tcBorders>
            <w:shd w:val="clear" w:color="auto" w:fill="EDF3F8"/>
            <w:tcMar>
              <w:top w:w="80" w:type="dxa"/>
              <w:left w:w="120" w:type="dxa"/>
              <w:bottom w:w="80" w:type="dxa"/>
              <w:right w:w="120" w:type="dxa"/>
            </w:tcMar>
          </w:tcPr>
          <w:p w14:paraId="7BFBC19D" w14:textId="77777777" w:rsidR="00BD3B18"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sz w:val="22"/>
                <w:szCs w:val="22"/>
              </w:rPr>
              <w:t>Economic</w:t>
            </w:r>
          </w:p>
        </w:tc>
        <w:tc>
          <w:tcPr>
            <w:tcW w:w="7226"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043F916F" w14:textId="77777777" w:rsidR="00BD3B18" w:rsidRDefault="00000000">
            <w:pPr>
              <w:spacing w:line="360" w:lineRule="auto"/>
              <w:rPr>
                <w:rFonts w:ascii="Times New Roman" w:eastAsia="Times New Roman" w:hAnsi="Times New Roman" w:cs="Times New Roman"/>
              </w:rPr>
            </w:pPr>
            <w:r>
              <w:rPr>
                <w:rFonts w:ascii="Times New Roman" w:eastAsia="Times New Roman" w:hAnsi="Times New Roman" w:cs="Times New Roman"/>
                <w:sz w:val="22"/>
                <w:szCs w:val="22"/>
              </w:rPr>
              <w:t>Rapid sector growth coexists with creator income insecurity and exposure to demonetisation.</w:t>
            </w:r>
          </w:p>
        </w:tc>
      </w:tr>
      <w:tr w:rsidR="00BD3B18" w14:paraId="11CAC5E2" w14:textId="77777777">
        <w:tc>
          <w:tcPr>
            <w:tcW w:w="1800" w:type="dxa"/>
            <w:tcBorders>
              <w:top w:val="single" w:sz="4" w:space="0" w:color="AAAAAA"/>
              <w:left w:val="single" w:sz="4" w:space="0" w:color="AAAAAA"/>
              <w:bottom w:val="single" w:sz="4" w:space="0" w:color="AAAAAA"/>
              <w:right w:val="single" w:sz="4" w:space="0" w:color="AAAAAA"/>
            </w:tcBorders>
            <w:shd w:val="clear" w:color="auto" w:fill="EDF3F8"/>
            <w:tcMar>
              <w:top w:w="80" w:type="dxa"/>
              <w:left w:w="120" w:type="dxa"/>
              <w:bottom w:w="80" w:type="dxa"/>
              <w:right w:w="120" w:type="dxa"/>
            </w:tcMar>
          </w:tcPr>
          <w:p w14:paraId="4386B736" w14:textId="77777777" w:rsidR="00BD3B18"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sz w:val="22"/>
                <w:szCs w:val="22"/>
              </w:rPr>
              <w:t>Environmental</w:t>
            </w:r>
          </w:p>
        </w:tc>
        <w:tc>
          <w:tcPr>
            <w:tcW w:w="7226"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222F75E6" w14:textId="77777777" w:rsidR="00BD3B18" w:rsidRDefault="00000000">
            <w:pPr>
              <w:spacing w:line="360" w:lineRule="auto"/>
              <w:rPr>
                <w:rFonts w:ascii="Times New Roman" w:eastAsia="Times New Roman" w:hAnsi="Times New Roman" w:cs="Times New Roman"/>
              </w:rPr>
            </w:pPr>
            <w:r>
              <w:rPr>
                <w:rFonts w:ascii="Times New Roman" w:eastAsia="Times New Roman" w:hAnsi="Times New Roman" w:cs="Times New Roman"/>
                <w:sz w:val="22"/>
                <w:szCs w:val="22"/>
              </w:rPr>
              <w:t>Minor but rising energy footprint of data-intensive AI content generation.</w:t>
            </w:r>
          </w:p>
        </w:tc>
      </w:tr>
      <w:tr w:rsidR="00BD3B18" w14:paraId="21F8EDB7" w14:textId="77777777">
        <w:tc>
          <w:tcPr>
            <w:tcW w:w="1800" w:type="dxa"/>
            <w:tcBorders>
              <w:top w:val="single" w:sz="4" w:space="0" w:color="AAAAAA"/>
              <w:left w:val="single" w:sz="4" w:space="0" w:color="AAAAAA"/>
              <w:bottom w:val="single" w:sz="4" w:space="0" w:color="AAAAAA"/>
              <w:right w:val="single" w:sz="4" w:space="0" w:color="AAAAAA"/>
            </w:tcBorders>
            <w:shd w:val="clear" w:color="auto" w:fill="EDF3F8"/>
            <w:tcMar>
              <w:top w:w="80" w:type="dxa"/>
              <w:left w:w="120" w:type="dxa"/>
              <w:bottom w:w="80" w:type="dxa"/>
              <w:right w:w="120" w:type="dxa"/>
            </w:tcMar>
          </w:tcPr>
          <w:p w14:paraId="2B1633F6" w14:textId="77777777" w:rsidR="00BD3B18"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sz w:val="22"/>
                <w:szCs w:val="22"/>
              </w:rPr>
              <w:t>Political</w:t>
            </w:r>
          </w:p>
        </w:tc>
        <w:tc>
          <w:tcPr>
            <w:tcW w:w="7226"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0DD43B70" w14:textId="77777777" w:rsidR="00BD3B18" w:rsidRDefault="00000000">
            <w:pPr>
              <w:spacing w:line="360" w:lineRule="auto"/>
              <w:rPr>
                <w:rFonts w:ascii="Times New Roman" w:eastAsia="Times New Roman" w:hAnsi="Times New Roman" w:cs="Times New Roman"/>
              </w:rPr>
            </w:pPr>
            <w:r>
              <w:rPr>
                <w:rFonts w:ascii="Times New Roman" w:eastAsia="Times New Roman" w:hAnsi="Times New Roman" w:cs="Times New Roman"/>
                <w:sz w:val="22"/>
                <w:szCs w:val="22"/>
              </w:rPr>
              <w:t>Governments are tightening platform oversight (EU DSA, UK Online Safety Act).</w:t>
            </w:r>
          </w:p>
        </w:tc>
      </w:tr>
      <w:tr w:rsidR="00BD3B18" w14:paraId="33834A51" w14:textId="77777777">
        <w:tc>
          <w:tcPr>
            <w:tcW w:w="1800" w:type="dxa"/>
            <w:tcBorders>
              <w:top w:val="single" w:sz="4" w:space="0" w:color="AAAAAA"/>
              <w:left w:val="single" w:sz="4" w:space="0" w:color="AAAAAA"/>
              <w:bottom w:val="single" w:sz="4" w:space="0" w:color="AAAAAA"/>
              <w:right w:val="single" w:sz="4" w:space="0" w:color="AAAAAA"/>
            </w:tcBorders>
            <w:shd w:val="clear" w:color="auto" w:fill="EDF3F8"/>
            <w:tcMar>
              <w:top w:w="80" w:type="dxa"/>
              <w:left w:w="120" w:type="dxa"/>
              <w:bottom w:w="80" w:type="dxa"/>
              <w:right w:w="120" w:type="dxa"/>
            </w:tcMar>
          </w:tcPr>
          <w:p w14:paraId="65C43788" w14:textId="77777777" w:rsidR="00BD3B18"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sz w:val="22"/>
                <w:szCs w:val="22"/>
              </w:rPr>
              <w:t>Legal</w:t>
            </w:r>
          </w:p>
        </w:tc>
        <w:tc>
          <w:tcPr>
            <w:tcW w:w="7226"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33934322" w14:textId="77777777" w:rsidR="00BD3B18" w:rsidRDefault="00000000">
            <w:pPr>
              <w:spacing w:line="360" w:lineRule="auto"/>
              <w:rPr>
                <w:rFonts w:ascii="Times New Roman" w:eastAsia="Times New Roman" w:hAnsi="Times New Roman" w:cs="Times New Roman"/>
              </w:rPr>
            </w:pPr>
            <w:r>
              <w:rPr>
                <w:rFonts w:ascii="Times New Roman" w:eastAsia="Times New Roman" w:hAnsi="Times New Roman" w:cs="Times New Roman"/>
                <w:sz w:val="22"/>
                <w:szCs w:val="22"/>
              </w:rPr>
              <w:t>Mandatory disclosure under FTC, ASA/CMA and EU DSA; rising fines and class actions.</w:t>
            </w:r>
          </w:p>
        </w:tc>
      </w:tr>
      <w:tr w:rsidR="00BD3B18" w14:paraId="39C7A499" w14:textId="77777777">
        <w:tc>
          <w:tcPr>
            <w:tcW w:w="1800" w:type="dxa"/>
            <w:tcBorders>
              <w:top w:val="single" w:sz="4" w:space="0" w:color="AAAAAA"/>
              <w:left w:val="single" w:sz="4" w:space="0" w:color="AAAAAA"/>
              <w:bottom w:val="single" w:sz="4" w:space="0" w:color="AAAAAA"/>
              <w:right w:val="single" w:sz="4" w:space="0" w:color="AAAAAA"/>
            </w:tcBorders>
            <w:shd w:val="clear" w:color="auto" w:fill="EDF3F8"/>
            <w:tcMar>
              <w:top w:w="80" w:type="dxa"/>
              <w:left w:w="120" w:type="dxa"/>
              <w:bottom w:w="80" w:type="dxa"/>
              <w:right w:w="120" w:type="dxa"/>
            </w:tcMar>
          </w:tcPr>
          <w:p w14:paraId="4EC6CC88" w14:textId="77777777" w:rsidR="00BD3B18"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sz w:val="22"/>
                <w:szCs w:val="22"/>
              </w:rPr>
              <w:t>Ethical</w:t>
            </w:r>
          </w:p>
        </w:tc>
        <w:tc>
          <w:tcPr>
            <w:tcW w:w="7226"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3BA165B5" w14:textId="77777777" w:rsidR="00BD3B18" w:rsidRDefault="00000000">
            <w:pPr>
              <w:spacing w:line="360" w:lineRule="auto"/>
              <w:rPr>
                <w:rFonts w:ascii="Times New Roman" w:eastAsia="Times New Roman" w:hAnsi="Times New Roman" w:cs="Times New Roman"/>
              </w:rPr>
            </w:pPr>
            <w:r>
              <w:rPr>
                <w:rFonts w:ascii="Times New Roman" w:eastAsia="Times New Roman" w:hAnsi="Times New Roman" w:cs="Times New Roman"/>
                <w:sz w:val="22"/>
                <w:szCs w:val="22"/>
              </w:rPr>
              <w:t>Deception and manipulation risks from synthetic influencers; demand for dual disclosure of AI content.</w:t>
            </w:r>
          </w:p>
        </w:tc>
      </w:tr>
    </w:tbl>
    <w:p w14:paraId="3B02653D" w14:textId="77777777" w:rsidR="00BD3B18" w:rsidRDefault="00000000">
      <w:pPr>
        <w:pStyle w:val="Heading2"/>
        <w:spacing w:line="360" w:lineRule="auto"/>
        <w:rPr>
          <w:rFonts w:ascii="Times New Roman" w:eastAsia="Times New Roman" w:hAnsi="Times New Roman" w:cs="Times New Roman"/>
        </w:rPr>
      </w:pPr>
      <w:r>
        <w:rPr>
          <w:rFonts w:ascii="Times New Roman" w:eastAsia="Times New Roman" w:hAnsi="Times New Roman" w:cs="Times New Roman"/>
        </w:rPr>
        <w:t>Social</w:t>
      </w:r>
    </w:p>
    <w:p w14:paraId="65F29EF6"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In purchasing products, consumers want genuine relationships and connections to smaller social networks, and people prefer more </w:t>
      </w:r>
      <w:proofErr w:type="spellStart"/>
      <w:r>
        <w:rPr>
          <w:rFonts w:ascii="Times New Roman" w:eastAsia="Times New Roman" w:hAnsi="Times New Roman" w:cs="Times New Roman"/>
        </w:rPr>
        <w:t>individualized</w:t>
      </w:r>
      <w:proofErr w:type="spellEnd"/>
      <w:r>
        <w:rPr>
          <w:rFonts w:ascii="Times New Roman" w:eastAsia="Times New Roman" w:hAnsi="Times New Roman" w:cs="Times New Roman"/>
        </w:rPr>
        <w:t xml:space="preserve"> marketing. Combining </w:t>
      </w:r>
      <w:proofErr w:type="spellStart"/>
      <w:r>
        <w:rPr>
          <w:rFonts w:ascii="Times New Roman" w:eastAsia="Times New Roman" w:hAnsi="Times New Roman" w:cs="Times New Roman"/>
        </w:rPr>
        <w:t>Godulla's</w:t>
      </w:r>
      <w:proofErr w:type="spellEnd"/>
      <w:r>
        <w:rPr>
          <w:rFonts w:ascii="Times New Roman" w:eastAsia="Times New Roman" w:hAnsi="Times New Roman" w:cs="Times New Roman"/>
        </w:rPr>
        <w:t xml:space="preserve"> (2022) study on </w:t>
      </w:r>
      <w:proofErr w:type="spellStart"/>
      <w:r>
        <w:rPr>
          <w:rFonts w:ascii="Times New Roman" w:eastAsia="Times New Roman" w:hAnsi="Times New Roman" w:cs="Times New Roman"/>
        </w:rPr>
        <w:t>parasocial</w:t>
      </w:r>
      <w:proofErr w:type="spellEnd"/>
      <w:r>
        <w:rPr>
          <w:rFonts w:ascii="Times New Roman" w:eastAsia="Times New Roman" w:hAnsi="Times New Roman" w:cs="Times New Roman"/>
        </w:rPr>
        <w:t xml:space="preserve"> relationships and Lee, Chang, and Zhang's (2022) credibility dimensions, research shows that influencer credibility is directly related to increasing a consumer's brand attitudes and likelihood to make a purchase (Lou and Yuan, 2019; Vu et al., 2024). Although social capital is the currency of the marketplace, it is transitory. It is always interrelated with the ethical and legal issues since insufficient disclosures will destroy trust, erode social capital, and that will adversely affect monetisation.</w:t>
      </w:r>
    </w:p>
    <w:p w14:paraId="27C94059" w14:textId="77777777" w:rsidR="00BD3B18" w:rsidRDefault="00000000">
      <w:pPr>
        <w:pStyle w:val="Heading2"/>
        <w:spacing w:line="360" w:lineRule="auto"/>
        <w:rPr>
          <w:rFonts w:ascii="Times New Roman" w:eastAsia="Times New Roman" w:hAnsi="Times New Roman" w:cs="Times New Roman"/>
        </w:rPr>
      </w:pPr>
      <w:r>
        <w:rPr>
          <w:rFonts w:ascii="Times New Roman" w:eastAsia="Times New Roman" w:hAnsi="Times New Roman" w:cs="Times New Roman"/>
        </w:rPr>
        <w:t>Technological</w:t>
      </w:r>
    </w:p>
    <w:p w14:paraId="6EB66F45"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two major technological components today are algorithmic distribution and artificial intelligence. Algorithms help establish reach and hence revenue, while generative AI has created the ability to fully </w:t>
      </w:r>
      <w:proofErr w:type="spellStart"/>
      <w:r>
        <w:rPr>
          <w:rFonts w:ascii="Times New Roman" w:eastAsia="Times New Roman" w:hAnsi="Times New Roman" w:cs="Times New Roman"/>
        </w:rPr>
        <w:t>synthesize</w:t>
      </w:r>
      <w:proofErr w:type="spellEnd"/>
      <w:r>
        <w:rPr>
          <w:rFonts w:ascii="Times New Roman" w:eastAsia="Times New Roman" w:hAnsi="Times New Roman" w:cs="Times New Roman"/>
        </w:rPr>
        <w:t xml:space="preserve"> AI-generated virtual influencers such as Lil </w:t>
      </w:r>
      <w:proofErr w:type="spellStart"/>
      <w:r>
        <w:rPr>
          <w:rFonts w:ascii="Times New Roman" w:eastAsia="Times New Roman" w:hAnsi="Times New Roman" w:cs="Times New Roman"/>
        </w:rPr>
        <w:t>Miquela</w:t>
      </w:r>
      <w:proofErr w:type="spellEnd"/>
      <w:r>
        <w:rPr>
          <w:rFonts w:ascii="Times New Roman" w:eastAsia="Times New Roman" w:hAnsi="Times New Roman" w:cs="Times New Roman"/>
        </w:rPr>
        <w:t xml:space="preserve"> and Imma (Su, 2025). Technology has become a double-edged sword, allowing extraordinary expansion and simultaneously providing acute volatility, which is closely associated with the economic and psychological tensions elaborated below.</w:t>
      </w:r>
    </w:p>
    <w:p w14:paraId="67D79B35" w14:textId="77777777" w:rsidR="00BD3B18" w:rsidRDefault="00000000">
      <w:pPr>
        <w:pStyle w:val="Heading2"/>
        <w:spacing w:line="360" w:lineRule="auto"/>
        <w:rPr>
          <w:rFonts w:ascii="Times New Roman" w:eastAsia="Times New Roman" w:hAnsi="Times New Roman" w:cs="Times New Roman"/>
        </w:rPr>
      </w:pPr>
      <w:r>
        <w:rPr>
          <w:rFonts w:ascii="Times New Roman" w:eastAsia="Times New Roman" w:hAnsi="Times New Roman" w:cs="Times New Roman"/>
        </w:rPr>
        <w:t>Economic</w:t>
      </w:r>
    </w:p>
    <w:p w14:paraId="556A24BB"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The rapid growth of the sector (Precedence Research, 2026) exists alongside the structural income instability that individual creators experience, the largest market segment (Grand View Research, 2026).</w:t>
      </w:r>
    </w:p>
    <w:p w14:paraId="64100A06"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17B78FFC" wp14:editId="781B73C3">
            <wp:extent cx="5731200" cy="33274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200" cy="3327400"/>
                    </a:xfrm>
                    <a:prstGeom prst="rect">
                      <a:avLst/>
                    </a:prstGeom>
                    <a:ln/>
                  </pic:spPr>
                </pic:pic>
              </a:graphicData>
            </a:graphic>
          </wp:inline>
        </w:drawing>
      </w:r>
    </w:p>
    <w:p w14:paraId="565D7E31"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i/>
          <w:iCs/>
          <w:sz w:val="22"/>
          <w:szCs w:val="22"/>
        </w:rPr>
        <w:t>Figure  2: Creator Economy Market Snapshot Source: (Grand View Research, 2024)</w:t>
      </w:r>
    </w:p>
    <w:p w14:paraId="5BBEFADC"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Creators who rely primarily on advertising, sponsorship, and affiliate marketing suffer from abrupt </w:t>
      </w:r>
      <w:proofErr w:type="spellStart"/>
      <w:r>
        <w:rPr>
          <w:rFonts w:ascii="Times New Roman" w:eastAsia="Times New Roman" w:hAnsi="Times New Roman" w:cs="Times New Roman"/>
        </w:rPr>
        <w:t>demonetization</w:t>
      </w:r>
      <w:proofErr w:type="spellEnd"/>
      <w:r>
        <w:rPr>
          <w:rFonts w:ascii="Times New Roman" w:eastAsia="Times New Roman" w:hAnsi="Times New Roman" w:cs="Times New Roman"/>
        </w:rPr>
        <w:t xml:space="preserve"> and changing fees due to platform dependence. Consequently, many full-time creators experience month-to-month income changes of more than 30% (</w:t>
      </w:r>
      <w:proofErr w:type="spellStart"/>
      <w:r>
        <w:rPr>
          <w:rFonts w:ascii="Times New Roman" w:eastAsia="Times New Roman" w:hAnsi="Times New Roman" w:cs="Times New Roman"/>
        </w:rPr>
        <w:t>Oyekan</w:t>
      </w:r>
      <w:proofErr w:type="spellEnd"/>
      <w:r>
        <w:rPr>
          <w:rFonts w:ascii="Times New Roman" w:eastAsia="Times New Roman" w:hAnsi="Times New Roman" w:cs="Times New Roman"/>
        </w:rPr>
        <w:t>, 2026).</w:t>
      </w:r>
    </w:p>
    <w:p w14:paraId="48AABAB0"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5034E90A" wp14:editId="18DCFF60">
            <wp:extent cx="5731200" cy="32639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263900"/>
                    </a:xfrm>
                    <a:prstGeom prst="rect">
                      <a:avLst/>
                    </a:prstGeom>
                    <a:ln/>
                  </pic:spPr>
                </pic:pic>
              </a:graphicData>
            </a:graphic>
          </wp:inline>
        </w:drawing>
      </w:r>
    </w:p>
    <w:p w14:paraId="58C8D9F0"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i/>
          <w:iCs/>
          <w:sz w:val="22"/>
          <w:szCs w:val="22"/>
        </w:rPr>
        <w:t>Figure  3: Global Creator Economy Market Share Source: (CMI, 2026)</w:t>
      </w:r>
    </w:p>
    <w:p w14:paraId="2C5DAA86" w14:textId="77777777" w:rsidR="00BD3B18" w:rsidRDefault="00000000">
      <w:pPr>
        <w:pStyle w:val="Heading2"/>
        <w:spacing w:line="360" w:lineRule="auto"/>
        <w:rPr>
          <w:rFonts w:ascii="Times New Roman" w:eastAsia="Times New Roman" w:hAnsi="Times New Roman" w:cs="Times New Roman"/>
        </w:rPr>
      </w:pPr>
      <w:r>
        <w:rPr>
          <w:rFonts w:ascii="Times New Roman" w:eastAsia="Times New Roman" w:hAnsi="Times New Roman" w:cs="Times New Roman"/>
        </w:rPr>
        <w:t>Political, Legal, and Ethical</w:t>
      </w:r>
    </w:p>
    <w:p w14:paraId="2063A475"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Globally, there is a tightening of political and legal standards. Due to the full enactment of the EU Digital Services Act in February 2024, platforms are now required to identify ads. The UK ASA and CMA demand a clear showing of ads, and the US FTC has moved from warnings to fines of more than USD 53,000 per violation (European Commission, 2024, cited in </w:t>
      </w:r>
      <w:proofErr w:type="spellStart"/>
      <w:r>
        <w:rPr>
          <w:rFonts w:ascii="Times New Roman" w:eastAsia="Times New Roman" w:hAnsi="Times New Roman" w:cs="Times New Roman"/>
        </w:rPr>
        <w:t>Bankson</w:t>
      </w:r>
      <w:proofErr w:type="spellEnd"/>
      <w:r>
        <w:rPr>
          <w:rFonts w:ascii="Times New Roman" w:eastAsia="Times New Roman" w:hAnsi="Times New Roman" w:cs="Times New Roman"/>
        </w:rPr>
        <w:t xml:space="preserve"> (2026); AuditSocials, 2026). Ethically speaking, the emergence of synthetic influencers shows the deception and manipulation more clearly, leaving regulatory bodies to issue more requirements for dual posting of the paid partnership and the disclosure that the content was AI-generated (AuditSocials, 2026). The more traditional environmental concerns are focused on the AI-generated energy, which is still comparatively small. The connection is clear and simple: ethical shortcomings lead to legal problems that, in the end, erode the trust based on the socio-economic system.</w:t>
      </w:r>
    </w:p>
    <w:p w14:paraId="29A8E4D0" w14:textId="77777777" w:rsidR="00BD3B18" w:rsidRDefault="00000000">
      <w:pPr>
        <w:pStyle w:val="Heading1"/>
        <w:spacing w:line="360" w:lineRule="auto"/>
        <w:rPr>
          <w:rFonts w:ascii="Times New Roman" w:eastAsia="Times New Roman" w:hAnsi="Times New Roman" w:cs="Times New Roman"/>
        </w:rPr>
      </w:pPr>
      <w:r>
        <w:rPr>
          <w:rFonts w:ascii="Times New Roman" w:eastAsia="Times New Roman" w:hAnsi="Times New Roman" w:cs="Times New Roman"/>
        </w:rPr>
        <w:t>3. SWOT Analysis Linked to STEEPLE Findings</w:t>
      </w:r>
    </w:p>
    <w:p w14:paraId="4F5EBDE7"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Translating the STEEPLE forces into strategic implications, Table 2 shows a SWOT matrix for which each quadrant relates to a specific external factor rather than being listed in isolation.</w:t>
      </w:r>
    </w:p>
    <w:p w14:paraId="00A8258E" w14:textId="77777777" w:rsidR="00BD3B18" w:rsidRDefault="00000000">
      <w:pPr>
        <w:spacing w:after="100" w:line="360" w:lineRule="auto"/>
        <w:rPr>
          <w:rFonts w:ascii="Times New Roman" w:eastAsia="Times New Roman" w:hAnsi="Times New Roman" w:cs="Times New Roman"/>
        </w:rPr>
      </w:pPr>
      <w:r>
        <w:rPr>
          <w:rFonts w:ascii="Times New Roman" w:eastAsia="Times New Roman" w:hAnsi="Times New Roman" w:cs="Times New Roman"/>
          <w:i/>
          <w:iCs/>
          <w:sz w:val="22"/>
          <w:szCs w:val="22"/>
        </w:rPr>
        <w:t>Table 2: SWOT matrix derived from the STEEPLE analysis</w:t>
      </w:r>
    </w:p>
    <w:tbl>
      <w:tblPr>
        <w:tblStyle w:val="a0"/>
        <w:tblW w:w="902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13"/>
        <w:gridCol w:w="4513"/>
      </w:tblGrid>
      <w:tr w:rsidR="00BD3B18" w14:paraId="7892C3E3" w14:textId="77777777">
        <w:tc>
          <w:tcPr>
            <w:tcW w:w="4513" w:type="dxa"/>
            <w:tcBorders>
              <w:top w:val="single" w:sz="4" w:space="0" w:color="AAAAAA"/>
              <w:left w:val="single" w:sz="4" w:space="0" w:color="AAAAAA"/>
              <w:bottom w:val="single" w:sz="4" w:space="0" w:color="AAAAAA"/>
              <w:right w:val="single" w:sz="4" w:space="0" w:color="AAAAAA"/>
            </w:tcBorders>
            <w:shd w:val="clear" w:color="auto" w:fill="E2EFDA"/>
            <w:tcMar>
              <w:top w:w="100" w:type="dxa"/>
              <w:left w:w="140" w:type="dxa"/>
              <w:bottom w:w="100" w:type="dxa"/>
              <w:right w:w="140" w:type="dxa"/>
            </w:tcMar>
          </w:tcPr>
          <w:p w14:paraId="4DB57BDF" w14:textId="77777777" w:rsidR="00BD3B18" w:rsidRDefault="00000000">
            <w:pPr>
              <w:spacing w:after="60" w:line="360" w:lineRule="auto"/>
              <w:rPr>
                <w:rFonts w:ascii="Times New Roman" w:eastAsia="Times New Roman" w:hAnsi="Times New Roman" w:cs="Times New Roman"/>
              </w:rPr>
            </w:pPr>
            <w:r>
              <w:rPr>
                <w:rFonts w:ascii="Times New Roman" w:eastAsia="Times New Roman" w:hAnsi="Times New Roman" w:cs="Times New Roman"/>
                <w:b/>
                <w:bCs/>
              </w:rPr>
              <w:t>Strengths</w:t>
            </w:r>
          </w:p>
          <w:p w14:paraId="465DF833" w14:textId="77777777" w:rsidR="00BD3B18"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sz w:val="21"/>
                <w:szCs w:val="21"/>
              </w:rPr>
              <w:t>Authentic, high-trust relationships give persuasive power; low entry barriers and strong monetisation tools enable rapid scaling. Implication: durable advantage in consumer attention.</w:t>
            </w:r>
          </w:p>
        </w:tc>
        <w:tc>
          <w:tcPr>
            <w:tcW w:w="4513" w:type="dxa"/>
            <w:tcBorders>
              <w:top w:val="single" w:sz="4" w:space="0" w:color="AAAAAA"/>
              <w:left w:val="single" w:sz="4" w:space="0" w:color="AAAAAA"/>
              <w:bottom w:val="single" w:sz="4" w:space="0" w:color="AAAAAA"/>
              <w:right w:val="single" w:sz="4" w:space="0" w:color="AAAAAA"/>
            </w:tcBorders>
            <w:shd w:val="clear" w:color="auto" w:fill="FBE4D5"/>
            <w:tcMar>
              <w:top w:w="100" w:type="dxa"/>
              <w:left w:w="140" w:type="dxa"/>
              <w:bottom w:w="100" w:type="dxa"/>
              <w:right w:w="140" w:type="dxa"/>
            </w:tcMar>
          </w:tcPr>
          <w:p w14:paraId="1E0787D5" w14:textId="77777777" w:rsidR="00BD3B18" w:rsidRDefault="00000000">
            <w:pPr>
              <w:spacing w:after="60" w:line="360" w:lineRule="auto"/>
              <w:rPr>
                <w:rFonts w:ascii="Times New Roman" w:eastAsia="Times New Roman" w:hAnsi="Times New Roman" w:cs="Times New Roman"/>
              </w:rPr>
            </w:pPr>
            <w:r>
              <w:rPr>
                <w:rFonts w:ascii="Times New Roman" w:eastAsia="Times New Roman" w:hAnsi="Times New Roman" w:cs="Times New Roman"/>
                <w:b/>
                <w:bCs/>
              </w:rPr>
              <w:t>Weaknesses</w:t>
            </w:r>
          </w:p>
          <w:p w14:paraId="21F2BEE9" w14:textId="77777777" w:rsidR="00BD3B18"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sz w:val="21"/>
                <w:szCs w:val="21"/>
              </w:rPr>
              <w:t>Algorithm dependency and income volatility create fragility; near-crisis burnout and churn. Implication: threatened supply-side sustainability.</w:t>
            </w:r>
          </w:p>
        </w:tc>
      </w:tr>
      <w:tr w:rsidR="00BD3B18" w14:paraId="03157A1D" w14:textId="77777777">
        <w:tc>
          <w:tcPr>
            <w:tcW w:w="4513" w:type="dxa"/>
            <w:tcBorders>
              <w:top w:val="single" w:sz="4" w:space="0" w:color="AAAAAA"/>
              <w:left w:val="single" w:sz="4" w:space="0" w:color="AAAAAA"/>
              <w:bottom w:val="single" w:sz="4" w:space="0" w:color="AAAAAA"/>
              <w:right w:val="single" w:sz="4" w:space="0" w:color="AAAAAA"/>
            </w:tcBorders>
            <w:shd w:val="clear" w:color="auto" w:fill="DEEBF7"/>
            <w:tcMar>
              <w:top w:w="100" w:type="dxa"/>
              <w:left w:w="140" w:type="dxa"/>
              <w:bottom w:w="100" w:type="dxa"/>
              <w:right w:w="140" w:type="dxa"/>
            </w:tcMar>
          </w:tcPr>
          <w:p w14:paraId="3171D41A" w14:textId="77777777" w:rsidR="00BD3B18" w:rsidRDefault="00000000">
            <w:pPr>
              <w:spacing w:after="60" w:line="360" w:lineRule="auto"/>
              <w:rPr>
                <w:rFonts w:ascii="Times New Roman" w:eastAsia="Times New Roman" w:hAnsi="Times New Roman" w:cs="Times New Roman"/>
              </w:rPr>
            </w:pPr>
            <w:r>
              <w:rPr>
                <w:rFonts w:ascii="Times New Roman" w:eastAsia="Times New Roman" w:hAnsi="Times New Roman" w:cs="Times New Roman"/>
                <w:b/>
                <w:bCs/>
              </w:rPr>
              <w:t>Opportunities</w:t>
            </w:r>
          </w:p>
          <w:p w14:paraId="76E2ADDA" w14:textId="77777777" w:rsidR="00BD3B18"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sz w:val="21"/>
                <w:szCs w:val="21"/>
              </w:rPr>
              <w:t>Diversification into subscriptions and direct-to-fan funding; trust-led compliance turns regulation into reputational differentiation.</w:t>
            </w:r>
          </w:p>
        </w:tc>
        <w:tc>
          <w:tcPr>
            <w:tcW w:w="4513" w:type="dxa"/>
            <w:tcBorders>
              <w:top w:val="single" w:sz="4" w:space="0" w:color="AAAAAA"/>
              <w:left w:val="single" w:sz="4" w:space="0" w:color="AAAAAA"/>
              <w:bottom w:val="single" w:sz="4" w:space="0" w:color="AAAAAA"/>
              <w:right w:val="single" w:sz="4" w:space="0" w:color="AAAAAA"/>
            </w:tcBorders>
            <w:shd w:val="clear" w:color="auto" w:fill="FFF2CC"/>
            <w:tcMar>
              <w:top w:w="100" w:type="dxa"/>
              <w:left w:w="140" w:type="dxa"/>
              <w:bottom w:w="100" w:type="dxa"/>
              <w:right w:w="140" w:type="dxa"/>
            </w:tcMar>
          </w:tcPr>
          <w:p w14:paraId="71347E2D" w14:textId="77777777" w:rsidR="00BD3B18" w:rsidRDefault="00000000">
            <w:pPr>
              <w:spacing w:after="60" w:line="360" w:lineRule="auto"/>
              <w:rPr>
                <w:rFonts w:ascii="Times New Roman" w:eastAsia="Times New Roman" w:hAnsi="Times New Roman" w:cs="Times New Roman"/>
              </w:rPr>
            </w:pPr>
            <w:r>
              <w:rPr>
                <w:rFonts w:ascii="Times New Roman" w:eastAsia="Times New Roman" w:hAnsi="Times New Roman" w:cs="Times New Roman"/>
                <w:b/>
                <w:bCs/>
              </w:rPr>
              <w:t>Threats</w:t>
            </w:r>
          </w:p>
          <w:p w14:paraId="05D97977" w14:textId="77777777" w:rsidR="00BD3B18"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sz w:val="21"/>
                <w:szCs w:val="21"/>
              </w:rPr>
              <w:t>Tightening regulation, disclosure litigation, market saturation, and brand-trust damage from poorly governed AI influencers.</w:t>
            </w:r>
          </w:p>
        </w:tc>
      </w:tr>
    </w:tbl>
    <w:p w14:paraId="69FA60A2" w14:textId="77777777" w:rsidR="00BD3B18" w:rsidRDefault="00BD3B18">
      <w:pPr>
        <w:spacing w:before="160" w:line="360" w:lineRule="auto"/>
        <w:rPr>
          <w:rFonts w:ascii="Times New Roman" w:eastAsia="Times New Roman" w:hAnsi="Times New Roman" w:cs="Times New Roman"/>
        </w:rPr>
      </w:pPr>
    </w:p>
    <w:p w14:paraId="455A063D"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Strengths arise from social and technological factors. Authentic relationships provide creators with persuasive power, which traditional advertising cannot duplicate (Lou and Yuan, 2019). Combined with a low barrier to entry, power relations create rapid scalability (Market.Us, 2025). The weaknesses reveal the dependencies embedded in the same technology. A study from Harvard T.H. Chan School of Public Health found burnout, financial stress, and isolation at near-crisis levels, with changes to algorithms the only cited reason (HSPH, 2025; Lai, 2022),  suggesting a high creator churn that </w:t>
      </w:r>
      <w:proofErr w:type="spellStart"/>
      <w:r>
        <w:rPr>
          <w:rFonts w:ascii="Times New Roman" w:eastAsia="Times New Roman" w:hAnsi="Times New Roman" w:cs="Times New Roman"/>
        </w:rPr>
        <w:t>jeopardizes</w:t>
      </w:r>
      <w:proofErr w:type="spellEnd"/>
      <w:r>
        <w:rPr>
          <w:rFonts w:ascii="Times New Roman" w:eastAsia="Times New Roman" w:hAnsi="Times New Roman" w:cs="Times New Roman"/>
        </w:rPr>
        <w:t xml:space="preserve"> the industry's talent supply. The threats follow the same pattern of interconnection. Joel-Edgar's work shows AI Influencers can do greater damage to brand trust than humans do when disappointment with a product occurs (Daly, 2025). Here we see a great example of the ethical element of the framework culminating in an economic loss.</w:t>
      </w:r>
    </w:p>
    <w:p w14:paraId="29AE2568" w14:textId="77777777" w:rsidR="00BD3B18" w:rsidRDefault="00000000">
      <w:pPr>
        <w:pStyle w:val="Heading1"/>
        <w:spacing w:line="360" w:lineRule="auto"/>
        <w:rPr>
          <w:rFonts w:ascii="Times New Roman" w:eastAsia="Times New Roman" w:hAnsi="Times New Roman" w:cs="Times New Roman"/>
        </w:rPr>
      </w:pPr>
      <w:r>
        <w:rPr>
          <w:rFonts w:ascii="Times New Roman" w:eastAsia="Times New Roman" w:hAnsi="Times New Roman" w:cs="Times New Roman"/>
        </w:rPr>
        <w:t>4. Future Lens: Predictions Using DPSIR</w:t>
      </w:r>
    </w:p>
    <w:p w14:paraId="18DDD90E"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DPSIR model (Drivers, Pressures, State, Impact, Response), as represented in Figure 4, </w:t>
      </w:r>
      <w:proofErr w:type="spellStart"/>
      <w:r>
        <w:rPr>
          <w:rFonts w:ascii="Times New Roman" w:eastAsia="Times New Roman" w:hAnsi="Times New Roman" w:cs="Times New Roman"/>
        </w:rPr>
        <w:t>organizes</w:t>
      </w:r>
      <w:proofErr w:type="spellEnd"/>
      <w:r>
        <w:rPr>
          <w:rFonts w:ascii="Times New Roman" w:eastAsia="Times New Roman" w:hAnsi="Times New Roman" w:cs="Times New Roman"/>
        </w:rPr>
        <w:t xml:space="preserve"> a predictive analysis. The primary driver is the sustained expectation for more </w:t>
      </w:r>
      <w:proofErr w:type="spellStart"/>
      <w:r>
        <w:rPr>
          <w:rFonts w:ascii="Times New Roman" w:eastAsia="Times New Roman" w:hAnsi="Times New Roman" w:cs="Times New Roman"/>
        </w:rPr>
        <w:t>personalized</w:t>
      </w:r>
      <w:proofErr w:type="spellEnd"/>
      <w:r>
        <w:rPr>
          <w:rFonts w:ascii="Times New Roman" w:eastAsia="Times New Roman" w:hAnsi="Times New Roman" w:cs="Times New Roman"/>
        </w:rPr>
        <w:t>, ‘real’ content (CMI, 2026). This creates pressures, including the proliferation of creator accounts that will exceed 300 million (Research Nester, 2026), market saturation, more AI-generated content, and new regulations.</w:t>
      </w:r>
    </w:p>
    <w:p w14:paraId="11DCB280" w14:textId="77777777" w:rsidR="00BD3B18" w:rsidRDefault="00000000">
      <w:pPr>
        <w:spacing w:before="80" w:after="80"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713DB813" wp14:editId="67CBA590">
            <wp:extent cx="5143500" cy="247180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t="7649"/>
                    <a:stretch>
                      <a:fillRect/>
                    </a:stretch>
                  </pic:blipFill>
                  <pic:spPr>
                    <a:xfrm>
                      <a:off x="0" y="0"/>
                      <a:ext cx="5143500" cy="2471806"/>
                    </a:xfrm>
                    <a:prstGeom prst="rect">
                      <a:avLst/>
                    </a:prstGeom>
                    <a:ln/>
                  </pic:spPr>
                </pic:pic>
              </a:graphicData>
            </a:graphic>
          </wp:inline>
        </w:drawing>
      </w:r>
    </w:p>
    <w:p w14:paraId="5AB885C1" w14:textId="77777777" w:rsidR="00BD3B18" w:rsidRDefault="00000000">
      <w:pPr>
        <w:spacing w:before="80" w:after="80" w:line="360" w:lineRule="auto"/>
        <w:rPr>
          <w:rFonts w:ascii="Times New Roman" w:eastAsia="Times New Roman" w:hAnsi="Times New Roman" w:cs="Times New Roman"/>
          <w:i/>
          <w:iCs/>
          <w:sz w:val="22"/>
          <w:szCs w:val="22"/>
        </w:rPr>
      </w:pPr>
      <w:r>
        <w:rPr>
          <w:rFonts w:ascii="Times New Roman" w:eastAsia="Times New Roman" w:hAnsi="Times New Roman" w:cs="Times New Roman"/>
          <w:i/>
          <w:iCs/>
          <w:sz w:val="22"/>
          <w:szCs w:val="22"/>
        </w:rPr>
        <w:t>Figure 4: DPSIR Analysis of the Creator Economy's Future Trajectory Source: Self-Created</w:t>
      </w:r>
    </w:p>
    <w:p w14:paraId="73F03239"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marketplace will be more crowded and more </w:t>
      </w:r>
      <w:proofErr w:type="spellStart"/>
      <w:r>
        <w:rPr>
          <w:rFonts w:ascii="Times New Roman" w:eastAsia="Times New Roman" w:hAnsi="Times New Roman" w:cs="Times New Roman"/>
        </w:rPr>
        <w:t>scrutinized</w:t>
      </w:r>
      <w:proofErr w:type="spellEnd"/>
      <w:r>
        <w:rPr>
          <w:rFonts w:ascii="Times New Roman" w:eastAsia="Times New Roman" w:hAnsi="Times New Roman" w:cs="Times New Roman"/>
        </w:rPr>
        <w:t xml:space="preserve"> because it will be more synthetic. There are three observable effects. First, because studies show that people perceive AI influencers as more synthetic and less trustworthy, especially for high-involvement products, a trust ceiling will develop as AI influencers become more popular (University of Florida, 2024; </w:t>
      </w:r>
      <w:proofErr w:type="spellStart"/>
      <w:r>
        <w:rPr>
          <w:rFonts w:ascii="Times New Roman" w:eastAsia="Times New Roman" w:hAnsi="Times New Roman" w:cs="Times New Roman"/>
        </w:rPr>
        <w:t>Tseng</w:t>
      </w:r>
      <w:proofErr w:type="spellEnd"/>
      <w:r>
        <w:rPr>
          <w:rFonts w:ascii="Times New Roman" w:eastAsia="Times New Roman" w:hAnsi="Times New Roman" w:cs="Times New Roman"/>
        </w:rPr>
        <w:t xml:space="preserve"> and Ou, 2025). Saturation will create a greater imbalance because mid-tier creators will earn less, while the top tier will be rewarded more. Dual disclosure will become the norm because consumers will no longer be able to differentiate between AI and human posts (FTC, 2019). The expected effects (see the feedback loop in Figure 4) will be systems that </w:t>
      </w:r>
      <w:proofErr w:type="spellStart"/>
      <w:r>
        <w:rPr>
          <w:rFonts w:ascii="Times New Roman" w:eastAsia="Times New Roman" w:hAnsi="Times New Roman" w:cs="Times New Roman"/>
        </w:rPr>
        <w:t>stabilize</w:t>
      </w:r>
      <w:proofErr w:type="spellEnd"/>
      <w:r>
        <w:rPr>
          <w:rFonts w:ascii="Times New Roman" w:eastAsia="Times New Roman" w:hAnsi="Times New Roman" w:cs="Times New Roman"/>
        </w:rPr>
        <w:t xml:space="preserve"> creator income, </w:t>
      </w:r>
      <w:proofErr w:type="spellStart"/>
      <w:r>
        <w:rPr>
          <w:rFonts w:ascii="Times New Roman" w:eastAsia="Times New Roman" w:hAnsi="Times New Roman" w:cs="Times New Roman"/>
        </w:rPr>
        <w:t>harmonized</w:t>
      </w:r>
      <w:proofErr w:type="spellEnd"/>
      <w:r>
        <w:rPr>
          <w:rFonts w:ascii="Times New Roman" w:eastAsia="Times New Roman" w:hAnsi="Times New Roman" w:cs="Times New Roman"/>
        </w:rPr>
        <w:t xml:space="preserve"> AI </w:t>
      </w:r>
      <w:proofErr w:type="spellStart"/>
      <w:r>
        <w:rPr>
          <w:rFonts w:ascii="Times New Roman" w:eastAsia="Times New Roman" w:hAnsi="Times New Roman" w:cs="Times New Roman"/>
        </w:rPr>
        <w:t>labeling</w:t>
      </w:r>
      <w:proofErr w:type="spellEnd"/>
      <w:r>
        <w:rPr>
          <w:rFonts w:ascii="Times New Roman" w:eastAsia="Times New Roman" w:hAnsi="Times New Roman" w:cs="Times New Roman"/>
        </w:rPr>
        <w:t>, and creators that professionalize their systems of self-governance; all of which moderate the effects.</w:t>
      </w:r>
    </w:p>
    <w:p w14:paraId="60C3B13C" w14:textId="77777777" w:rsidR="00BD3B18" w:rsidRDefault="00000000">
      <w:pPr>
        <w:pStyle w:val="Heading1"/>
        <w:spacing w:line="360" w:lineRule="auto"/>
        <w:rPr>
          <w:rFonts w:ascii="Times New Roman" w:eastAsia="Times New Roman" w:hAnsi="Times New Roman" w:cs="Times New Roman"/>
        </w:rPr>
      </w:pPr>
      <w:r>
        <w:rPr>
          <w:rFonts w:ascii="Times New Roman" w:eastAsia="Times New Roman" w:hAnsi="Times New Roman" w:cs="Times New Roman"/>
        </w:rPr>
        <w:t>5. Recommendations</w:t>
      </w:r>
    </w:p>
    <w:p w14:paraId="4E7346A7" w14:textId="77777777" w:rsidR="00BD3B18" w:rsidRDefault="00000000">
      <w:pPr>
        <w:numPr>
          <w:ilvl w:val="0"/>
          <w:numId w:val="1"/>
        </w:numPr>
        <w:spacing w:after="160" w:line="360" w:lineRule="auto"/>
        <w:jc w:val="both"/>
      </w:pPr>
      <w:r>
        <w:rPr>
          <w:rFonts w:ascii="Times New Roman" w:eastAsia="Times New Roman" w:hAnsi="Times New Roman" w:cs="Times New Roman"/>
        </w:rPr>
        <w:t xml:space="preserve">Build subscriptions, memberships, and direct-to-fan offerings to diversify income and reduce dependence on platforms. Subscriptions and memberships help offset the income volatility and the economic threat posed by agile technology, such as an ever-shifting algorithm. These offer creators an affordable way to migrate their audience and reduce their dependence on advertising platforms. What's more, now that platforms such as </w:t>
      </w:r>
      <w:proofErr w:type="spellStart"/>
      <w:r>
        <w:rPr>
          <w:rFonts w:ascii="Times New Roman" w:eastAsia="Times New Roman" w:hAnsi="Times New Roman" w:cs="Times New Roman"/>
        </w:rPr>
        <w:t>Substack</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Patreon</w:t>
      </w:r>
      <w:proofErr w:type="spellEnd"/>
      <w:r>
        <w:rPr>
          <w:rFonts w:ascii="Times New Roman" w:eastAsia="Times New Roman" w:hAnsi="Times New Roman" w:cs="Times New Roman"/>
        </w:rPr>
        <w:t xml:space="preserve"> have significantly improved what they offer, the need to diversify income streams has become even more pressing (Su, 2025).</w:t>
      </w:r>
    </w:p>
    <w:p w14:paraId="376A582C" w14:textId="77777777" w:rsidR="00BD3B18" w:rsidRDefault="00000000">
      <w:pPr>
        <w:numPr>
          <w:ilvl w:val="0"/>
          <w:numId w:val="1"/>
        </w:numPr>
        <w:spacing w:after="160" w:line="360" w:lineRule="auto"/>
        <w:jc w:val="both"/>
      </w:pPr>
      <w:r>
        <w:rPr>
          <w:rFonts w:ascii="Times New Roman" w:eastAsia="Times New Roman" w:hAnsi="Times New Roman" w:cs="Times New Roman"/>
        </w:rPr>
        <w:t xml:space="preserve">Brands and agencies should </w:t>
      </w:r>
      <w:proofErr w:type="spellStart"/>
      <w:r>
        <w:rPr>
          <w:rFonts w:ascii="Times New Roman" w:eastAsia="Times New Roman" w:hAnsi="Times New Roman" w:cs="Times New Roman"/>
        </w:rPr>
        <w:t>instill</w:t>
      </w:r>
      <w:proofErr w:type="spellEnd"/>
      <w:r>
        <w:rPr>
          <w:rFonts w:ascii="Times New Roman" w:eastAsia="Times New Roman" w:hAnsi="Times New Roman" w:cs="Times New Roman"/>
        </w:rPr>
        <w:t xml:space="preserve"> a trust-based compliance and disclosure strategy to build a competitive edge. Brands should add clear and prominent disclosures to creative workflows that will satisfy the most stringent legal requirements. In addition, disclosure of AI-generated content should comply with dual </w:t>
      </w:r>
      <w:proofErr w:type="spellStart"/>
      <w:r>
        <w:rPr>
          <w:rFonts w:ascii="Times New Roman" w:eastAsia="Times New Roman" w:hAnsi="Times New Roman" w:cs="Times New Roman"/>
        </w:rPr>
        <w:t>labeling</w:t>
      </w:r>
      <w:proofErr w:type="spellEnd"/>
      <w:r>
        <w:rPr>
          <w:rFonts w:ascii="Times New Roman" w:eastAsia="Times New Roman" w:hAnsi="Times New Roman" w:cs="Times New Roman"/>
        </w:rPr>
        <w:t xml:space="preserve"> standards. While legal requirements and ethics will disrupt the trust-based purchase intentions of consumers, the compliance cost is far less than the millions of dollars in reputational risk and litigation that will be disparaging to companies (Ubiquitous, 2023; Lee, Chang, and Zhang, 2022; AuditSocials, 2026).</w:t>
      </w:r>
    </w:p>
    <w:p w14:paraId="05C57238" w14:textId="77777777" w:rsidR="00BD3B18" w:rsidRDefault="00000000">
      <w:pPr>
        <w:pStyle w:val="Heading1"/>
        <w:spacing w:line="360" w:lineRule="auto"/>
        <w:rPr>
          <w:rFonts w:ascii="Times New Roman" w:eastAsia="Times New Roman" w:hAnsi="Times New Roman" w:cs="Times New Roman"/>
        </w:rPr>
      </w:pPr>
      <w:r>
        <w:rPr>
          <w:rFonts w:ascii="Times New Roman" w:eastAsia="Times New Roman" w:hAnsi="Times New Roman" w:cs="Times New Roman"/>
        </w:rPr>
        <w:t>6. Conclusion</w:t>
      </w:r>
    </w:p>
    <w:p w14:paraId="02BB86D8" w14:textId="77777777" w:rsidR="00BD3B18" w:rsidRDefault="00000000">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The creator economy can be a high-growth, high-risk environment. STEEPLE shows that social trust is its main component, but technological volatility, ethical concerns, and increased regulation threaten it. The SWOT matrix and the DPSIR future lens show that these are not separate factors. Those who diversify their income and are leaders in their fields will be the most successful. In the creator economy, trust and governance will not be considered compliance issues but instead will be the main strategic assets as the creator economy increases in growth.</w:t>
      </w:r>
    </w:p>
    <w:p w14:paraId="6F30BE4B" w14:textId="77777777" w:rsidR="00BD3B18" w:rsidRDefault="00000000">
      <w:pPr>
        <w:pStyle w:val="Heading1"/>
        <w:pageBreakBefore/>
        <w:spacing w:line="360" w:lineRule="auto"/>
        <w:rPr>
          <w:rFonts w:ascii="Times New Roman" w:eastAsia="Times New Roman" w:hAnsi="Times New Roman" w:cs="Times New Roman"/>
          <w:sz w:val="36"/>
          <w:szCs w:val="36"/>
        </w:rPr>
      </w:pPr>
      <w:r>
        <w:rPr>
          <w:rFonts w:ascii="Times New Roman" w:eastAsia="Times New Roman" w:hAnsi="Times New Roman" w:cs="Times New Roman"/>
        </w:rPr>
        <w:t>References</w:t>
      </w:r>
    </w:p>
    <w:p w14:paraId="3C013B6F" w14:textId="77777777" w:rsidR="00BD3B18" w:rsidRDefault="00000000">
      <w:pPr>
        <w:spacing w:after="240" w:line="360" w:lineRule="auto"/>
        <w:rPr>
          <w:rFonts w:ascii="Times New Roman" w:eastAsia="Times New Roman" w:hAnsi="Times New Roman" w:cs="Times New Roman"/>
        </w:rPr>
      </w:pPr>
      <w:r>
        <w:rPr>
          <w:rFonts w:ascii="Times New Roman" w:eastAsia="Times New Roman" w:hAnsi="Times New Roman" w:cs="Times New Roman"/>
        </w:rPr>
        <w:t xml:space="preserve">AuditSocials (2026) </w:t>
      </w:r>
      <w:r>
        <w:rPr>
          <w:rFonts w:ascii="Times New Roman" w:eastAsia="Times New Roman" w:hAnsi="Times New Roman" w:cs="Times New Roman"/>
          <w:i/>
          <w:iCs/>
        </w:rPr>
        <w:t>Influencer Compliance Guide — 7-Step Framework for Creators &amp; Brands</w:t>
      </w:r>
      <w:r>
        <w:rPr>
          <w:rFonts w:ascii="Times New Roman" w:eastAsia="Times New Roman" w:hAnsi="Times New Roman" w:cs="Times New Roman"/>
        </w:rPr>
        <w:t xml:space="preserve">, </w:t>
      </w:r>
      <w:r>
        <w:rPr>
          <w:rFonts w:ascii="Times New Roman" w:eastAsia="Times New Roman" w:hAnsi="Times New Roman" w:cs="Times New Roman"/>
          <w:i/>
          <w:iCs/>
        </w:rPr>
        <w:t>Auditsocials.com</w:t>
      </w:r>
      <w:r>
        <w:rPr>
          <w:rFonts w:ascii="Times New Roman" w:eastAsia="Times New Roman" w:hAnsi="Times New Roman" w:cs="Times New Roman"/>
        </w:rPr>
        <w:t xml:space="preserve">. AuditSocials. Available at: </w:t>
      </w:r>
      <w:hyperlink r:id="rId11">
        <w:r>
          <w:rPr>
            <w:rFonts w:ascii="Times New Roman" w:eastAsia="Times New Roman" w:hAnsi="Times New Roman" w:cs="Times New Roman"/>
            <w:color w:val="1155CC"/>
            <w:u w:val="single"/>
          </w:rPr>
          <w:t>https://www.auditsocials.com/influencer-compliance</w:t>
        </w:r>
      </w:hyperlink>
      <w:r>
        <w:rPr>
          <w:rFonts w:ascii="Times New Roman" w:eastAsia="Times New Roman" w:hAnsi="Times New Roman" w:cs="Times New Roman"/>
        </w:rPr>
        <w:t xml:space="preserve"> (Accessed: 9 June 2026).</w:t>
      </w:r>
    </w:p>
    <w:p w14:paraId="1651E938" w14:textId="77777777" w:rsidR="00BD3B18" w:rsidRDefault="00000000">
      <w:pPr>
        <w:spacing w:after="240" w:line="360" w:lineRule="auto"/>
        <w:rPr>
          <w:rFonts w:ascii="Times New Roman" w:eastAsia="Times New Roman" w:hAnsi="Times New Roman" w:cs="Times New Roman"/>
        </w:rPr>
      </w:pPr>
      <w:proofErr w:type="spellStart"/>
      <w:r>
        <w:rPr>
          <w:rFonts w:ascii="Times New Roman" w:eastAsia="Times New Roman" w:hAnsi="Times New Roman" w:cs="Times New Roman"/>
        </w:rPr>
        <w:t>Bankson</w:t>
      </w:r>
      <w:proofErr w:type="spellEnd"/>
      <w:r>
        <w:rPr>
          <w:rFonts w:ascii="Times New Roman" w:eastAsia="Times New Roman" w:hAnsi="Times New Roman" w:cs="Times New Roman"/>
        </w:rPr>
        <w:t xml:space="preserve">, A. (2026) </w:t>
      </w:r>
      <w:r>
        <w:rPr>
          <w:rFonts w:ascii="Times New Roman" w:eastAsia="Times New Roman" w:hAnsi="Times New Roman" w:cs="Times New Roman"/>
          <w:i/>
          <w:iCs/>
        </w:rPr>
        <w:t>Influencer Marketing Laws &amp; FTC Compliance Guide</w:t>
      </w:r>
      <w:r>
        <w:rPr>
          <w:rFonts w:ascii="Times New Roman" w:eastAsia="Times New Roman" w:hAnsi="Times New Roman" w:cs="Times New Roman"/>
        </w:rPr>
        <w:t xml:space="preserve">, </w:t>
      </w:r>
      <w:r>
        <w:rPr>
          <w:rFonts w:ascii="Times New Roman" w:eastAsia="Times New Roman" w:hAnsi="Times New Roman" w:cs="Times New Roman"/>
          <w:i/>
          <w:iCs/>
        </w:rPr>
        <w:t>Ubiquitousinfluence.com</w:t>
      </w:r>
      <w:r>
        <w:rPr>
          <w:rFonts w:ascii="Times New Roman" w:eastAsia="Times New Roman" w:hAnsi="Times New Roman" w:cs="Times New Roman"/>
        </w:rPr>
        <w:t xml:space="preserve">. Available at: </w:t>
      </w:r>
      <w:hyperlink r:id="rId12">
        <w:r>
          <w:rPr>
            <w:rFonts w:ascii="Times New Roman" w:eastAsia="Times New Roman" w:hAnsi="Times New Roman" w:cs="Times New Roman"/>
            <w:color w:val="1155CC"/>
            <w:u w:val="single"/>
          </w:rPr>
          <w:t>https://www.ubiquitousinfluence.com/post/influencer-marketing-laws</w:t>
        </w:r>
      </w:hyperlink>
      <w:r>
        <w:rPr>
          <w:rFonts w:ascii="Times New Roman" w:eastAsia="Times New Roman" w:hAnsi="Times New Roman" w:cs="Times New Roman"/>
        </w:rPr>
        <w:t xml:space="preserve"> (Accessed: 9 June 2026).</w:t>
      </w:r>
    </w:p>
    <w:p w14:paraId="5F6CBF4A" w14:textId="77777777" w:rsidR="00BD3B18" w:rsidRDefault="00000000">
      <w:pPr>
        <w:spacing w:after="240" w:line="360" w:lineRule="auto"/>
        <w:rPr>
          <w:rFonts w:ascii="Times New Roman" w:eastAsia="Times New Roman" w:hAnsi="Times New Roman" w:cs="Times New Roman"/>
        </w:rPr>
      </w:pPr>
      <w:r>
        <w:rPr>
          <w:rFonts w:ascii="Times New Roman" w:eastAsia="Times New Roman" w:hAnsi="Times New Roman" w:cs="Times New Roman"/>
        </w:rPr>
        <w:t xml:space="preserve">Bradley, E. (2024) </w:t>
      </w:r>
      <w:r>
        <w:rPr>
          <w:rFonts w:ascii="Times New Roman" w:eastAsia="Times New Roman" w:hAnsi="Times New Roman" w:cs="Times New Roman"/>
          <w:i/>
          <w:iCs/>
        </w:rPr>
        <w:t>Why Creative Burnout is on the Rise – and How to Stop It</w:t>
      </w:r>
      <w:r>
        <w:rPr>
          <w:rFonts w:ascii="Times New Roman" w:eastAsia="Times New Roman" w:hAnsi="Times New Roman" w:cs="Times New Roman"/>
        </w:rPr>
        <w:t xml:space="preserve">, </w:t>
      </w:r>
      <w:r>
        <w:rPr>
          <w:rFonts w:ascii="Times New Roman" w:eastAsia="Times New Roman" w:hAnsi="Times New Roman" w:cs="Times New Roman"/>
          <w:i/>
          <w:iCs/>
        </w:rPr>
        <w:t>HCI Consulting</w:t>
      </w:r>
      <w:r>
        <w:rPr>
          <w:rFonts w:ascii="Times New Roman" w:eastAsia="Times New Roman" w:hAnsi="Times New Roman" w:cs="Times New Roman"/>
        </w:rPr>
        <w:t xml:space="preserve">. Available at: </w:t>
      </w:r>
      <w:hyperlink r:id="rId13">
        <w:r>
          <w:rPr>
            <w:rFonts w:ascii="Times New Roman" w:eastAsia="Times New Roman" w:hAnsi="Times New Roman" w:cs="Times New Roman"/>
            <w:color w:val="1155CC"/>
            <w:u w:val="single"/>
          </w:rPr>
          <w:t>https://www.innovativehumancapital.com/article/why-creative-burnout-is-on-the-rise-and-how-to-stop-it</w:t>
        </w:r>
      </w:hyperlink>
      <w:r>
        <w:rPr>
          <w:rFonts w:ascii="Times New Roman" w:eastAsia="Times New Roman" w:hAnsi="Times New Roman" w:cs="Times New Roman"/>
        </w:rPr>
        <w:t xml:space="preserve">. </w:t>
      </w:r>
    </w:p>
    <w:p w14:paraId="69F371B1" w14:textId="77777777" w:rsidR="00BD3B18" w:rsidRDefault="00000000">
      <w:pPr>
        <w:spacing w:after="240" w:line="360" w:lineRule="auto"/>
        <w:rPr>
          <w:rFonts w:ascii="Times New Roman" w:eastAsia="Times New Roman" w:hAnsi="Times New Roman" w:cs="Times New Roman"/>
        </w:rPr>
      </w:pPr>
      <w:r>
        <w:rPr>
          <w:rFonts w:ascii="Times New Roman" w:eastAsia="Times New Roman" w:hAnsi="Times New Roman" w:cs="Times New Roman"/>
        </w:rPr>
        <w:t xml:space="preserve">CMI (2026) </w:t>
      </w:r>
      <w:r>
        <w:rPr>
          <w:rFonts w:ascii="Times New Roman" w:eastAsia="Times New Roman" w:hAnsi="Times New Roman" w:cs="Times New Roman"/>
          <w:i/>
          <w:iCs/>
        </w:rPr>
        <w:t>Global Creator Economy Market Size &amp; Share Analysis - Industry Research Report - Growth Trends</w:t>
      </w:r>
      <w:r>
        <w:rPr>
          <w:rFonts w:ascii="Times New Roman" w:eastAsia="Times New Roman" w:hAnsi="Times New Roman" w:cs="Times New Roman"/>
        </w:rPr>
        <w:t xml:space="preserve">, </w:t>
      </w:r>
      <w:r>
        <w:rPr>
          <w:rFonts w:ascii="Times New Roman" w:eastAsia="Times New Roman" w:hAnsi="Times New Roman" w:cs="Times New Roman"/>
          <w:i/>
          <w:iCs/>
        </w:rPr>
        <w:t>www.coherentmarketinsights.com</w:t>
      </w:r>
      <w:r>
        <w:rPr>
          <w:rFonts w:ascii="Times New Roman" w:eastAsia="Times New Roman" w:hAnsi="Times New Roman" w:cs="Times New Roman"/>
        </w:rPr>
        <w:t xml:space="preserve">. Available at: </w:t>
      </w:r>
      <w:hyperlink r:id="rId14">
        <w:r>
          <w:rPr>
            <w:rFonts w:ascii="Times New Roman" w:eastAsia="Times New Roman" w:hAnsi="Times New Roman" w:cs="Times New Roman"/>
            <w:color w:val="1155CC"/>
            <w:u w:val="single"/>
          </w:rPr>
          <w:t>https://www.coherentmarketinsights.com/industry-reports/global-creator-economy-market</w:t>
        </w:r>
      </w:hyperlink>
      <w:r>
        <w:rPr>
          <w:rFonts w:ascii="Times New Roman" w:eastAsia="Times New Roman" w:hAnsi="Times New Roman" w:cs="Times New Roman"/>
        </w:rPr>
        <w:t xml:space="preserve">. </w:t>
      </w:r>
    </w:p>
    <w:p w14:paraId="3B5D7E26" w14:textId="77777777" w:rsidR="00BD3B18" w:rsidRDefault="00000000">
      <w:pPr>
        <w:spacing w:after="240" w:line="360" w:lineRule="auto"/>
        <w:rPr>
          <w:rFonts w:ascii="Times New Roman" w:eastAsia="Times New Roman" w:hAnsi="Times New Roman" w:cs="Times New Roman"/>
        </w:rPr>
      </w:pPr>
      <w:r>
        <w:rPr>
          <w:rFonts w:ascii="Times New Roman" w:eastAsia="Times New Roman" w:hAnsi="Times New Roman" w:cs="Times New Roman"/>
        </w:rPr>
        <w:t xml:space="preserve">Daly, P. (2025) </w:t>
      </w:r>
      <w:r>
        <w:rPr>
          <w:rFonts w:ascii="Times New Roman" w:eastAsia="Times New Roman" w:hAnsi="Times New Roman" w:cs="Times New Roman"/>
          <w:i/>
          <w:iCs/>
        </w:rPr>
        <w:t>AI influencer marketing may pose risk to brand trust, new Northeastern research finds</w:t>
      </w:r>
      <w:r>
        <w:rPr>
          <w:rFonts w:ascii="Times New Roman" w:eastAsia="Times New Roman" w:hAnsi="Times New Roman" w:cs="Times New Roman"/>
        </w:rPr>
        <w:t xml:space="preserve">, </w:t>
      </w:r>
      <w:r>
        <w:rPr>
          <w:rFonts w:ascii="Times New Roman" w:eastAsia="Times New Roman" w:hAnsi="Times New Roman" w:cs="Times New Roman"/>
          <w:i/>
          <w:iCs/>
        </w:rPr>
        <w:t>Northeastern Global News</w:t>
      </w:r>
      <w:r>
        <w:rPr>
          <w:rFonts w:ascii="Times New Roman" w:eastAsia="Times New Roman" w:hAnsi="Times New Roman" w:cs="Times New Roman"/>
        </w:rPr>
        <w:t xml:space="preserve">. Available at: </w:t>
      </w:r>
      <w:hyperlink r:id="rId15">
        <w:r>
          <w:rPr>
            <w:rFonts w:ascii="Times New Roman" w:eastAsia="Times New Roman" w:hAnsi="Times New Roman" w:cs="Times New Roman"/>
            <w:color w:val="1155CC"/>
            <w:u w:val="single"/>
          </w:rPr>
          <w:t>https://news.northeastern.edu/2025/02/25/ai-influencer-marketing-brand-trust/</w:t>
        </w:r>
      </w:hyperlink>
      <w:r>
        <w:rPr>
          <w:rFonts w:ascii="Times New Roman" w:eastAsia="Times New Roman" w:hAnsi="Times New Roman" w:cs="Times New Roman"/>
        </w:rPr>
        <w:t xml:space="preserve">. </w:t>
      </w:r>
    </w:p>
    <w:p w14:paraId="0CBD5265" w14:textId="77777777" w:rsidR="00BD3B18" w:rsidRDefault="00000000">
      <w:pPr>
        <w:spacing w:after="240" w:line="360" w:lineRule="auto"/>
        <w:rPr>
          <w:rFonts w:ascii="Times New Roman" w:eastAsia="Times New Roman" w:hAnsi="Times New Roman" w:cs="Times New Roman"/>
        </w:rPr>
      </w:pPr>
      <w:r>
        <w:rPr>
          <w:rFonts w:ascii="Times New Roman" w:eastAsia="Times New Roman" w:hAnsi="Times New Roman" w:cs="Times New Roman"/>
        </w:rPr>
        <w:t xml:space="preserve">FTC (2019) </w:t>
      </w:r>
      <w:r>
        <w:rPr>
          <w:rFonts w:ascii="Times New Roman" w:eastAsia="Times New Roman" w:hAnsi="Times New Roman" w:cs="Times New Roman"/>
          <w:i/>
          <w:iCs/>
        </w:rPr>
        <w:t>Disclosures 101 for Social Media Influencers</w:t>
      </w:r>
      <w:r>
        <w:rPr>
          <w:rFonts w:ascii="Times New Roman" w:eastAsia="Times New Roman" w:hAnsi="Times New Roman" w:cs="Times New Roman"/>
        </w:rPr>
        <w:t xml:space="preserve">, </w:t>
      </w:r>
      <w:r>
        <w:rPr>
          <w:rFonts w:ascii="Times New Roman" w:eastAsia="Times New Roman" w:hAnsi="Times New Roman" w:cs="Times New Roman"/>
          <w:i/>
          <w:iCs/>
        </w:rPr>
        <w:t>Federal Trade Commission</w:t>
      </w:r>
      <w:r>
        <w:rPr>
          <w:rFonts w:ascii="Times New Roman" w:eastAsia="Times New Roman" w:hAnsi="Times New Roman" w:cs="Times New Roman"/>
        </w:rPr>
        <w:t xml:space="preserve">. Available at: </w:t>
      </w:r>
      <w:hyperlink r:id="rId16">
        <w:r>
          <w:rPr>
            <w:rFonts w:ascii="Times New Roman" w:eastAsia="Times New Roman" w:hAnsi="Times New Roman" w:cs="Times New Roman"/>
            <w:color w:val="1155CC"/>
            <w:u w:val="single"/>
          </w:rPr>
          <w:t>https://www.ftc.gov/business-guidance/resources/disclosures-101-social-media-influencers</w:t>
        </w:r>
      </w:hyperlink>
      <w:r>
        <w:rPr>
          <w:rFonts w:ascii="Times New Roman" w:eastAsia="Times New Roman" w:hAnsi="Times New Roman" w:cs="Times New Roman"/>
        </w:rPr>
        <w:t xml:space="preserve">. </w:t>
      </w:r>
    </w:p>
    <w:p w14:paraId="560EB752" w14:textId="77777777" w:rsidR="00BD3B18" w:rsidRDefault="00000000">
      <w:pPr>
        <w:spacing w:after="240" w:line="360" w:lineRule="auto"/>
        <w:rPr>
          <w:rFonts w:ascii="Times New Roman" w:eastAsia="Times New Roman" w:hAnsi="Times New Roman" w:cs="Times New Roman"/>
        </w:rPr>
      </w:pPr>
      <w:proofErr w:type="spellStart"/>
      <w:r>
        <w:rPr>
          <w:rFonts w:ascii="Times New Roman" w:eastAsia="Times New Roman" w:hAnsi="Times New Roman" w:cs="Times New Roman"/>
        </w:rPr>
        <w:t>Godulla</w:t>
      </w:r>
      <w:proofErr w:type="spellEnd"/>
      <w:r>
        <w:rPr>
          <w:rFonts w:ascii="Times New Roman" w:eastAsia="Times New Roman" w:hAnsi="Times New Roman" w:cs="Times New Roman"/>
        </w:rPr>
        <w:t xml:space="preserve">, A. (2022) ‘Mass communication and para-social interaction: Observations on intimacy at a distance’, pp. 13–26. Available at: </w:t>
      </w:r>
      <w:hyperlink r:id="rId17">
        <w:r>
          <w:rPr>
            <w:rFonts w:ascii="Times New Roman" w:eastAsia="Times New Roman" w:hAnsi="Times New Roman" w:cs="Times New Roman"/>
            <w:color w:val="1155CC"/>
            <w:u w:val="single"/>
          </w:rPr>
          <w:t>https://doi.org/10.1007/978-3-658-37354-2_2</w:t>
        </w:r>
      </w:hyperlink>
      <w:r>
        <w:rPr>
          <w:rFonts w:ascii="Times New Roman" w:eastAsia="Times New Roman" w:hAnsi="Times New Roman" w:cs="Times New Roman"/>
        </w:rPr>
        <w:t xml:space="preserve">. </w:t>
      </w:r>
    </w:p>
    <w:p w14:paraId="0D9B9B56" w14:textId="77777777" w:rsidR="00BD3B18" w:rsidRDefault="00000000">
      <w:pPr>
        <w:spacing w:after="240" w:line="360" w:lineRule="auto"/>
        <w:rPr>
          <w:rFonts w:ascii="Times New Roman" w:eastAsia="Times New Roman" w:hAnsi="Times New Roman" w:cs="Times New Roman"/>
        </w:rPr>
      </w:pPr>
      <w:r>
        <w:rPr>
          <w:rFonts w:ascii="Times New Roman" w:eastAsia="Times New Roman" w:hAnsi="Times New Roman" w:cs="Times New Roman"/>
        </w:rPr>
        <w:t xml:space="preserve">Grand View Research (2024) </w:t>
      </w:r>
      <w:r>
        <w:rPr>
          <w:rFonts w:ascii="Times New Roman" w:eastAsia="Times New Roman" w:hAnsi="Times New Roman" w:cs="Times New Roman"/>
          <w:i/>
          <w:iCs/>
        </w:rPr>
        <w:t>Creator Economy Market Size, Share | Industry Report, 2033</w:t>
      </w:r>
      <w:r>
        <w:rPr>
          <w:rFonts w:ascii="Times New Roman" w:eastAsia="Times New Roman" w:hAnsi="Times New Roman" w:cs="Times New Roman"/>
        </w:rPr>
        <w:t xml:space="preserve">, </w:t>
      </w:r>
      <w:r>
        <w:rPr>
          <w:rFonts w:ascii="Times New Roman" w:eastAsia="Times New Roman" w:hAnsi="Times New Roman" w:cs="Times New Roman"/>
          <w:i/>
          <w:iCs/>
        </w:rPr>
        <w:t>Grandviewresearch.com</w:t>
      </w:r>
      <w:r>
        <w:rPr>
          <w:rFonts w:ascii="Times New Roman" w:eastAsia="Times New Roman" w:hAnsi="Times New Roman" w:cs="Times New Roman"/>
        </w:rPr>
        <w:t xml:space="preserve">. Available at: </w:t>
      </w:r>
      <w:hyperlink r:id="rId18">
        <w:r>
          <w:rPr>
            <w:rFonts w:ascii="Times New Roman" w:eastAsia="Times New Roman" w:hAnsi="Times New Roman" w:cs="Times New Roman"/>
            <w:color w:val="1155CC"/>
            <w:u w:val="single"/>
          </w:rPr>
          <w:t>https://www.grandviewresearch.com/industry-analysis/creator-economy-market-report</w:t>
        </w:r>
      </w:hyperlink>
      <w:r>
        <w:rPr>
          <w:rFonts w:ascii="Times New Roman" w:eastAsia="Times New Roman" w:hAnsi="Times New Roman" w:cs="Times New Roman"/>
        </w:rPr>
        <w:t xml:space="preserve">. </w:t>
      </w:r>
    </w:p>
    <w:p w14:paraId="25A2DDDA" w14:textId="77777777" w:rsidR="00BD3B18" w:rsidRDefault="00000000">
      <w:pPr>
        <w:spacing w:after="240" w:line="360" w:lineRule="auto"/>
        <w:rPr>
          <w:rFonts w:ascii="Times New Roman" w:eastAsia="Times New Roman" w:hAnsi="Times New Roman" w:cs="Times New Roman"/>
        </w:rPr>
      </w:pPr>
      <w:r>
        <w:rPr>
          <w:rFonts w:ascii="Times New Roman" w:eastAsia="Times New Roman" w:hAnsi="Times New Roman" w:cs="Times New Roman"/>
        </w:rPr>
        <w:t xml:space="preserve">HSPH (2025) </w:t>
      </w:r>
      <w:r>
        <w:rPr>
          <w:rFonts w:ascii="Times New Roman" w:eastAsia="Times New Roman" w:hAnsi="Times New Roman" w:cs="Times New Roman"/>
          <w:i/>
          <w:iCs/>
        </w:rPr>
        <w:t>Content creators are struggling with mental health, study finds | Harvard T.H. Chan School of Public Health</w:t>
      </w:r>
      <w:r>
        <w:rPr>
          <w:rFonts w:ascii="Times New Roman" w:eastAsia="Times New Roman" w:hAnsi="Times New Roman" w:cs="Times New Roman"/>
        </w:rPr>
        <w:t xml:space="preserve">, </w:t>
      </w:r>
      <w:r>
        <w:rPr>
          <w:rFonts w:ascii="Times New Roman" w:eastAsia="Times New Roman" w:hAnsi="Times New Roman" w:cs="Times New Roman"/>
          <w:i/>
          <w:iCs/>
        </w:rPr>
        <w:t>Harvard T.H. Chan School of Public Health</w:t>
      </w:r>
      <w:r>
        <w:rPr>
          <w:rFonts w:ascii="Times New Roman" w:eastAsia="Times New Roman" w:hAnsi="Times New Roman" w:cs="Times New Roman"/>
        </w:rPr>
        <w:t xml:space="preserve">. HSPH. Available at: </w:t>
      </w:r>
      <w:hyperlink r:id="rId19">
        <w:r>
          <w:rPr>
            <w:rFonts w:ascii="Times New Roman" w:eastAsia="Times New Roman" w:hAnsi="Times New Roman" w:cs="Times New Roman"/>
            <w:color w:val="1155CC"/>
            <w:u w:val="single"/>
          </w:rPr>
          <w:t>https://hsph.harvard.edu/news/content-creators-are-struggling-with-mental-health-study-finds/</w:t>
        </w:r>
      </w:hyperlink>
      <w:r>
        <w:rPr>
          <w:rFonts w:ascii="Times New Roman" w:eastAsia="Times New Roman" w:hAnsi="Times New Roman" w:cs="Times New Roman"/>
        </w:rPr>
        <w:t xml:space="preserve">. </w:t>
      </w:r>
    </w:p>
    <w:p w14:paraId="7425C318" w14:textId="77777777" w:rsidR="00BD3B18" w:rsidRDefault="00000000">
      <w:pPr>
        <w:spacing w:after="240" w:line="360" w:lineRule="auto"/>
        <w:rPr>
          <w:rFonts w:ascii="Times New Roman" w:eastAsia="Times New Roman" w:hAnsi="Times New Roman" w:cs="Times New Roman"/>
        </w:rPr>
      </w:pPr>
      <w:r>
        <w:rPr>
          <w:rFonts w:ascii="Times New Roman" w:eastAsia="Times New Roman" w:hAnsi="Times New Roman" w:cs="Times New Roman"/>
        </w:rPr>
        <w:t xml:space="preserve">Lai, S. (2022) </w:t>
      </w:r>
      <w:r>
        <w:rPr>
          <w:rFonts w:ascii="Times New Roman" w:eastAsia="Times New Roman" w:hAnsi="Times New Roman" w:cs="Times New Roman"/>
          <w:i/>
          <w:iCs/>
        </w:rPr>
        <w:t>Creator Burnout Is Real. A New Report Uncovers Why</w:t>
      </w:r>
      <w:r>
        <w:rPr>
          <w:rFonts w:ascii="Times New Roman" w:eastAsia="Times New Roman" w:hAnsi="Times New Roman" w:cs="Times New Roman"/>
        </w:rPr>
        <w:t xml:space="preserve">, </w:t>
      </w:r>
      <w:r>
        <w:rPr>
          <w:rFonts w:ascii="Times New Roman" w:eastAsia="Times New Roman" w:hAnsi="Times New Roman" w:cs="Times New Roman"/>
          <w:i/>
          <w:iCs/>
        </w:rPr>
        <w:t>[ION]</w:t>
      </w:r>
      <w:r>
        <w:rPr>
          <w:rFonts w:ascii="Times New Roman" w:eastAsia="Times New Roman" w:hAnsi="Times New Roman" w:cs="Times New Roman"/>
        </w:rPr>
        <w:t xml:space="preserve">. Available at: </w:t>
      </w:r>
      <w:hyperlink r:id="rId20">
        <w:r>
          <w:rPr>
            <w:rFonts w:ascii="Times New Roman" w:eastAsia="Times New Roman" w:hAnsi="Times New Roman" w:cs="Times New Roman"/>
            <w:color w:val="1155CC"/>
            <w:u w:val="single"/>
          </w:rPr>
          <w:t>https://www.ion.co/90-percent-of-content-creators-report-experiencing-burnout-vibely</w:t>
        </w:r>
      </w:hyperlink>
      <w:r>
        <w:rPr>
          <w:rFonts w:ascii="Times New Roman" w:eastAsia="Times New Roman" w:hAnsi="Times New Roman" w:cs="Times New Roman"/>
        </w:rPr>
        <w:t xml:space="preserve">. </w:t>
      </w:r>
    </w:p>
    <w:p w14:paraId="67BA53D2" w14:textId="77777777" w:rsidR="00BD3B18" w:rsidRDefault="00000000">
      <w:pPr>
        <w:spacing w:after="240" w:line="360" w:lineRule="auto"/>
        <w:rPr>
          <w:rFonts w:ascii="Times New Roman" w:eastAsia="Times New Roman" w:hAnsi="Times New Roman" w:cs="Times New Roman"/>
        </w:rPr>
      </w:pPr>
      <w:r>
        <w:rPr>
          <w:rFonts w:ascii="Times New Roman" w:eastAsia="Times New Roman" w:hAnsi="Times New Roman" w:cs="Times New Roman"/>
        </w:rPr>
        <w:t xml:space="preserve">Lee, J.-S., Chang, H. and Zhang, L. (2022) ‘An integrated model of congruence and credibility in celebrity endorsement’, </w:t>
      </w:r>
      <w:r>
        <w:rPr>
          <w:rFonts w:ascii="Times New Roman" w:eastAsia="Times New Roman" w:hAnsi="Times New Roman" w:cs="Times New Roman"/>
          <w:i/>
          <w:iCs/>
        </w:rPr>
        <w:t>International Journal of Advertising</w:t>
      </w:r>
      <w:r>
        <w:rPr>
          <w:rFonts w:ascii="Times New Roman" w:eastAsia="Times New Roman" w:hAnsi="Times New Roman" w:cs="Times New Roman"/>
        </w:rPr>
        <w:t xml:space="preserve">, 41(7), pp. 1–24. Available at: </w:t>
      </w:r>
      <w:hyperlink r:id="rId21">
        <w:r>
          <w:rPr>
            <w:rFonts w:ascii="Times New Roman" w:eastAsia="Times New Roman" w:hAnsi="Times New Roman" w:cs="Times New Roman"/>
            <w:color w:val="1155CC"/>
            <w:u w:val="single"/>
          </w:rPr>
          <w:t>https://doi.org/10.1080/02650487.2021.2020563</w:t>
        </w:r>
      </w:hyperlink>
      <w:r>
        <w:rPr>
          <w:rFonts w:ascii="Times New Roman" w:eastAsia="Times New Roman" w:hAnsi="Times New Roman" w:cs="Times New Roman"/>
        </w:rPr>
        <w:t xml:space="preserve">. </w:t>
      </w:r>
    </w:p>
    <w:p w14:paraId="722E92E7" w14:textId="77777777" w:rsidR="00BD3B18" w:rsidRDefault="00000000">
      <w:pPr>
        <w:spacing w:after="240" w:line="360" w:lineRule="auto"/>
        <w:rPr>
          <w:rFonts w:ascii="Times New Roman" w:eastAsia="Times New Roman" w:hAnsi="Times New Roman" w:cs="Times New Roman"/>
        </w:rPr>
      </w:pPr>
      <w:r>
        <w:rPr>
          <w:rFonts w:ascii="Times New Roman" w:eastAsia="Times New Roman" w:hAnsi="Times New Roman" w:cs="Times New Roman"/>
        </w:rPr>
        <w:t xml:space="preserve">Lou, C. and Yuan, S. (2019) ‘Influencer Marketing: How Message Value and Credibility Affect Consumer Trust of Branded Content on Social Media’, </w:t>
      </w:r>
      <w:r>
        <w:rPr>
          <w:rFonts w:ascii="Times New Roman" w:eastAsia="Times New Roman" w:hAnsi="Times New Roman" w:cs="Times New Roman"/>
          <w:i/>
          <w:iCs/>
        </w:rPr>
        <w:t>Journal of Interactive Advertising</w:t>
      </w:r>
      <w:r>
        <w:rPr>
          <w:rFonts w:ascii="Times New Roman" w:eastAsia="Times New Roman" w:hAnsi="Times New Roman" w:cs="Times New Roman"/>
        </w:rPr>
        <w:t xml:space="preserve">, 19(1), pp. 58–73. Available at: </w:t>
      </w:r>
      <w:hyperlink r:id="rId22">
        <w:r>
          <w:rPr>
            <w:rFonts w:ascii="Times New Roman" w:eastAsia="Times New Roman" w:hAnsi="Times New Roman" w:cs="Times New Roman"/>
            <w:color w:val="1155CC"/>
            <w:u w:val="single"/>
          </w:rPr>
          <w:t>https://doi.org/10.1080/15252019.2018.1533501</w:t>
        </w:r>
      </w:hyperlink>
      <w:r>
        <w:rPr>
          <w:rFonts w:ascii="Times New Roman" w:eastAsia="Times New Roman" w:hAnsi="Times New Roman" w:cs="Times New Roman"/>
        </w:rPr>
        <w:t xml:space="preserve">. </w:t>
      </w:r>
    </w:p>
    <w:p w14:paraId="7FC68C2B" w14:textId="77777777" w:rsidR="00BD3B18" w:rsidRDefault="00000000">
      <w:pPr>
        <w:spacing w:after="240" w:line="360" w:lineRule="auto"/>
        <w:rPr>
          <w:rFonts w:ascii="Times New Roman" w:eastAsia="Times New Roman" w:hAnsi="Times New Roman" w:cs="Times New Roman"/>
        </w:rPr>
      </w:pPr>
      <w:r>
        <w:rPr>
          <w:rFonts w:ascii="Times New Roman" w:eastAsia="Times New Roman" w:hAnsi="Times New Roman" w:cs="Times New Roman"/>
        </w:rPr>
        <w:t xml:space="preserve">Market.Us (2025) </w:t>
      </w:r>
      <w:r>
        <w:rPr>
          <w:rFonts w:ascii="Times New Roman" w:eastAsia="Times New Roman" w:hAnsi="Times New Roman" w:cs="Times New Roman"/>
          <w:i/>
          <w:iCs/>
        </w:rPr>
        <w:t>Creator Economy Market</w:t>
      </w:r>
      <w:r>
        <w:rPr>
          <w:rFonts w:ascii="Times New Roman" w:eastAsia="Times New Roman" w:hAnsi="Times New Roman" w:cs="Times New Roman"/>
        </w:rPr>
        <w:t xml:space="preserve">, </w:t>
      </w:r>
      <w:r>
        <w:rPr>
          <w:rFonts w:ascii="Times New Roman" w:eastAsia="Times New Roman" w:hAnsi="Times New Roman" w:cs="Times New Roman"/>
          <w:i/>
          <w:iCs/>
        </w:rPr>
        <w:t>Market.us</w:t>
      </w:r>
      <w:r>
        <w:rPr>
          <w:rFonts w:ascii="Times New Roman" w:eastAsia="Times New Roman" w:hAnsi="Times New Roman" w:cs="Times New Roman"/>
        </w:rPr>
        <w:t xml:space="preserve">. Available at: </w:t>
      </w:r>
      <w:hyperlink r:id="rId23">
        <w:r>
          <w:rPr>
            <w:rFonts w:ascii="Times New Roman" w:eastAsia="Times New Roman" w:hAnsi="Times New Roman" w:cs="Times New Roman"/>
            <w:color w:val="1155CC"/>
            <w:u w:val="single"/>
          </w:rPr>
          <w:t>https://market.us/report/creator-economy-market/</w:t>
        </w:r>
      </w:hyperlink>
      <w:r>
        <w:rPr>
          <w:rFonts w:ascii="Times New Roman" w:eastAsia="Times New Roman" w:hAnsi="Times New Roman" w:cs="Times New Roman"/>
        </w:rPr>
        <w:t xml:space="preserve">. </w:t>
      </w:r>
    </w:p>
    <w:p w14:paraId="7EFC4F2B" w14:textId="77777777" w:rsidR="00BD3B18" w:rsidRDefault="00000000">
      <w:pPr>
        <w:spacing w:after="240" w:line="360" w:lineRule="auto"/>
        <w:rPr>
          <w:rFonts w:ascii="Times New Roman" w:eastAsia="Times New Roman" w:hAnsi="Times New Roman" w:cs="Times New Roman"/>
        </w:rPr>
      </w:pPr>
      <w:proofErr w:type="spellStart"/>
      <w:r>
        <w:rPr>
          <w:rFonts w:ascii="Times New Roman" w:eastAsia="Times New Roman" w:hAnsi="Times New Roman" w:cs="Times New Roman"/>
        </w:rPr>
        <w:t>Oyekan</w:t>
      </w:r>
      <w:proofErr w:type="spellEnd"/>
      <w:r>
        <w:rPr>
          <w:rFonts w:ascii="Times New Roman" w:eastAsia="Times New Roman" w:hAnsi="Times New Roman" w:cs="Times New Roman"/>
        </w:rPr>
        <w:t xml:space="preserve">, I. (2026) </w:t>
      </w:r>
      <w:r>
        <w:rPr>
          <w:rFonts w:ascii="Times New Roman" w:eastAsia="Times New Roman" w:hAnsi="Times New Roman" w:cs="Times New Roman"/>
          <w:i/>
          <w:iCs/>
        </w:rPr>
        <w:t>The Creator Burnout Epidemic: Why 62% of Full-Time Creators Say They’re Exhausted</w:t>
      </w:r>
      <w:r>
        <w:rPr>
          <w:rFonts w:ascii="Times New Roman" w:eastAsia="Times New Roman" w:hAnsi="Times New Roman" w:cs="Times New Roman"/>
        </w:rPr>
        <w:t xml:space="preserve">, </w:t>
      </w:r>
      <w:r>
        <w:rPr>
          <w:rFonts w:ascii="Times New Roman" w:eastAsia="Times New Roman" w:hAnsi="Times New Roman" w:cs="Times New Roman"/>
          <w:i/>
          <w:iCs/>
        </w:rPr>
        <w:t>The Creator Economy</w:t>
      </w:r>
      <w:r>
        <w:rPr>
          <w:rFonts w:ascii="Times New Roman" w:eastAsia="Times New Roman" w:hAnsi="Times New Roman" w:cs="Times New Roman"/>
        </w:rPr>
        <w:t xml:space="preserve">. Available at: </w:t>
      </w:r>
      <w:hyperlink r:id="rId24">
        <w:r>
          <w:rPr>
            <w:rFonts w:ascii="Times New Roman" w:eastAsia="Times New Roman" w:hAnsi="Times New Roman" w:cs="Times New Roman"/>
            <w:color w:val="1155CC"/>
            <w:u w:val="single"/>
          </w:rPr>
          <w:t>https://thecreatoreconomy.com/post/creator-burnout-epidemic-mental-health-2026</w:t>
        </w:r>
      </w:hyperlink>
      <w:r>
        <w:rPr>
          <w:rFonts w:ascii="Times New Roman" w:eastAsia="Times New Roman" w:hAnsi="Times New Roman" w:cs="Times New Roman"/>
        </w:rPr>
        <w:t xml:space="preserve">. </w:t>
      </w:r>
    </w:p>
    <w:p w14:paraId="30762713" w14:textId="77777777" w:rsidR="00BD3B18" w:rsidRDefault="00000000">
      <w:pPr>
        <w:spacing w:after="240" w:line="360" w:lineRule="auto"/>
        <w:rPr>
          <w:rFonts w:ascii="Times New Roman" w:eastAsia="Times New Roman" w:hAnsi="Times New Roman" w:cs="Times New Roman"/>
        </w:rPr>
      </w:pPr>
      <w:r>
        <w:rPr>
          <w:rFonts w:ascii="Times New Roman" w:eastAsia="Times New Roman" w:hAnsi="Times New Roman" w:cs="Times New Roman"/>
        </w:rPr>
        <w:t xml:space="preserve">Precedence Research (2026) </w:t>
      </w:r>
      <w:r>
        <w:rPr>
          <w:rFonts w:ascii="Times New Roman" w:eastAsia="Times New Roman" w:hAnsi="Times New Roman" w:cs="Times New Roman"/>
          <w:i/>
          <w:iCs/>
        </w:rPr>
        <w:t>Creator Economy Market Size to Hit USD 2084.57 Billion by 2035</w:t>
      </w:r>
      <w:r>
        <w:rPr>
          <w:rFonts w:ascii="Times New Roman" w:eastAsia="Times New Roman" w:hAnsi="Times New Roman" w:cs="Times New Roman"/>
        </w:rPr>
        <w:t xml:space="preserve">, </w:t>
      </w:r>
      <w:r>
        <w:rPr>
          <w:rFonts w:ascii="Times New Roman" w:eastAsia="Times New Roman" w:hAnsi="Times New Roman" w:cs="Times New Roman"/>
          <w:i/>
          <w:iCs/>
        </w:rPr>
        <w:t>Precedenceresearch.com</w:t>
      </w:r>
      <w:r>
        <w:rPr>
          <w:rFonts w:ascii="Times New Roman" w:eastAsia="Times New Roman" w:hAnsi="Times New Roman" w:cs="Times New Roman"/>
        </w:rPr>
        <w:t xml:space="preserve">. Precedence Research . Available at: </w:t>
      </w:r>
      <w:hyperlink r:id="rId25">
        <w:r>
          <w:rPr>
            <w:rFonts w:ascii="Times New Roman" w:eastAsia="Times New Roman" w:hAnsi="Times New Roman" w:cs="Times New Roman"/>
            <w:color w:val="1155CC"/>
            <w:u w:val="single"/>
          </w:rPr>
          <w:t>https://www.precedenceresearch.com/creator-economy-market</w:t>
        </w:r>
      </w:hyperlink>
      <w:r>
        <w:rPr>
          <w:rFonts w:ascii="Times New Roman" w:eastAsia="Times New Roman" w:hAnsi="Times New Roman" w:cs="Times New Roman"/>
        </w:rPr>
        <w:t xml:space="preserve">. </w:t>
      </w:r>
    </w:p>
    <w:p w14:paraId="3FC5C085" w14:textId="77777777" w:rsidR="00BD3B18" w:rsidRDefault="00000000">
      <w:pPr>
        <w:spacing w:after="240" w:line="360" w:lineRule="auto"/>
        <w:rPr>
          <w:rFonts w:ascii="Times New Roman" w:eastAsia="Times New Roman" w:hAnsi="Times New Roman" w:cs="Times New Roman"/>
        </w:rPr>
      </w:pPr>
      <w:r>
        <w:rPr>
          <w:rFonts w:ascii="Times New Roman" w:eastAsia="Times New Roman" w:hAnsi="Times New Roman" w:cs="Times New Roman"/>
        </w:rPr>
        <w:t xml:space="preserve">Research Nester (2026) </w:t>
      </w:r>
      <w:r>
        <w:rPr>
          <w:rFonts w:ascii="Times New Roman" w:eastAsia="Times New Roman" w:hAnsi="Times New Roman" w:cs="Times New Roman"/>
          <w:i/>
          <w:iCs/>
        </w:rPr>
        <w:t>Creator Economy Market Size &amp; Share, Growth Forecasts 2036</w:t>
      </w:r>
      <w:r>
        <w:rPr>
          <w:rFonts w:ascii="Times New Roman" w:eastAsia="Times New Roman" w:hAnsi="Times New Roman" w:cs="Times New Roman"/>
        </w:rPr>
        <w:t xml:space="preserve">, </w:t>
      </w:r>
      <w:r>
        <w:rPr>
          <w:rFonts w:ascii="Times New Roman" w:eastAsia="Times New Roman" w:hAnsi="Times New Roman" w:cs="Times New Roman"/>
          <w:i/>
          <w:iCs/>
        </w:rPr>
        <w:t>www.researchnester.com</w:t>
      </w:r>
      <w:r>
        <w:rPr>
          <w:rFonts w:ascii="Times New Roman" w:eastAsia="Times New Roman" w:hAnsi="Times New Roman" w:cs="Times New Roman"/>
        </w:rPr>
        <w:t xml:space="preserve">. Available at: </w:t>
      </w:r>
      <w:hyperlink r:id="rId26">
        <w:r>
          <w:rPr>
            <w:rFonts w:ascii="Times New Roman" w:eastAsia="Times New Roman" w:hAnsi="Times New Roman" w:cs="Times New Roman"/>
            <w:color w:val="1155CC"/>
            <w:u w:val="single"/>
          </w:rPr>
          <w:t>https://www.researchnester.com/reports/creator-economy-market/5691</w:t>
        </w:r>
      </w:hyperlink>
      <w:r>
        <w:rPr>
          <w:rFonts w:ascii="Times New Roman" w:eastAsia="Times New Roman" w:hAnsi="Times New Roman" w:cs="Times New Roman"/>
        </w:rPr>
        <w:t xml:space="preserve">. </w:t>
      </w:r>
    </w:p>
    <w:p w14:paraId="20778622" w14:textId="77777777" w:rsidR="00BD3B18" w:rsidRDefault="00000000">
      <w:pPr>
        <w:spacing w:after="240" w:line="360" w:lineRule="auto"/>
        <w:rPr>
          <w:rFonts w:ascii="Times New Roman" w:eastAsia="Times New Roman" w:hAnsi="Times New Roman" w:cs="Times New Roman"/>
        </w:rPr>
      </w:pPr>
      <w:r>
        <w:rPr>
          <w:rFonts w:ascii="Times New Roman" w:eastAsia="Times New Roman" w:hAnsi="Times New Roman" w:cs="Times New Roman"/>
        </w:rPr>
        <w:t xml:space="preserve">Su, B. (2025) ‘Navigating the new frontier: The role of AI‐driven virtual influencers in consumer engagement’, </w:t>
      </w:r>
      <w:r>
        <w:rPr>
          <w:rFonts w:ascii="Times New Roman" w:eastAsia="Times New Roman" w:hAnsi="Times New Roman" w:cs="Times New Roman"/>
          <w:i/>
          <w:iCs/>
        </w:rPr>
        <w:t>AI Magazine</w:t>
      </w:r>
      <w:r>
        <w:rPr>
          <w:rFonts w:ascii="Times New Roman" w:eastAsia="Times New Roman" w:hAnsi="Times New Roman" w:cs="Times New Roman"/>
        </w:rPr>
        <w:t xml:space="preserve">, 46(2). Available at: </w:t>
      </w:r>
      <w:hyperlink r:id="rId27">
        <w:r>
          <w:rPr>
            <w:rFonts w:ascii="Times New Roman" w:eastAsia="Times New Roman" w:hAnsi="Times New Roman" w:cs="Times New Roman"/>
            <w:color w:val="1155CC"/>
            <w:u w:val="single"/>
          </w:rPr>
          <w:t>https://doi.org/10.1002/aaai.70012</w:t>
        </w:r>
      </w:hyperlink>
      <w:r>
        <w:rPr>
          <w:rFonts w:ascii="Times New Roman" w:eastAsia="Times New Roman" w:hAnsi="Times New Roman" w:cs="Times New Roman"/>
        </w:rPr>
        <w:t xml:space="preserve">. </w:t>
      </w:r>
    </w:p>
    <w:p w14:paraId="24619BB2" w14:textId="77777777" w:rsidR="00BD3B18" w:rsidRDefault="00000000">
      <w:pPr>
        <w:spacing w:after="240" w:line="360" w:lineRule="auto"/>
        <w:rPr>
          <w:rFonts w:ascii="Times New Roman" w:eastAsia="Times New Roman" w:hAnsi="Times New Roman" w:cs="Times New Roman"/>
        </w:rPr>
      </w:pPr>
      <w:proofErr w:type="spellStart"/>
      <w:r>
        <w:rPr>
          <w:rFonts w:ascii="Times New Roman" w:eastAsia="Times New Roman" w:hAnsi="Times New Roman" w:cs="Times New Roman"/>
        </w:rPr>
        <w:t>Tseng</w:t>
      </w:r>
      <w:proofErr w:type="spellEnd"/>
      <w:r>
        <w:rPr>
          <w:rFonts w:ascii="Times New Roman" w:eastAsia="Times New Roman" w:hAnsi="Times New Roman" w:cs="Times New Roman"/>
        </w:rPr>
        <w:t xml:space="preserve">, W.-K. and Ou, C.-C. (2025) ‘Can Virtual Influencers Drive Online Consumer </w:t>
      </w:r>
      <w:proofErr w:type="spellStart"/>
      <w:r>
        <w:rPr>
          <w:rFonts w:ascii="Times New Roman" w:eastAsia="Times New Roman" w:hAnsi="Times New Roman" w:cs="Times New Roman"/>
        </w:rPr>
        <w:t>Behavior</w:t>
      </w:r>
      <w:proofErr w:type="spellEnd"/>
      <w:r>
        <w:rPr>
          <w:rFonts w:ascii="Times New Roman" w:eastAsia="Times New Roman" w:hAnsi="Times New Roman" w:cs="Times New Roman"/>
        </w:rPr>
        <w:t xml:space="preserve">? An Applied Examination of ELM Model Investigating the Marketing Effects of Virtual Influencers’, </w:t>
      </w:r>
      <w:r>
        <w:rPr>
          <w:rFonts w:ascii="Times New Roman" w:eastAsia="Times New Roman" w:hAnsi="Times New Roman" w:cs="Times New Roman"/>
          <w:i/>
          <w:iCs/>
        </w:rPr>
        <w:t>Sustainability</w:t>
      </w:r>
      <w:r>
        <w:rPr>
          <w:rFonts w:ascii="Times New Roman" w:eastAsia="Times New Roman" w:hAnsi="Times New Roman" w:cs="Times New Roman"/>
        </w:rPr>
        <w:t xml:space="preserve">, 17(23), p. 10721. Available at: </w:t>
      </w:r>
      <w:hyperlink r:id="rId28">
        <w:r>
          <w:rPr>
            <w:rFonts w:ascii="Times New Roman" w:eastAsia="Times New Roman" w:hAnsi="Times New Roman" w:cs="Times New Roman"/>
            <w:color w:val="1155CC"/>
            <w:u w:val="single"/>
          </w:rPr>
          <w:t>https://doi.org/10.3390/su172310721</w:t>
        </w:r>
      </w:hyperlink>
      <w:r>
        <w:rPr>
          <w:rFonts w:ascii="Times New Roman" w:eastAsia="Times New Roman" w:hAnsi="Times New Roman" w:cs="Times New Roman"/>
        </w:rPr>
        <w:t xml:space="preserve">. </w:t>
      </w:r>
    </w:p>
    <w:p w14:paraId="4F9ED13B" w14:textId="77777777" w:rsidR="00BD3B18" w:rsidRDefault="00000000">
      <w:pPr>
        <w:spacing w:after="240" w:line="360" w:lineRule="auto"/>
        <w:rPr>
          <w:rFonts w:ascii="Times New Roman" w:eastAsia="Times New Roman" w:hAnsi="Times New Roman" w:cs="Times New Roman"/>
        </w:rPr>
      </w:pPr>
      <w:r>
        <w:rPr>
          <w:rFonts w:ascii="Times New Roman" w:eastAsia="Times New Roman" w:hAnsi="Times New Roman" w:cs="Times New Roman"/>
        </w:rPr>
        <w:t xml:space="preserve">University of Florida (2024) </w:t>
      </w:r>
      <w:r>
        <w:rPr>
          <w:rFonts w:ascii="Times New Roman" w:eastAsia="Times New Roman" w:hAnsi="Times New Roman" w:cs="Times New Roman"/>
          <w:i/>
          <w:iCs/>
        </w:rPr>
        <w:t>Pixels vs. People: The Battle for Consumer Trust in Influencer Marketing</w:t>
      </w:r>
      <w:r>
        <w:rPr>
          <w:rFonts w:ascii="Times New Roman" w:eastAsia="Times New Roman" w:hAnsi="Times New Roman" w:cs="Times New Roman"/>
        </w:rPr>
        <w:t xml:space="preserve">, </w:t>
      </w:r>
      <w:r>
        <w:rPr>
          <w:rFonts w:ascii="Times New Roman" w:eastAsia="Times New Roman" w:hAnsi="Times New Roman" w:cs="Times New Roman"/>
          <w:i/>
          <w:iCs/>
        </w:rPr>
        <w:t>UF College of Journalism and Communications</w:t>
      </w:r>
      <w:r>
        <w:rPr>
          <w:rFonts w:ascii="Times New Roman" w:eastAsia="Times New Roman" w:hAnsi="Times New Roman" w:cs="Times New Roman"/>
        </w:rPr>
        <w:t xml:space="preserve">. Available at: </w:t>
      </w:r>
      <w:hyperlink r:id="rId29">
        <w:r>
          <w:rPr>
            <w:rFonts w:ascii="Times New Roman" w:eastAsia="Times New Roman" w:hAnsi="Times New Roman" w:cs="Times New Roman"/>
            <w:color w:val="1155CC"/>
            <w:u w:val="single"/>
          </w:rPr>
          <w:t>https://www.jou.ufl.edu/insights/pixels-vs-people-the-battle-for-consumer-trust-in-influencer-marketing/</w:t>
        </w:r>
      </w:hyperlink>
      <w:r>
        <w:rPr>
          <w:rFonts w:ascii="Times New Roman" w:eastAsia="Times New Roman" w:hAnsi="Times New Roman" w:cs="Times New Roman"/>
        </w:rPr>
        <w:t xml:space="preserve">. </w:t>
      </w:r>
    </w:p>
    <w:p w14:paraId="1ACDAEE9" w14:textId="77777777" w:rsidR="00BD3B18" w:rsidRDefault="00000000">
      <w:pPr>
        <w:spacing w:after="240" w:line="360" w:lineRule="auto"/>
        <w:rPr>
          <w:rFonts w:ascii="Times New Roman" w:eastAsia="Times New Roman" w:hAnsi="Times New Roman" w:cs="Times New Roman"/>
        </w:rPr>
      </w:pPr>
      <w:r>
        <w:rPr>
          <w:rFonts w:ascii="Times New Roman" w:eastAsia="Times New Roman" w:hAnsi="Times New Roman" w:cs="Times New Roman"/>
        </w:rPr>
        <w:t xml:space="preserve">Vu, V.C., Wang, S., Keating, B.W. and Chen, E.Y. (2024) ‘Increasing Social Media Stickiness Through </w:t>
      </w:r>
      <w:proofErr w:type="spellStart"/>
      <w:r>
        <w:rPr>
          <w:rFonts w:ascii="Times New Roman" w:eastAsia="Times New Roman" w:hAnsi="Times New Roman" w:cs="Times New Roman"/>
        </w:rPr>
        <w:t>Parasocial</w:t>
      </w:r>
      <w:proofErr w:type="spellEnd"/>
      <w:r>
        <w:rPr>
          <w:rFonts w:ascii="Times New Roman" w:eastAsia="Times New Roman" w:hAnsi="Times New Roman" w:cs="Times New Roman"/>
        </w:rPr>
        <w:t xml:space="preserve"> Interaction and Influencer Source Credibility’, </w:t>
      </w:r>
      <w:r>
        <w:rPr>
          <w:rFonts w:ascii="Times New Roman" w:eastAsia="Times New Roman" w:hAnsi="Times New Roman" w:cs="Times New Roman"/>
          <w:i/>
          <w:iCs/>
        </w:rPr>
        <w:t>Australasian Marketing Journal</w:t>
      </w:r>
      <w:r>
        <w:rPr>
          <w:rFonts w:ascii="Times New Roman" w:eastAsia="Times New Roman" w:hAnsi="Times New Roman" w:cs="Times New Roman"/>
        </w:rPr>
        <w:t xml:space="preserve"> [Preprint]. Available at: </w:t>
      </w:r>
      <w:hyperlink r:id="rId30">
        <w:r>
          <w:rPr>
            <w:rFonts w:ascii="Times New Roman" w:eastAsia="Times New Roman" w:hAnsi="Times New Roman" w:cs="Times New Roman"/>
            <w:color w:val="1155CC"/>
            <w:u w:val="single"/>
          </w:rPr>
          <w:t>https://doi.org/10.1177/14413582241306130</w:t>
        </w:r>
      </w:hyperlink>
      <w:r>
        <w:rPr>
          <w:rFonts w:ascii="Times New Roman" w:eastAsia="Times New Roman" w:hAnsi="Times New Roman" w:cs="Times New Roman"/>
        </w:rPr>
        <w:t xml:space="preserve">. </w:t>
      </w:r>
    </w:p>
    <w:sectPr w:rsidR="00BD3B18">
      <w:footerReference w:type="default" r:id="rId3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5E84B2A" w14:textId="77777777" w:rsidR="00B46D05" w:rsidRDefault="00B46D05">
      <w:r>
        <w:separator/>
      </w:r>
    </w:p>
  </w:endnote>
  <w:endnote w:type="continuationSeparator" w:id="0">
    <w:p w14:paraId="6AF541EC" w14:textId="77777777" w:rsidR="00B46D05" w:rsidRDefault="00B46D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4BD171" w14:textId="77777777" w:rsidR="00BD3B18" w:rsidRDefault="00000000">
    <w:pPr>
      <w:jc w:val="center"/>
      <w:rPr>
        <w:rFonts w:ascii="Times New Roman" w:eastAsia="Times New Roman" w:hAnsi="Times New Roman" w:cs="Times New Roman"/>
      </w:rPr>
    </w:pPr>
    <w:r>
      <w:rPr>
        <w:rFonts w:ascii="Times New Roman" w:eastAsia="Times New Roman" w:hAnsi="Times New Roman" w:cs="Times New Roman"/>
        <w:sz w:val="20"/>
        <w:szCs w:val="20"/>
      </w:rPr>
      <w:t xml:space="preserve">Page </w:t>
    </w: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B76AC9B" w14:textId="77777777" w:rsidR="00B46D05" w:rsidRDefault="00B46D05">
      <w:r>
        <w:separator/>
      </w:r>
    </w:p>
  </w:footnote>
  <w:footnote w:type="continuationSeparator" w:id="0">
    <w:p w14:paraId="5F4F8184" w14:textId="77777777" w:rsidR="00B46D05" w:rsidRDefault="00B46D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1DD6149"/>
    <w:multiLevelType w:val="multilevel"/>
    <w:tmpl w:val="FFFFFFFF"/>
    <w:lvl w:ilvl="0">
      <w:start w:val="1"/>
      <w:numFmt w:val="decimal"/>
      <w:lvlText w:val="%1."/>
      <w:lvlJc w:val="left"/>
      <w:pPr>
        <w:ind w:left="720" w:hanging="360"/>
      </w:pPr>
      <w:rPr>
        <w:rFonts w:ascii="Times New Roman" w:eastAsia="Times New Roman" w:hAnsi="Times New Roman" w:cs="Times New Roman"/>
        <w:b w:val="0"/>
        <w:bCs w:val="0"/>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208267529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3B18"/>
    <w:rsid w:val="00003264"/>
    <w:rsid w:val="000B2B88"/>
    <w:rsid w:val="000B523B"/>
    <w:rsid w:val="000B58F5"/>
    <w:rsid w:val="000B756B"/>
    <w:rsid w:val="000C7A9A"/>
    <w:rsid w:val="000D1FB7"/>
    <w:rsid w:val="0015064D"/>
    <w:rsid w:val="00196C85"/>
    <w:rsid w:val="001D5053"/>
    <w:rsid w:val="002F1128"/>
    <w:rsid w:val="00330C84"/>
    <w:rsid w:val="003A729F"/>
    <w:rsid w:val="00430A00"/>
    <w:rsid w:val="0044585F"/>
    <w:rsid w:val="00461775"/>
    <w:rsid w:val="004D03CB"/>
    <w:rsid w:val="00524FA5"/>
    <w:rsid w:val="005D796C"/>
    <w:rsid w:val="005E2850"/>
    <w:rsid w:val="005E5AC9"/>
    <w:rsid w:val="005F292C"/>
    <w:rsid w:val="006E3B4E"/>
    <w:rsid w:val="00805EE6"/>
    <w:rsid w:val="00817B88"/>
    <w:rsid w:val="008F0829"/>
    <w:rsid w:val="00922E68"/>
    <w:rsid w:val="00957A0A"/>
    <w:rsid w:val="009B62F5"/>
    <w:rsid w:val="009F0ADA"/>
    <w:rsid w:val="009F366C"/>
    <w:rsid w:val="00A15F31"/>
    <w:rsid w:val="00A512BF"/>
    <w:rsid w:val="00AA5123"/>
    <w:rsid w:val="00AC78F0"/>
    <w:rsid w:val="00AE155A"/>
    <w:rsid w:val="00B333C9"/>
    <w:rsid w:val="00B46D05"/>
    <w:rsid w:val="00B561BC"/>
    <w:rsid w:val="00B5789C"/>
    <w:rsid w:val="00BD3B18"/>
    <w:rsid w:val="00CD06BB"/>
    <w:rsid w:val="00D65FE4"/>
    <w:rsid w:val="00D673F0"/>
    <w:rsid w:val="00D85404"/>
    <w:rsid w:val="00DA4630"/>
    <w:rsid w:val="00EF72E0"/>
    <w:rsid w:val="00FD5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E10CAC"/>
  <w15:docId w15:val="{7570C375-269E-5A43-B467-47BFF630D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240" w:after="160"/>
      <w:outlineLvl w:val="0"/>
    </w:pPr>
    <w:rPr>
      <w:b/>
      <w:bCs/>
      <w:color w:val="000000"/>
      <w:sz w:val="28"/>
      <w:szCs w:val="28"/>
    </w:rPr>
  </w:style>
  <w:style w:type="paragraph" w:styleId="Heading2">
    <w:name w:val="heading 2"/>
    <w:basedOn w:val="Normal"/>
    <w:next w:val="Normal"/>
    <w:uiPriority w:val="9"/>
    <w:unhideWhenUsed/>
    <w:qFormat/>
    <w:pPr>
      <w:pBdr>
        <w:top w:val="nil"/>
        <w:left w:val="nil"/>
        <w:bottom w:val="nil"/>
        <w:right w:val="nil"/>
        <w:between w:val="nil"/>
      </w:pBdr>
      <w:spacing w:before="200" w:after="120"/>
      <w:outlineLvl w:val="1"/>
    </w:pPr>
    <w:rPr>
      <w:b/>
      <w:bCs/>
      <w:color w:val="000000"/>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innovativehumancapital.com/article/why-creative-burnout-is-on-the-rise-and-how-to-stop-it" TargetMode="External"/><Relationship Id="rId18" Type="http://schemas.openxmlformats.org/officeDocument/2006/relationships/hyperlink" Target="https://www.grandviewresearch.com/industry-analysis/creator-economy-market-report" TargetMode="External"/><Relationship Id="rId26" Type="http://schemas.openxmlformats.org/officeDocument/2006/relationships/hyperlink" Target="https://www.researchnester.com/reports/creator-economy-market/5691" TargetMode="External"/><Relationship Id="rId3" Type="http://schemas.openxmlformats.org/officeDocument/2006/relationships/settings" Target="settings.xml"/><Relationship Id="rId21" Type="http://schemas.openxmlformats.org/officeDocument/2006/relationships/hyperlink" Target="https://doi.org/10.1080/02650487.2021.2020563" TargetMode="External"/><Relationship Id="rId7" Type="http://schemas.openxmlformats.org/officeDocument/2006/relationships/image" Target="media/image1.png"/><Relationship Id="rId12" Type="http://schemas.openxmlformats.org/officeDocument/2006/relationships/hyperlink" Target="https://www.ubiquitousinfluence.com/post/influencer-marketing-laws" TargetMode="External"/><Relationship Id="rId17" Type="http://schemas.openxmlformats.org/officeDocument/2006/relationships/hyperlink" Target="https://doi.org/10.1007/978-3-658-37354-2_2" TargetMode="External"/><Relationship Id="rId25" Type="http://schemas.openxmlformats.org/officeDocument/2006/relationships/hyperlink" Target="https://www.precedenceresearch.com/creator-economy-market"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tc.gov/business-guidance/resources/disclosures-101-social-media-influencers" TargetMode="External"/><Relationship Id="rId20" Type="http://schemas.openxmlformats.org/officeDocument/2006/relationships/hyperlink" Target="https://www.ion.co/90-percent-of-content-creators-report-experiencing-burnout-vibely" TargetMode="External"/><Relationship Id="rId29" Type="http://schemas.openxmlformats.org/officeDocument/2006/relationships/hyperlink" Target="https://www.jou.ufl.edu/insights/pixels-vs-people-the-battle-for-consumer-trust-in-influencer-market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uditsocials.com/influencer-compliance" TargetMode="External"/><Relationship Id="rId24" Type="http://schemas.openxmlformats.org/officeDocument/2006/relationships/hyperlink" Target="https://thecreatoreconomy.com/post/creator-burnout-epidemic-mental-health-2026"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news.northeastern.edu/2025/02/25/ai-influencer-marketing-brand-trust/" TargetMode="External"/><Relationship Id="rId23" Type="http://schemas.openxmlformats.org/officeDocument/2006/relationships/hyperlink" Target="https://market.us/report/creator-economy-market/" TargetMode="External"/><Relationship Id="rId28" Type="http://schemas.openxmlformats.org/officeDocument/2006/relationships/hyperlink" Target="https://doi.org/10.3390/su172310721" TargetMode="External"/><Relationship Id="rId10" Type="http://schemas.openxmlformats.org/officeDocument/2006/relationships/image" Target="media/image4.png"/><Relationship Id="rId19" Type="http://schemas.openxmlformats.org/officeDocument/2006/relationships/hyperlink" Target="https://hsph.harvard.edu/news/content-creators-are-struggling-with-mental-health-study-finds/"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oherentmarketinsights.com/industry-reports/global-creator-economy-market" TargetMode="External"/><Relationship Id="rId22" Type="http://schemas.openxmlformats.org/officeDocument/2006/relationships/hyperlink" Target="https://doi.org/10.1080/15252019.2018.1533501" TargetMode="External"/><Relationship Id="rId27" Type="http://schemas.openxmlformats.org/officeDocument/2006/relationships/hyperlink" Target="https://doi.org/10.1002/aaai.70012" TargetMode="External"/><Relationship Id="rId30" Type="http://schemas.openxmlformats.org/officeDocument/2006/relationships/hyperlink" Target="https://doi.org/10.1177/14413582241306130"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Pages>
  <Words>2650</Words>
  <Characters>15111</Characters>
  <Application>Microsoft Office Word</Application>
  <DocSecurity>0</DocSecurity>
  <Lines>125</Lines>
  <Paragraphs>35</Paragraphs>
  <ScaleCrop>false</ScaleCrop>
  <Company/>
  <LinksUpToDate>false</LinksUpToDate>
  <CharactersWithSpaces>17726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miankhalil202022@gmail.com</cp:lastModifiedBy>
  <cp:revision>46</cp:revision>
  <dcterms:created xsi:type="dcterms:W3CDTF">2026-07-06T23:44:00Z</dcterms:created>
  <dcterms:modified xsi:type="dcterms:W3CDTF">2026-07-06T23:54:00Z</dcterms:modified>
</cp:coreProperties>
</file>