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989" w:tblpY="15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6A7CCA" w:rsidRPr="0065654E" w:rsidTr="006A7CCA">
        <w:trPr>
          <w:trHeight w:val="849"/>
        </w:trPr>
        <w:tc>
          <w:tcPr>
            <w:tcW w:w="8755" w:type="dxa"/>
            <w:gridSpan w:val="4"/>
          </w:tcPr>
          <w:p w:rsidR="006A7CCA" w:rsidRPr="0079467A" w:rsidRDefault="006A7CCA" w:rsidP="006A7CCA">
            <w:pPr>
              <w:pStyle w:val="NormalWeb"/>
              <w:spacing w:before="0" w:beforeAutospacing="0" w:after="0" w:afterAutospacing="0"/>
              <w:ind w:right="34"/>
              <w:rPr>
                <w:rFonts w:ascii="Calibri" w:hAnsi="Calibri" w:cs="Calibri"/>
                <w:iCs/>
                <w:sz w:val="24"/>
                <w:szCs w:val="24"/>
                <w:lang w:val="cy-GB"/>
              </w:rPr>
            </w:pPr>
          </w:p>
          <w:p w:rsidR="006A7CCA" w:rsidRDefault="006A7CCA" w:rsidP="006A7CCA">
            <w:pPr>
              <w:pStyle w:val="NormalWeb"/>
              <w:spacing w:before="0" w:beforeAutospacing="0" w:after="0" w:afterAutospacing="0"/>
              <w:ind w:right="34"/>
              <w:jc w:val="center"/>
              <w:rPr>
                <w:rFonts w:ascii="Calibri" w:hAnsi="Calibri" w:cs="Calibri"/>
                <w:b/>
                <w:bCs/>
                <w:sz w:val="24"/>
                <w:szCs w:val="24"/>
                <w:lang w:val="cy-GB"/>
              </w:rPr>
            </w:pPr>
            <w:proofErr w:type="spellStart"/>
            <w:r w:rsidRPr="0065654E">
              <w:rPr>
                <w:rFonts w:ascii="Calibri" w:hAnsi="Calibri" w:cs="Calibri"/>
                <w:b/>
                <w:bCs/>
                <w:sz w:val="24"/>
                <w:szCs w:val="24"/>
                <w:lang w:val="cy-GB"/>
              </w:rPr>
              <w:t>Assignment</w:t>
            </w:r>
            <w:proofErr w:type="spellEnd"/>
            <w:r>
              <w:rPr>
                <w:rFonts w:ascii="Calibri" w:hAnsi="Calibri" w:cs="Calibri"/>
                <w:b/>
                <w:bCs/>
                <w:sz w:val="24"/>
                <w:szCs w:val="24"/>
                <w:lang w:val="cy-GB"/>
              </w:rPr>
              <w:t xml:space="preserve"> </w:t>
            </w:r>
            <w:proofErr w:type="spellStart"/>
            <w:r>
              <w:rPr>
                <w:rFonts w:ascii="Calibri" w:hAnsi="Calibri" w:cs="Calibri"/>
                <w:b/>
                <w:bCs/>
                <w:sz w:val="24"/>
                <w:szCs w:val="24"/>
                <w:lang w:val="cy-GB"/>
              </w:rPr>
              <w:t>feedback</w:t>
            </w:r>
            <w:proofErr w:type="spellEnd"/>
            <w:r>
              <w:rPr>
                <w:rFonts w:ascii="Calibri" w:hAnsi="Calibri" w:cs="Calibri"/>
                <w:b/>
                <w:bCs/>
                <w:sz w:val="24"/>
                <w:szCs w:val="24"/>
                <w:lang w:val="cy-GB"/>
              </w:rPr>
              <w:t xml:space="preserve"> </w:t>
            </w:r>
          </w:p>
          <w:p w:rsidR="006A7CCA" w:rsidRDefault="006A7CCA" w:rsidP="006A7CCA">
            <w:pPr>
              <w:pStyle w:val="NormalWeb"/>
              <w:spacing w:before="0" w:beforeAutospacing="0" w:after="0" w:afterAutospacing="0"/>
              <w:ind w:right="34"/>
              <w:jc w:val="center"/>
              <w:rPr>
                <w:rFonts w:ascii="Calibri" w:hAnsi="Calibri" w:cs="Calibri"/>
                <w:b/>
                <w:bCs/>
                <w:sz w:val="24"/>
                <w:szCs w:val="24"/>
                <w:lang w:val="cy-GB"/>
              </w:rPr>
            </w:pPr>
          </w:p>
          <w:p w:rsidR="006A7CCA" w:rsidRPr="0065654E" w:rsidRDefault="006A7CCA" w:rsidP="006A7CCA">
            <w:pPr>
              <w:pStyle w:val="NormalWeb"/>
              <w:spacing w:before="0" w:beforeAutospacing="0" w:after="0" w:afterAutospacing="0"/>
              <w:ind w:right="34"/>
              <w:jc w:val="center"/>
              <w:rPr>
                <w:rFonts w:ascii="Calibri" w:hAnsi="Calibri" w:cs="Calibri"/>
                <w:b/>
                <w:bCs/>
                <w:sz w:val="24"/>
                <w:szCs w:val="24"/>
              </w:rPr>
            </w:pPr>
          </w:p>
        </w:tc>
      </w:tr>
      <w:tr w:rsidR="006A7CCA" w:rsidRPr="0065654E" w:rsidTr="006A7CCA">
        <w:trPr>
          <w:trHeight w:val="373"/>
        </w:trPr>
        <w:tc>
          <w:tcPr>
            <w:tcW w:w="8755" w:type="dxa"/>
            <w:gridSpan w:val="4"/>
          </w:tcPr>
          <w:p w:rsidR="006A7CCA" w:rsidRPr="0065654E" w:rsidRDefault="006A7CCA" w:rsidP="006A7CCA">
            <w:pPr>
              <w:pStyle w:val="NormalWeb"/>
              <w:spacing w:before="0" w:beforeAutospacing="0" w:after="0" w:afterAutospacing="0"/>
              <w:ind w:right="34"/>
              <w:rPr>
                <w:rFonts w:ascii="Calibri" w:hAnsi="Calibri" w:cs="Calibri"/>
                <w:i/>
                <w:iCs/>
                <w:sz w:val="24"/>
                <w:szCs w:val="24"/>
              </w:rPr>
            </w:pPr>
          </w:p>
        </w:tc>
      </w:tr>
      <w:tr w:rsidR="006A7CCA" w:rsidRPr="0065654E" w:rsidTr="006A7CCA">
        <w:trPr>
          <w:trHeight w:val="373"/>
        </w:trPr>
        <w:tc>
          <w:tcPr>
            <w:tcW w:w="8755" w:type="dxa"/>
            <w:gridSpan w:val="4"/>
          </w:tcPr>
          <w:p w:rsidR="006A7CCA" w:rsidRDefault="006A7CCA" w:rsidP="006A7CCA">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Na</w:t>
            </w:r>
            <w:r>
              <w:rPr>
                <w:rFonts w:ascii="Calibri" w:hAnsi="Calibri" w:cs="Calibri"/>
                <w:i/>
                <w:iCs/>
                <w:sz w:val="24"/>
                <w:szCs w:val="24"/>
              </w:rPr>
              <w:t xml:space="preserve">me: </w:t>
            </w:r>
            <w:proofErr w:type="spellStart"/>
            <w:r>
              <w:rPr>
                <w:rFonts w:ascii="Calibri" w:hAnsi="Calibri" w:cs="Calibri"/>
                <w:i/>
                <w:iCs/>
                <w:sz w:val="24"/>
                <w:szCs w:val="24"/>
              </w:rPr>
              <w:t>Broyan</w:t>
            </w:r>
            <w:proofErr w:type="spellEnd"/>
            <w:r>
              <w:rPr>
                <w:rFonts w:ascii="Calibri" w:hAnsi="Calibri" w:cs="Calibri"/>
                <w:i/>
                <w:iCs/>
                <w:sz w:val="24"/>
                <w:szCs w:val="24"/>
              </w:rPr>
              <w:t xml:space="preserve"> </w:t>
            </w:r>
            <w:proofErr w:type="spellStart"/>
            <w:r>
              <w:rPr>
                <w:rFonts w:ascii="Calibri" w:hAnsi="Calibri" w:cs="Calibri"/>
                <w:i/>
                <w:iCs/>
                <w:sz w:val="24"/>
                <w:szCs w:val="24"/>
              </w:rPr>
              <w:t>Dymond</w:t>
            </w:r>
            <w:proofErr w:type="spellEnd"/>
          </w:p>
          <w:p w:rsidR="006A7CCA" w:rsidRPr="0065654E" w:rsidRDefault="006A7CCA" w:rsidP="006A7CCA">
            <w:pPr>
              <w:pStyle w:val="NormalWeb"/>
              <w:spacing w:before="0" w:beforeAutospacing="0" w:after="0" w:afterAutospacing="0"/>
              <w:ind w:right="34"/>
              <w:rPr>
                <w:rFonts w:ascii="Calibri" w:hAnsi="Calibri" w:cs="Calibri"/>
                <w:i/>
                <w:iCs/>
                <w:sz w:val="24"/>
                <w:szCs w:val="24"/>
              </w:rPr>
            </w:pPr>
            <w:smartTag w:uri="urn:schemas-microsoft-com:office:smarttags" w:element="PlaceName">
              <w:smartTag w:uri="urn:schemas-microsoft-com:office:smarttags" w:element="place">
                <w:r>
                  <w:rPr>
                    <w:rFonts w:ascii="Calibri" w:hAnsi="Calibri" w:cs="Calibri"/>
                    <w:i/>
                    <w:iCs/>
                    <w:sz w:val="24"/>
                    <w:szCs w:val="24"/>
                  </w:rPr>
                  <w:t>Student</w:t>
                </w:r>
              </w:smartTag>
              <w:r>
                <w:rPr>
                  <w:rFonts w:ascii="Calibri" w:hAnsi="Calibri" w:cs="Calibri"/>
                  <w:i/>
                  <w:iCs/>
                  <w:sz w:val="24"/>
                  <w:szCs w:val="24"/>
                </w:rPr>
                <w:t xml:space="preserve"> </w:t>
              </w:r>
              <w:smartTag w:uri="urn:schemas-microsoft-com:office:smarttags" w:element="PlaceType">
                <w:r>
                  <w:rPr>
                    <w:rFonts w:ascii="Calibri" w:hAnsi="Calibri" w:cs="Calibri"/>
                    <w:i/>
                    <w:iCs/>
                    <w:sz w:val="24"/>
                    <w:szCs w:val="24"/>
                  </w:rPr>
                  <w:t>University</w:t>
                </w:r>
              </w:smartTag>
            </w:smartTag>
            <w:r>
              <w:rPr>
                <w:rFonts w:ascii="Calibri" w:hAnsi="Calibri" w:cs="Calibri"/>
                <w:i/>
                <w:iCs/>
                <w:sz w:val="24"/>
                <w:szCs w:val="24"/>
              </w:rPr>
              <w:t xml:space="preserve"> Email:</w:t>
            </w:r>
          </w:p>
        </w:tc>
      </w:tr>
      <w:tr w:rsidR="006A7CCA" w:rsidRPr="0065654E" w:rsidTr="006A7CCA">
        <w:trPr>
          <w:trHeight w:val="849"/>
        </w:trPr>
        <w:tc>
          <w:tcPr>
            <w:tcW w:w="5148" w:type="dxa"/>
          </w:tcPr>
          <w:p w:rsidR="006A7CCA" w:rsidRDefault="006A7CCA" w:rsidP="006A7CCA">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Module code</w:t>
            </w:r>
            <w:r>
              <w:rPr>
                <w:rFonts w:ascii="Calibri" w:hAnsi="Calibri" w:cs="Calibri"/>
                <w:i/>
                <w:iCs/>
                <w:sz w:val="24"/>
                <w:szCs w:val="24"/>
              </w:rPr>
              <w:t xml:space="preserve">: </w:t>
            </w:r>
            <w:r w:rsidR="00367CD7">
              <w:rPr>
                <w:rFonts w:ascii="Calibri" w:hAnsi="Calibri" w:cs="Calibri"/>
                <w:i/>
                <w:iCs/>
                <w:sz w:val="24"/>
                <w:szCs w:val="24"/>
              </w:rPr>
              <w:t>HPAR 6011</w:t>
            </w:r>
          </w:p>
          <w:p w:rsidR="006A7CCA" w:rsidRPr="0065654E" w:rsidRDefault="006A7CCA" w:rsidP="006A7CCA">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 xml:space="preserve">: </w:t>
            </w:r>
            <w:r w:rsidR="00367CD7">
              <w:t xml:space="preserve"> Funerary beliefs in Egypt</w:t>
            </w:r>
          </w:p>
        </w:tc>
        <w:tc>
          <w:tcPr>
            <w:tcW w:w="1906" w:type="dxa"/>
            <w:gridSpan w:val="2"/>
          </w:tcPr>
          <w:p w:rsidR="006A7CCA" w:rsidRPr="0065654E" w:rsidRDefault="006A7CCA" w:rsidP="006A7CCA">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ID number:</w:t>
            </w:r>
          </w:p>
          <w:p w:rsidR="006A7CCA" w:rsidRPr="00767E75" w:rsidRDefault="006A7CCA" w:rsidP="006A7CCA">
            <w:pPr>
              <w:pStyle w:val="NormalWeb"/>
              <w:spacing w:before="0" w:beforeAutospacing="0" w:after="0" w:afterAutospacing="0"/>
              <w:ind w:right="34"/>
              <w:rPr>
                <w:rFonts w:ascii="Calibri" w:hAnsi="Calibri" w:cs="Calibri"/>
                <w:i/>
                <w:iCs/>
                <w:color w:val="auto"/>
                <w:sz w:val="24"/>
                <w:szCs w:val="24"/>
              </w:rPr>
            </w:pPr>
            <w:r w:rsidRPr="00767E75">
              <w:rPr>
                <w:rFonts w:ascii="Calibri" w:hAnsi="Calibri" w:cs="Calibri"/>
                <w:i/>
                <w:iCs/>
                <w:color w:val="auto"/>
                <w:sz w:val="24"/>
                <w:szCs w:val="24"/>
              </w:rPr>
              <w:t>1303350</w:t>
            </w:r>
          </w:p>
        </w:tc>
        <w:tc>
          <w:tcPr>
            <w:tcW w:w="1701" w:type="dxa"/>
          </w:tcPr>
          <w:p w:rsidR="006A7CCA" w:rsidRPr="0065654E" w:rsidRDefault="006A7CCA" w:rsidP="006A7CCA">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rsidR="006A7CCA" w:rsidRPr="0065654E" w:rsidRDefault="006A7CCA" w:rsidP="006A7CCA">
            <w:pPr>
              <w:pStyle w:val="NormalWeb"/>
              <w:spacing w:before="0" w:beforeAutospacing="0" w:after="0" w:afterAutospacing="0"/>
              <w:ind w:right="34"/>
              <w:rPr>
                <w:rFonts w:ascii="Calibri" w:hAnsi="Calibri" w:cs="Calibri"/>
                <w:i/>
                <w:iCs/>
                <w:sz w:val="24"/>
                <w:szCs w:val="24"/>
              </w:rPr>
            </w:pPr>
          </w:p>
          <w:p w:rsidR="006A7CCA" w:rsidRPr="0065654E" w:rsidRDefault="006A7CCA" w:rsidP="006A7CCA">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Yes</w:t>
            </w:r>
          </w:p>
        </w:tc>
      </w:tr>
      <w:tr w:rsidR="006A7CCA" w:rsidRPr="0065654E" w:rsidTr="006A7CCA">
        <w:trPr>
          <w:trHeight w:val="849"/>
        </w:trPr>
        <w:tc>
          <w:tcPr>
            <w:tcW w:w="8755" w:type="dxa"/>
            <w:gridSpan w:val="4"/>
          </w:tcPr>
          <w:p w:rsidR="006A7CCA" w:rsidRDefault="00367CD7" w:rsidP="006A7CCA">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title: </w:t>
            </w:r>
            <w:r w:rsidRPr="00367CD7">
              <w:rPr>
                <w:rFonts w:ascii="Arial" w:hAnsi="Arial" w:cs="Arial"/>
                <w:sz w:val="28"/>
                <w:szCs w:val="28"/>
              </w:rPr>
              <w:t>Object Catalogue Entry</w:t>
            </w:r>
          </w:p>
          <w:p w:rsidR="006A7CCA" w:rsidRDefault="006A7CCA" w:rsidP="006A7CCA">
            <w:pPr>
              <w:pStyle w:val="NormalWeb"/>
              <w:spacing w:before="0" w:beforeAutospacing="0" w:after="0" w:afterAutospacing="0"/>
              <w:ind w:right="34"/>
              <w:rPr>
                <w:rFonts w:ascii="Calibri" w:hAnsi="Calibri" w:cs="Calibri"/>
                <w:i/>
                <w:iCs/>
                <w:sz w:val="24"/>
                <w:szCs w:val="24"/>
              </w:rPr>
            </w:pPr>
          </w:p>
          <w:p w:rsidR="006A7CCA" w:rsidRPr="0065654E" w:rsidRDefault="006A7CCA" w:rsidP="006A7CCA">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due date:</w:t>
            </w:r>
            <w:r w:rsidR="00367CD7">
              <w:rPr>
                <w:rFonts w:ascii="Calibri" w:hAnsi="Calibri" w:cs="Calibri"/>
                <w:i/>
                <w:iCs/>
                <w:sz w:val="24"/>
                <w:szCs w:val="24"/>
              </w:rPr>
              <w:t>07/04/2019</w:t>
            </w:r>
          </w:p>
        </w:tc>
      </w:tr>
      <w:tr w:rsidR="006A7CCA" w:rsidRPr="0065654E" w:rsidTr="006A7CCA">
        <w:trPr>
          <w:trHeight w:val="504"/>
        </w:trPr>
        <w:tc>
          <w:tcPr>
            <w:tcW w:w="8755" w:type="dxa"/>
            <w:gridSpan w:val="4"/>
          </w:tcPr>
          <w:p w:rsidR="006A7CCA" w:rsidRDefault="006A7CCA" w:rsidP="006A7CCA">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Number: 1</w:t>
            </w:r>
          </w:p>
          <w:p w:rsidR="006A7CCA" w:rsidRDefault="006A7CCA" w:rsidP="006A7CCA">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(i.e. 1,2,3) </w:t>
            </w:r>
          </w:p>
        </w:tc>
      </w:tr>
      <w:tr w:rsidR="006A7CCA" w:rsidRPr="0065654E" w:rsidTr="006A7CCA">
        <w:trPr>
          <w:trHeight w:val="6165"/>
        </w:trPr>
        <w:tc>
          <w:tcPr>
            <w:tcW w:w="8755" w:type="dxa"/>
            <w:gridSpan w:val="4"/>
          </w:tcPr>
          <w:p w:rsidR="006A7CCA" w:rsidRPr="0065654E" w:rsidRDefault="006A7CCA" w:rsidP="006A7CCA">
            <w:pPr>
              <w:pStyle w:val="NormalWeb"/>
              <w:rPr>
                <w:rFonts w:ascii="Calibri" w:hAnsi="Calibri" w:cs="Calibri"/>
                <w:i/>
                <w:iCs/>
                <w:sz w:val="24"/>
                <w:szCs w:val="24"/>
              </w:rPr>
            </w:pPr>
          </w:p>
          <w:p w:rsidR="006A7CCA" w:rsidRPr="0065654E" w:rsidRDefault="006A7CCA" w:rsidP="006A7CCA">
            <w:pPr>
              <w:pStyle w:val="NormalWeb"/>
              <w:rPr>
                <w:rFonts w:ascii="Calibri" w:hAnsi="Calibri" w:cs="Calibri"/>
                <w:i/>
                <w:iCs/>
                <w:sz w:val="24"/>
                <w:szCs w:val="24"/>
              </w:rPr>
            </w:pPr>
          </w:p>
        </w:tc>
      </w:tr>
      <w:tr w:rsidR="006A7CCA" w:rsidRPr="0065654E" w:rsidTr="006A7CCA">
        <w:tc>
          <w:tcPr>
            <w:tcW w:w="6768" w:type="dxa"/>
            <w:gridSpan w:val="2"/>
          </w:tcPr>
          <w:p w:rsidR="006A7CCA" w:rsidRPr="0065654E" w:rsidRDefault="006A7CCA" w:rsidP="006A7CCA">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rsidR="006A7CCA" w:rsidRPr="0065654E" w:rsidRDefault="006A7CCA" w:rsidP="006A7CCA">
            <w:pPr>
              <w:pStyle w:val="NormalWeb"/>
              <w:ind w:left="142" w:right="34"/>
              <w:rPr>
                <w:rFonts w:ascii="Calibri" w:hAnsi="Calibri" w:cs="Calibri"/>
                <w:i/>
                <w:iCs/>
                <w:sz w:val="24"/>
                <w:szCs w:val="24"/>
              </w:rPr>
            </w:pPr>
          </w:p>
        </w:tc>
        <w:tc>
          <w:tcPr>
            <w:tcW w:w="1987" w:type="dxa"/>
            <w:gridSpan w:val="2"/>
          </w:tcPr>
          <w:p w:rsidR="006A7CCA" w:rsidRDefault="006A7CCA" w:rsidP="006A7CCA">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rsidR="006A7CCA" w:rsidRPr="0065654E" w:rsidRDefault="006A7CCA" w:rsidP="006A7CCA">
            <w:pPr>
              <w:pStyle w:val="NormalWeb"/>
              <w:spacing w:after="0"/>
              <w:ind w:left="142" w:right="34"/>
              <w:rPr>
                <w:rFonts w:ascii="Calibri" w:hAnsi="Calibri" w:cs="Calibri"/>
                <w:i/>
                <w:iCs/>
                <w:sz w:val="24"/>
                <w:szCs w:val="24"/>
              </w:rPr>
            </w:pPr>
          </w:p>
        </w:tc>
      </w:tr>
      <w:tr w:rsidR="006A7CCA" w:rsidRPr="0065654E" w:rsidTr="006A7CCA">
        <w:tc>
          <w:tcPr>
            <w:tcW w:w="8755" w:type="dxa"/>
            <w:gridSpan w:val="4"/>
          </w:tcPr>
          <w:p w:rsidR="006A7CCA" w:rsidRDefault="006A7CCA" w:rsidP="006A7CCA">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rsidR="006A7CCA" w:rsidRPr="0065654E" w:rsidRDefault="006A7CCA" w:rsidP="006A7CCA">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rsidR="006A7CCA" w:rsidRPr="0065654E" w:rsidRDefault="006A7CCA" w:rsidP="006A7CCA">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rsidR="006A7CCA" w:rsidRDefault="006A7CCA" w:rsidP="00F42FFB">
      <w:pPr>
        <w:jc w:val="center"/>
        <w:rPr>
          <w:rFonts w:ascii="Arial" w:hAnsi="Arial" w:cs="Arial"/>
          <w:sz w:val="28"/>
          <w:szCs w:val="28"/>
          <w:u w:val="single"/>
        </w:rPr>
      </w:pPr>
    </w:p>
    <w:p w:rsidR="00C551BE" w:rsidRPr="006A7CCA" w:rsidRDefault="006A7CCA" w:rsidP="006A7CCA">
      <w:pPr>
        <w:jc w:val="center"/>
        <w:rPr>
          <w:rFonts w:ascii="Arial" w:hAnsi="Arial" w:cs="Arial"/>
          <w:sz w:val="28"/>
          <w:szCs w:val="28"/>
          <w:u w:val="single"/>
        </w:rPr>
      </w:pPr>
      <w:r>
        <w:rPr>
          <w:rFonts w:ascii="Arial" w:hAnsi="Arial" w:cs="Arial"/>
          <w:sz w:val="28"/>
          <w:szCs w:val="28"/>
          <w:u w:val="single"/>
        </w:rPr>
        <w:br w:type="page"/>
      </w:r>
      <w:r w:rsidR="00F42FFB" w:rsidRPr="00D53168">
        <w:rPr>
          <w:rFonts w:ascii="Arial" w:hAnsi="Arial" w:cs="Arial"/>
          <w:sz w:val="28"/>
          <w:szCs w:val="28"/>
          <w:u w:val="single"/>
        </w:rPr>
        <w:lastRenderedPageBreak/>
        <w:t>Object Catalogue Entry</w:t>
      </w:r>
    </w:p>
    <w:p w:rsidR="00D53168" w:rsidRPr="006A7CCA" w:rsidRDefault="00D53168" w:rsidP="006A7CCA">
      <w:pPr>
        <w:jc w:val="center"/>
      </w:pPr>
      <w:r w:rsidRPr="00F42FFB">
        <w:rPr>
          <w:noProof/>
          <w:lang w:eastAsia="en-GB"/>
        </w:rPr>
        <w:drawing>
          <wp:inline distT="0" distB="0" distL="0" distR="0" wp14:anchorId="5A14340C" wp14:editId="541D88A0">
            <wp:extent cx="2319124" cy="2994212"/>
            <wp:effectExtent l="0" t="0" r="5080" b="0"/>
            <wp:docPr id="1" name="Picture 1" descr="C:\Users\sh066.UNI\Downloads\IMG_20190325_122517_resized_20190327_070041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066.UNI\Downloads\IMG_20190325_122517_resized_20190327_07004148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40" t="23893" r="25217" b="-1242"/>
                    <a:stretch/>
                  </pic:blipFill>
                  <pic:spPr bwMode="auto">
                    <a:xfrm>
                      <a:off x="0" y="0"/>
                      <a:ext cx="2326279" cy="3003450"/>
                    </a:xfrm>
                    <a:prstGeom prst="rect">
                      <a:avLst/>
                    </a:prstGeom>
                    <a:noFill/>
                    <a:ln>
                      <a:noFill/>
                    </a:ln>
                    <a:extLst>
                      <a:ext uri="{53640926-AAD7-44D8-BBD7-CCE9431645EC}">
                        <a14:shadowObscured xmlns:a14="http://schemas.microsoft.com/office/drawing/2010/main"/>
                      </a:ext>
                    </a:extLst>
                  </pic:spPr>
                </pic:pic>
              </a:graphicData>
            </a:graphic>
          </wp:inline>
        </w:drawing>
      </w:r>
    </w:p>
    <w:p w:rsidR="007B0510" w:rsidRDefault="00F42FFB" w:rsidP="007B0510">
      <w:pPr>
        <w:rPr>
          <w:rFonts w:ascii="Arial" w:hAnsi="Arial" w:cs="Arial"/>
          <w:b/>
          <w:sz w:val="28"/>
          <w:szCs w:val="28"/>
          <w:lang w:eastAsia="en-GB"/>
        </w:rPr>
      </w:pPr>
      <w:r w:rsidRPr="003F0F90">
        <w:rPr>
          <w:rFonts w:ascii="Arial" w:hAnsi="Arial" w:cs="Arial"/>
          <w:sz w:val="28"/>
          <w:szCs w:val="28"/>
          <w:u w:val="single"/>
        </w:rPr>
        <w:t>Museum number</w:t>
      </w:r>
      <w:r w:rsidRPr="00F42FFB">
        <w:rPr>
          <w:rFonts w:ascii="Arial" w:hAnsi="Arial" w:cs="Arial"/>
          <w:sz w:val="28"/>
          <w:szCs w:val="28"/>
        </w:rPr>
        <w:t>:</w:t>
      </w:r>
      <w:r w:rsidR="007B0510" w:rsidRPr="007B0510">
        <w:rPr>
          <w:rFonts w:ascii="Arial" w:hAnsi="Arial" w:cs="Arial"/>
          <w:b/>
          <w:sz w:val="28"/>
          <w:szCs w:val="28"/>
          <w:lang w:eastAsia="en-GB"/>
        </w:rPr>
        <w:t xml:space="preserve"> </w:t>
      </w:r>
    </w:p>
    <w:p w:rsidR="00F42FFB" w:rsidRDefault="007B0510" w:rsidP="007B0510">
      <w:pPr>
        <w:rPr>
          <w:rFonts w:ascii="Arial" w:hAnsi="Arial" w:cs="Arial"/>
          <w:sz w:val="28"/>
          <w:szCs w:val="28"/>
        </w:rPr>
      </w:pPr>
      <w:proofErr w:type="spellStart"/>
      <w:r w:rsidRPr="007B0510">
        <w:rPr>
          <w:rFonts w:ascii="Arial" w:hAnsi="Arial" w:cs="Arial"/>
          <w:sz w:val="28"/>
          <w:szCs w:val="28"/>
        </w:rPr>
        <w:t>Cyfa</w:t>
      </w:r>
      <w:r w:rsidRPr="007B0510">
        <w:rPr>
          <w:rFonts w:ascii="Arial" w:hAnsi="Arial" w:cs="Arial"/>
          <w:sz w:val="28"/>
          <w:szCs w:val="28"/>
        </w:rPr>
        <w:t>rthfa</w:t>
      </w:r>
      <w:proofErr w:type="spellEnd"/>
      <w:r w:rsidRPr="007B0510">
        <w:rPr>
          <w:rFonts w:ascii="Arial" w:hAnsi="Arial" w:cs="Arial"/>
          <w:sz w:val="28"/>
          <w:szCs w:val="28"/>
        </w:rPr>
        <w:t xml:space="preserve"> Castle, Merthyr Tydfil</w:t>
      </w:r>
      <w:r>
        <w:rPr>
          <w:rFonts w:ascii="Arial" w:hAnsi="Arial" w:cs="Arial"/>
          <w:b/>
        </w:rPr>
        <w:t xml:space="preserve"> </w:t>
      </w:r>
      <w:r w:rsidR="00F42FFB" w:rsidRPr="00F42FFB">
        <w:rPr>
          <w:rFonts w:ascii="Arial" w:hAnsi="Arial" w:cs="Arial"/>
          <w:sz w:val="28"/>
          <w:szCs w:val="28"/>
        </w:rPr>
        <w:t>CCM 326.004</w:t>
      </w:r>
    </w:p>
    <w:p w:rsidR="007B0510" w:rsidRDefault="007B0510" w:rsidP="007B0510">
      <w:pPr>
        <w:spacing w:line="360" w:lineRule="auto"/>
        <w:rPr>
          <w:rFonts w:ascii="Arial" w:hAnsi="Arial" w:cs="Arial"/>
          <w:sz w:val="28"/>
          <w:szCs w:val="28"/>
        </w:rPr>
      </w:pPr>
      <w:r w:rsidRPr="003F0F90">
        <w:rPr>
          <w:rFonts w:ascii="Arial" w:hAnsi="Arial" w:cs="Arial"/>
          <w:sz w:val="28"/>
          <w:szCs w:val="28"/>
          <w:u w:val="single"/>
        </w:rPr>
        <w:t>Object</w:t>
      </w:r>
      <w:r>
        <w:rPr>
          <w:rFonts w:ascii="Arial" w:hAnsi="Arial" w:cs="Arial"/>
          <w:sz w:val="28"/>
          <w:szCs w:val="28"/>
          <w:u w:val="single"/>
        </w:rPr>
        <w:t xml:space="preserve"> type</w:t>
      </w:r>
      <w:r w:rsidRPr="00F42FFB">
        <w:rPr>
          <w:rFonts w:ascii="Arial" w:hAnsi="Arial" w:cs="Arial"/>
          <w:sz w:val="28"/>
          <w:szCs w:val="28"/>
        </w:rPr>
        <w:t xml:space="preserve">: </w:t>
      </w:r>
      <w:r>
        <w:rPr>
          <w:rFonts w:ascii="Arial" w:hAnsi="Arial" w:cs="Arial"/>
          <w:sz w:val="28"/>
          <w:szCs w:val="28"/>
        </w:rPr>
        <w:t xml:space="preserve"> Pottery: </w:t>
      </w:r>
      <w:r w:rsidRPr="00F42FFB">
        <w:rPr>
          <w:rFonts w:ascii="Arial" w:hAnsi="Arial" w:cs="Arial"/>
          <w:sz w:val="28"/>
          <w:szCs w:val="28"/>
        </w:rPr>
        <w:t>Beer Jar</w:t>
      </w:r>
    </w:p>
    <w:p w:rsidR="007B0510" w:rsidRPr="007B0510" w:rsidRDefault="007B0510" w:rsidP="007B0510">
      <w:pPr>
        <w:spacing w:line="360" w:lineRule="auto"/>
        <w:rPr>
          <w:rFonts w:ascii="Arial" w:hAnsi="Arial" w:cs="Arial"/>
          <w:sz w:val="28"/>
          <w:szCs w:val="28"/>
        </w:rPr>
      </w:pPr>
      <w:r w:rsidRPr="003F0F90">
        <w:rPr>
          <w:rFonts w:ascii="Arial" w:hAnsi="Arial" w:cs="Arial"/>
          <w:sz w:val="28"/>
          <w:szCs w:val="28"/>
          <w:u w:val="single"/>
        </w:rPr>
        <w:t>Material</w:t>
      </w:r>
      <w:r w:rsidRPr="00F42FFB">
        <w:rPr>
          <w:rFonts w:ascii="Arial" w:hAnsi="Arial" w:cs="Arial"/>
          <w:sz w:val="28"/>
          <w:szCs w:val="28"/>
        </w:rPr>
        <w:t>: Clay</w:t>
      </w:r>
    </w:p>
    <w:p w:rsidR="00F42FFB" w:rsidRDefault="00F42FFB" w:rsidP="006A7CCA">
      <w:pPr>
        <w:spacing w:line="360" w:lineRule="auto"/>
        <w:rPr>
          <w:rFonts w:ascii="Arial" w:hAnsi="Arial" w:cs="Arial"/>
          <w:sz w:val="28"/>
          <w:szCs w:val="28"/>
        </w:rPr>
      </w:pPr>
      <w:r w:rsidRPr="003F0F90">
        <w:rPr>
          <w:rFonts w:ascii="Arial" w:hAnsi="Arial" w:cs="Arial"/>
          <w:sz w:val="28"/>
          <w:szCs w:val="28"/>
          <w:u w:val="single"/>
        </w:rPr>
        <w:t>Date</w:t>
      </w:r>
      <w:r w:rsidRPr="00F42FFB">
        <w:rPr>
          <w:rFonts w:ascii="Arial" w:hAnsi="Arial" w:cs="Arial"/>
          <w:sz w:val="28"/>
          <w:szCs w:val="28"/>
        </w:rPr>
        <w:t xml:space="preserve">: </w:t>
      </w:r>
      <w:r w:rsidR="002C3F2A">
        <w:rPr>
          <w:rFonts w:ascii="Arial" w:hAnsi="Arial" w:cs="Arial"/>
          <w:sz w:val="28"/>
          <w:szCs w:val="28"/>
        </w:rPr>
        <w:t>Circa First Dynasty (</w:t>
      </w:r>
      <w:r w:rsidR="002C3F2A" w:rsidRPr="002C3F2A">
        <w:rPr>
          <w:rFonts w:ascii="Arial" w:hAnsi="Arial" w:cs="Arial"/>
          <w:sz w:val="28"/>
          <w:szCs w:val="28"/>
        </w:rPr>
        <w:t>3100 to</w:t>
      </w:r>
      <w:r w:rsidR="002C3F2A">
        <w:rPr>
          <w:rFonts w:ascii="Arial" w:hAnsi="Arial" w:cs="Arial"/>
          <w:sz w:val="28"/>
          <w:szCs w:val="28"/>
        </w:rPr>
        <w:t xml:space="preserve"> </w:t>
      </w:r>
      <w:r w:rsidR="002C3F2A" w:rsidRPr="002C3F2A">
        <w:rPr>
          <w:rFonts w:ascii="Arial" w:hAnsi="Arial" w:cs="Arial"/>
          <w:sz w:val="28"/>
          <w:szCs w:val="28"/>
        </w:rPr>
        <w:t>2686 BC</w:t>
      </w:r>
      <w:r w:rsidR="002C3F2A">
        <w:rPr>
          <w:rFonts w:ascii="Arial" w:hAnsi="Arial" w:cs="Arial"/>
          <w:sz w:val="28"/>
          <w:szCs w:val="28"/>
        </w:rPr>
        <w:t>)</w:t>
      </w:r>
    </w:p>
    <w:p w:rsidR="007B0510" w:rsidRPr="00F42FFB" w:rsidRDefault="007B0510" w:rsidP="006A7CCA">
      <w:pPr>
        <w:spacing w:line="360" w:lineRule="auto"/>
        <w:rPr>
          <w:rFonts w:ascii="Arial" w:hAnsi="Arial" w:cs="Arial"/>
          <w:sz w:val="28"/>
          <w:szCs w:val="28"/>
        </w:rPr>
      </w:pPr>
      <w:r w:rsidRPr="003F0F90">
        <w:rPr>
          <w:rFonts w:ascii="Arial" w:hAnsi="Arial" w:cs="Arial"/>
          <w:sz w:val="28"/>
          <w:szCs w:val="28"/>
          <w:u w:val="single"/>
        </w:rPr>
        <w:t>Provenance</w:t>
      </w:r>
      <w:r w:rsidRPr="00F42FFB">
        <w:rPr>
          <w:rFonts w:ascii="Arial" w:hAnsi="Arial" w:cs="Arial"/>
          <w:sz w:val="28"/>
          <w:szCs w:val="28"/>
        </w:rPr>
        <w:t xml:space="preserve">: </w:t>
      </w:r>
      <w:r>
        <w:rPr>
          <w:rFonts w:ascii="Arial" w:hAnsi="Arial" w:cs="Arial"/>
          <w:sz w:val="28"/>
          <w:szCs w:val="28"/>
        </w:rPr>
        <w:t xml:space="preserve">Ancient </w:t>
      </w:r>
      <w:r w:rsidRPr="00F42FFB">
        <w:rPr>
          <w:rFonts w:ascii="Arial" w:hAnsi="Arial" w:cs="Arial"/>
          <w:sz w:val="28"/>
          <w:szCs w:val="28"/>
        </w:rPr>
        <w:t>Egypt</w:t>
      </w:r>
    </w:p>
    <w:p w:rsidR="00D41683" w:rsidRDefault="00F42FFB" w:rsidP="006A7CCA">
      <w:pPr>
        <w:spacing w:line="360" w:lineRule="auto"/>
        <w:rPr>
          <w:rFonts w:ascii="Arial" w:hAnsi="Arial" w:cs="Arial"/>
          <w:sz w:val="28"/>
          <w:szCs w:val="28"/>
        </w:rPr>
      </w:pPr>
      <w:r w:rsidRPr="003F0F90">
        <w:rPr>
          <w:rFonts w:ascii="Arial" w:hAnsi="Arial" w:cs="Arial"/>
          <w:sz w:val="28"/>
          <w:szCs w:val="28"/>
          <w:u w:val="single"/>
        </w:rPr>
        <w:t>Measurements</w:t>
      </w:r>
      <w:r w:rsidRPr="00F42FFB">
        <w:rPr>
          <w:rFonts w:ascii="Arial" w:hAnsi="Arial" w:cs="Arial"/>
          <w:sz w:val="28"/>
          <w:szCs w:val="28"/>
        </w:rPr>
        <w:t xml:space="preserve">: </w:t>
      </w:r>
    </w:p>
    <w:p w:rsidR="00F42FFB" w:rsidRPr="00F42FFB" w:rsidRDefault="00F42FFB" w:rsidP="006A7CCA">
      <w:pPr>
        <w:spacing w:line="360" w:lineRule="auto"/>
        <w:ind w:left="720" w:firstLine="720"/>
        <w:rPr>
          <w:rFonts w:ascii="Arial" w:hAnsi="Arial" w:cs="Arial"/>
          <w:sz w:val="28"/>
          <w:szCs w:val="28"/>
        </w:rPr>
      </w:pPr>
      <w:r w:rsidRPr="00F42FFB">
        <w:rPr>
          <w:rFonts w:ascii="Arial" w:hAnsi="Arial" w:cs="Arial"/>
          <w:sz w:val="28"/>
          <w:szCs w:val="28"/>
        </w:rPr>
        <w:t>Full length:</w:t>
      </w:r>
      <w:r w:rsidR="002C3F2A">
        <w:rPr>
          <w:rFonts w:ascii="Arial" w:hAnsi="Arial" w:cs="Arial"/>
          <w:sz w:val="28"/>
          <w:szCs w:val="28"/>
        </w:rPr>
        <w:t xml:space="preserve"> 48</w:t>
      </w:r>
      <w:r w:rsidRPr="00F42FFB">
        <w:rPr>
          <w:rFonts w:ascii="Arial" w:hAnsi="Arial" w:cs="Arial"/>
          <w:sz w:val="28"/>
          <w:szCs w:val="28"/>
        </w:rPr>
        <w:t>cm</w:t>
      </w:r>
    </w:p>
    <w:p w:rsidR="00F42FFB" w:rsidRPr="00F42FFB" w:rsidRDefault="00F42FFB" w:rsidP="006A7CCA">
      <w:pPr>
        <w:spacing w:line="360" w:lineRule="auto"/>
        <w:rPr>
          <w:rFonts w:ascii="Arial" w:hAnsi="Arial" w:cs="Arial"/>
          <w:sz w:val="28"/>
          <w:szCs w:val="28"/>
        </w:rPr>
      </w:pPr>
      <w:r w:rsidRPr="00F42FFB">
        <w:rPr>
          <w:rFonts w:ascii="Arial" w:hAnsi="Arial" w:cs="Arial"/>
          <w:sz w:val="28"/>
          <w:szCs w:val="28"/>
        </w:rPr>
        <w:tab/>
      </w:r>
      <w:r w:rsidRPr="00F42FFB">
        <w:rPr>
          <w:rFonts w:ascii="Arial" w:hAnsi="Arial" w:cs="Arial"/>
          <w:sz w:val="28"/>
          <w:szCs w:val="28"/>
        </w:rPr>
        <w:tab/>
        <w:t>Widest point: 17cm</w:t>
      </w:r>
    </w:p>
    <w:p w:rsidR="00F42FFB" w:rsidRPr="00F42FFB" w:rsidRDefault="00F42FFB" w:rsidP="006A7CCA">
      <w:pPr>
        <w:spacing w:line="360" w:lineRule="auto"/>
        <w:rPr>
          <w:rFonts w:ascii="Arial" w:hAnsi="Arial" w:cs="Arial"/>
          <w:sz w:val="28"/>
          <w:szCs w:val="28"/>
        </w:rPr>
      </w:pPr>
      <w:r w:rsidRPr="00F42FFB">
        <w:rPr>
          <w:rFonts w:ascii="Arial" w:hAnsi="Arial" w:cs="Arial"/>
          <w:sz w:val="28"/>
          <w:szCs w:val="28"/>
        </w:rPr>
        <w:tab/>
      </w:r>
      <w:r w:rsidRPr="00F42FFB">
        <w:rPr>
          <w:rFonts w:ascii="Arial" w:hAnsi="Arial" w:cs="Arial"/>
          <w:sz w:val="28"/>
          <w:szCs w:val="28"/>
        </w:rPr>
        <w:tab/>
        <w:t>Narrowest point:</w:t>
      </w:r>
      <w:r w:rsidR="002C3F2A">
        <w:rPr>
          <w:rFonts w:ascii="Arial" w:hAnsi="Arial" w:cs="Arial"/>
          <w:sz w:val="28"/>
          <w:szCs w:val="28"/>
        </w:rPr>
        <w:t xml:space="preserve"> 4</w:t>
      </w:r>
      <w:r w:rsidRPr="00F42FFB">
        <w:rPr>
          <w:rFonts w:ascii="Arial" w:hAnsi="Arial" w:cs="Arial"/>
          <w:sz w:val="28"/>
          <w:szCs w:val="28"/>
        </w:rPr>
        <w:t>cm</w:t>
      </w:r>
    </w:p>
    <w:p w:rsidR="00F42FFB" w:rsidRPr="00F42FFB" w:rsidRDefault="00F42FFB" w:rsidP="006A7CCA">
      <w:pPr>
        <w:spacing w:line="360" w:lineRule="auto"/>
        <w:rPr>
          <w:rFonts w:ascii="Arial" w:hAnsi="Arial" w:cs="Arial"/>
          <w:sz w:val="28"/>
          <w:szCs w:val="28"/>
        </w:rPr>
      </w:pPr>
      <w:r w:rsidRPr="00F42FFB">
        <w:rPr>
          <w:rFonts w:ascii="Arial" w:hAnsi="Arial" w:cs="Arial"/>
          <w:sz w:val="28"/>
          <w:szCs w:val="28"/>
        </w:rPr>
        <w:tab/>
      </w:r>
      <w:r w:rsidRPr="00F42FFB">
        <w:rPr>
          <w:rFonts w:ascii="Arial" w:hAnsi="Arial" w:cs="Arial"/>
          <w:sz w:val="28"/>
          <w:szCs w:val="28"/>
        </w:rPr>
        <w:tab/>
        <w:t>Width at opening: 11cm</w:t>
      </w:r>
    </w:p>
    <w:p w:rsidR="007B0510" w:rsidRDefault="007B0510" w:rsidP="007B0510">
      <w:pPr>
        <w:rPr>
          <w:rFonts w:ascii="Arial" w:hAnsi="Arial" w:cs="Arial"/>
        </w:rPr>
      </w:pPr>
      <w:r w:rsidRPr="007B0510">
        <w:rPr>
          <w:rFonts w:ascii="Arial" w:hAnsi="Arial" w:cs="Arial"/>
          <w:sz w:val="28"/>
          <w:szCs w:val="28"/>
          <w:u w:val="single"/>
        </w:rPr>
        <w:t>Object analysis by</w:t>
      </w:r>
      <w:r>
        <w:rPr>
          <w:rFonts w:ascii="Arial" w:hAnsi="Arial" w:cs="Arial"/>
        </w:rPr>
        <w:t xml:space="preserve"> </w:t>
      </w:r>
      <w:proofErr w:type="spellStart"/>
      <w:r w:rsidRPr="007B0510">
        <w:rPr>
          <w:rFonts w:ascii="Arial" w:hAnsi="Arial" w:cs="Arial"/>
          <w:sz w:val="28"/>
          <w:szCs w:val="28"/>
        </w:rPr>
        <w:t>Broyan</w:t>
      </w:r>
      <w:proofErr w:type="spellEnd"/>
      <w:r w:rsidRPr="007B0510">
        <w:rPr>
          <w:rFonts w:ascii="Arial" w:hAnsi="Arial" w:cs="Arial"/>
          <w:sz w:val="28"/>
          <w:szCs w:val="28"/>
        </w:rPr>
        <w:t xml:space="preserve"> </w:t>
      </w:r>
      <w:proofErr w:type="spellStart"/>
      <w:r w:rsidRPr="007B0510">
        <w:rPr>
          <w:rFonts w:ascii="Arial" w:hAnsi="Arial" w:cs="Arial"/>
          <w:sz w:val="28"/>
          <w:szCs w:val="28"/>
        </w:rPr>
        <w:t>Dymond</w:t>
      </w:r>
      <w:proofErr w:type="spellEnd"/>
    </w:p>
    <w:p w:rsidR="00F42FFB" w:rsidRPr="00567841" w:rsidRDefault="00F42FFB" w:rsidP="006A7CCA">
      <w:pPr>
        <w:spacing w:line="360" w:lineRule="auto"/>
        <w:rPr>
          <w:rFonts w:ascii="Arial" w:hAnsi="Arial" w:cs="Arial"/>
          <w:sz w:val="28"/>
          <w:szCs w:val="28"/>
          <w:u w:val="single"/>
        </w:rPr>
      </w:pPr>
      <w:r w:rsidRPr="00567841">
        <w:rPr>
          <w:rFonts w:ascii="Arial" w:hAnsi="Arial" w:cs="Arial"/>
          <w:sz w:val="28"/>
          <w:szCs w:val="28"/>
          <w:u w:val="single"/>
        </w:rPr>
        <w:lastRenderedPageBreak/>
        <w:t>Description</w:t>
      </w:r>
    </w:p>
    <w:p w:rsidR="0059602D" w:rsidRDefault="00206D5E" w:rsidP="006A7CCA">
      <w:pPr>
        <w:spacing w:line="360" w:lineRule="auto"/>
        <w:rPr>
          <w:rFonts w:ascii="Arial" w:hAnsi="Arial" w:cs="Arial"/>
          <w:sz w:val="28"/>
          <w:szCs w:val="28"/>
        </w:rPr>
      </w:pPr>
      <w:r>
        <w:rPr>
          <w:rFonts w:ascii="Arial" w:hAnsi="Arial" w:cs="Arial"/>
          <w:sz w:val="28"/>
          <w:szCs w:val="28"/>
        </w:rPr>
        <w:t>This is a large ovoid jar</w:t>
      </w:r>
      <w:sdt>
        <w:sdtPr>
          <w:rPr>
            <w:rFonts w:ascii="Arial" w:hAnsi="Arial" w:cs="Arial"/>
            <w:sz w:val="28"/>
            <w:szCs w:val="28"/>
          </w:rPr>
          <w:id w:val="-2125224431"/>
          <w:citation/>
        </w:sdtPr>
        <w:sdtEndPr/>
        <w:sdtContent>
          <w:r w:rsidR="008768EA">
            <w:rPr>
              <w:rFonts w:ascii="Arial" w:hAnsi="Arial" w:cs="Arial"/>
              <w:sz w:val="28"/>
              <w:szCs w:val="28"/>
            </w:rPr>
            <w:fldChar w:fldCharType="begin"/>
          </w:r>
          <w:r w:rsidR="008768EA">
            <w:rPr>
              <w:rFonts w:ascii="Arial" w:hAnsi="Arial" w:cs="Arial"/>
              <w:sz w:val="28"/>
              <w:szCs w:val="28"/>
            </w:rPr>
            <w:instrText xml:space="preserve">CITATION Ann09 \p 4,5 \l 2057 </w:instrText>
          </w:r>
          <w:r w:rsidR="008768EA">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(Wodzińska, 2009, pp. 4,5)</w:t>
          </w:r>
          <w:r w:rsidR="008768EA">
            <w:rPr>
              <w:rFonts w:ascii="Arial" w:hAnsi="Arial" w:cs="Arial"/>
              <w:sz w:val="28"/>
              <w:szCs w:val="28"/>
            </w:rPr>
            <w:fldChar w:fldCharType="end"/>
          </w:r>
        </w:sdtContent>
      </w:sdt>
      <w:r>
        <w:rPr>
          <w:rFonts w:ascii="Arial" w:hAnsi="Arial" w:cs="Arial"/>
          <w:sz w:val="28"/>
          <w:szCs w:val="28"/>
        </w:rPr>
        <w:t xml:space="preserve">, well preserved for its estimated age. </w:t>
      </w:r>
      <w:r w:rsidR="0059602D">
        <w:rPr>
          <w:rFonts w:ascii="Arial" w:hAnsi="Arial" w:cs="Arial"/>
          <w:sz w:val="28"/>
          <w:szCs w:val="28"/>
        </w:rPr>
        <w:t xml:space="preserve">It is difficult to date the jar from visual inspection alone and therefore comparison with other finds can provide more information about its date. </w:t>
      </w:r>
    </w:p>
    <w:p w:rsidR="003E4EB2" w:rsidRDefault="00206D5E" w:rsidP="006A7CCA">
      <w:pPr>
        <w:spacing w:line="360" w:lineRule="auto"/>
        <w:rPr>
          <w:rFonts w:ascii="Arial" w:hAnsi="Arial" w:cs="Arial"/>
          <w:sz w:val="28"/>
          <w:szCs w:val="28"/>
        </w:rPr>
      </w:pPr>
      <w:r>
        <w:rPr>
          <w:rFonts w:ascii="Arial" w:hAnsi="Arial" w:cs="Arial"/>
          <w:sz w:val="28"/>
          <w:szCs w:val="28"/>
        </w:rPr>
        <w:t xml:space="preserve">The top part of the jar has a slight curve and a small lip. </w:t>
      </w:r>
      <w:r w:rsidR="003E4EB2">
        <w:rPr>
          <w:rFonts w:ascii="Arial" w:hAnsi="Arial" w:cs="Arial"/>
          <w:sz w:val="28"/>
          <w:szCs w:val="28"/>
        </w:rPr>
        <w:t xml:space="preserve">According to the typology suggested by </w:t>
      </w:r>
      <w:proofErr w:type="spellStart"/>
      <w:r w:rsidR="003E4EB2">
        <w:rPr>
          <w:rFonts w:ascii="Arial" w:hAnsi="Arial" w:cs="Arial"/>
          <w:sz w:val="28"/>
          <w:szCs w:val="28"/>
        </w:rPr>
        <w:t>Wodzinska</w:t>
      </w:r>
      <w:proofErr w:type="spellEnd"/>
      <w:r w:rsidR="00362B7A">
        <w:rPr>
          <w:rFonts w:ascii="Arial" w:hAnsi="Arial" w:cs="Arial"/>
          <w:sz w:val="28"/>
          <w:szCs w:val="28"/>
        </w:rPr>
        <w:t xml:space="preserve"> (2009:6) this vessel fits with type J7. The base of the jar is rounded as was the usual design at the time </w:t>
      </w:r>
      <w:sdt>
        <w:sdtPr>
          <w:rPr>
            <w:rFonts w:ascii="Arial" w:hAnsi="Arial" w:cs="Arial"/>
            <w:sz w:val="28"/>
            <w:szCs w:val="28"/>
          </w:rPr>
          <w:id w:val="1427386114"/>
          <w:citation/>
        </w:sdtPr>
        <w:sdtEndPr/>
        <w:sdtContent>
          <w:r w:rsidR="00362B7A">
            <w:rPr>
              <w:rFonts w:ascii="Arial" w:hAnsi="Arial" w:cs="Arial"/>
              <w:sz w:val="28"/>
              <w:szCs w:val="28"/>
            </w:rPr>
            <w:fldChar w:fldCharType="begin"/>
          </w:r>
          <w:r w:rsidR="00362B7A">
            <w:rPr>
              <w:rFonts w:ascii="Arial" w:hAnsi="Arial" w:cs="Arial"/>
              <w:sz w:val="28"/>
              <w:szCs w:val="28"/>
            </w:rPr>
            <w:instrText xml:space="preserve">CITATION Ann09 \p 5 \l 2057 </w:instrText>
          </w:r>
          <w:r w:rsidR="00362B7A">
            <w:rPr>
              <w:rFonts w:ascii="Arial" w:hAnsi="Arial" w:cs="Arial"/>
              <w:sz w:val="28"/>
              <w:szCs w:val="28"/>
            </w:rPr>
            <w:fldChar w:fldCharType="separate"/>
          </w:r>
          <w:r w:rsidR="00D72E5B" w:rsidRPr="00D72E5B">
            <w:rPr>
              <w:rFonts w:ascii="Arial" w:hAnsi="Arial" w:cs="Arial"/>
              <w:noProof/>
              <w:sz w:val="28"/>
              <w:szCs w:val="28"/>
            </w:rPr>
            <w:t>(Wodzińska, 2009, p. 5)</w:t>
          </w:r>
          <w:r w:rsidR="00362B7A">
            <w:rPr>
              <w:rFonts w:ascii="Arial" w:hAnsi="Arial" w:cs="Arial"/>
              <w:sz w:val="28"/>
              <w:szCs w:val="28"/>
            </w:rPr>
            <w:fldChar w:fldCharType="end"/>
          </w:r>
        </w:sdtContent>
      </w:sdt>
      <w:r w:rsidR="00ED5C8C">
        <w:rPr>
          <w:rFonts w:ascii="Arial" w:hAnsi="Arial" w:cs="Arial"/>
          <w:sz w:val="28"/>
          <w:szCs w:val="28"/>
        </w:rPr>
        <w:t>.</w:t>
      </w:r>
    </w:p>
    <w:p w:rsidR="00D82CEB" w:rsidRDefault="00206D5E" w:rsidP="006A7CCA">
      <w:pPr>
        <w:spacing w:line="360" w:lineRule="auto"/>
        <w:rPr>
          <w:rFonts w:ascii="Arial" w:hAnsi="Arial" w:cs="Arial"/>
          <w:sz w:val="28"/>
          <w:szCs w:val="28"/>
        </w:rPr>
      </w:pPr>
      <w:r>
        <w:rPr>
          <w:rFonts w:ascii="Arial" w:hAnsi="Arial" w:cs="Arial"/>
          <w:sz w:val="28"/>
          <w:szCs w:val="28"/>
        </w:rPr>
        <w:t>A little over half of the jar, at the base, is covered in residue. It is an example of Egyptian clay pottery</w:t>
      </w:r>
      <w:sdt>
        <w:sdtPr>
          <w:rPr>
            <w:rFonts w:ascii="Arial" w:hAnsi="Arial" w:cs="Arial"/>
            <w:sz w:val="28"/>
            <w:szCs w:val="28"/>
          </w:rPr>
          <w:id w:val="143938069"/>
          <w:citation/>
        </w:sdtPr>
        <w:sdtEndPr/>
        <w:sdtContent>
          <w:r w:rsidR="008768EA">
            <w:rPr>
              <w:rFonts w:ascii="Arial" w:hAnsi="Arial" w:cs="Arial"/>
              <w:sz w:val="28"/>
              <w:szCs w:val="28"/>
            </w:rPr>
            <w:fldChar w:fldCharType="begin"/>
          </w:r>
          <w:r w:rsidR="008768EA">
            <w:rPr>
              <w:rFonts w:ascii="Arial" w:hAnsi="Arial" w:cs="Arial"/>
              <w:sz w:val="28"/>
              <w:szCs w:val="28"/>
            </w:rPr>
            <w:instrText xml:space="preserve"> CITATION Ann09 \l 2057 </w:instrText>
          </w:r>
          <w:r w:rsidR="008768EA">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(Wodzińska, 2009)</w:t>
          </w:r>
          <w:r w:rsidR="008768EA">
            <w:rPr>
              <w:rFonts w:ascii="Arial" w:hAnsi="Arial" w:cs="Arial"/>
              <w:sz w:val="28"/>
              <w:szCs w:val="28"/>
            </w:rPr>
            <w:fldChar w:fldCharType="end"/>
          </w:r>
        </w:sdtContent>
      </w:sdt>
      <w:r>
        <w:rPr>
          <w:rFonts w:ascii="Arial" w:hAnsi="Arial" w:cs="Arial"/>
          <w:sz w:val="28"/>
          <w:szCs w:val="28"/>
        </w:rPr>
        <w:t>. There are two types, t</w:t>
      </w:r>
      <w:r w:rsidR="00D741AD">
        <w:rPr>
          <w:rFonts w:ascii="Arial" w:hAnsi="Arial" w:cs="Arial"/>
          <w:sz w:val="28"/>
          <w:szCs w:val="28"/>
        </w:rPr>
        <w:t>h</w:t>
      </w:r>
      <w:r>
        <w:rPr>
          <w:rFonts w:ascii="Arial" w:hAnsi="Arial" w:cs="Arial"/>
          <w:sz w:val="28"/>
          <w:szCs w:val="28"/>
        </w:rPr>
        <w:t>is can tell us wher</w:t>
      </w:r>
      <w:r w:rsidR="00D741AD">
        <w:rPr>
          <w:rFonts w:ascii="Arial" w:hAnsi="Arial" w:cs="Arial"/>
          <w:sz w:val="28"/>
          <w:szCs w:val="28"/>
        </w:rPr>
        <w:t xml:space="preserve">e the jars were produced. Nile silt pottery is a darker, reddish colour and it is found on the banks of the Nile. This jar is lighter in colour, therefore it is made from marl clay or desert clay, thought to have originated from somewhere along the valley from </w:t>
      </w:r>
      <w:proofErr w:type="spellStart"/>
      <w:r w:rsidR="00D741AD">
        <w:rPr>
          <w:rFonts w:ascii="Arial" w:hAnsi="Arial" w:cs="Arial"/>
          <w:sz w:val="28"/>
          <w:szCs w:val="28"/>
        </w:rPr>
        <w:t>Esna</w:t>
      </w:r>
      <w:proofErr w:type="spellEnd"/>
      <w:r w:rsidR="00D741AD">
        <w:rPr>
          <w:rFonts w:ascii="Arial" w:hAnsi="Arial" w:cs="Arial"/>
          <w:sz w:val="28"/>
          <w:szCs w:val="28"/>
        </w:rPr>
        <w:t xml:space="preserve"> to Cairo</w:t>
      </w:r>
      <w:r w:rsidR="00362B7A">
        <w:rPr>
          <w:rFonts w:ascii="Arial" w:hAnsi="Arial" w:cs="Arial"/>
          <w:sz w:val="28"/>
          <w:szCs w:val="28"/>
        </w:rPr>
        <w:t xml:space="preserve"> at the edges of the Nile Delta</w:t>
      </w:r>
      <w:sdt>
        <w:sdtPr>
          <w:rPr>
            <w:rFonts w:ascii="Arial" w:hAnsi="Arial" w:cs="Arial"/>
            <w:sz w:val="28"/>
            <w:szCs w:val="28"/>
          </w:rPr>
          <w:id w:val="-898430799"/>
          <w:citation/>
        </w:sdtPr>
        <w:sdtEndPr/>
        <w:sdtContent>
          <w:r w:rsidR="00362B7A">
            <w:rPr>
              <w:rFonts w:ascii="Arial" w:hAnsi="Arial" w:cs="Arial"/>
              <w:sz w:val="28"/>
              <w:szCs w:val="28"/>
            </w:rPr>
            <w:fldChar w:fldCharType="begin"/>
          </w:r>
          <w:r w:rsidR="006A7CCA">
            <w:rPr>
              <w:rFonts w:ascii="Arial" w:hAnsi="Arial" w:cs="Arial"/>
              <w:sz w:val="28"/>
              <w:szCs w:val="28"/>
            </w:rPr>
            <w:instrText xml:space="preserve">CITATION Fin17 \p 2 \l 2057 </w:instrText>
          </w:r>
          <w:r w:rsidR="00362B7A">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(Finch**, 2017, p. 2)</w:t>
          </w:r>
          <w:r w:rsidR="00362B7A">
            <w:rPr>
              <w:rFonts w:ascii="Arial" w:hAnsi="Arial" w:cs="Arial"/>
              <w:sz w:val="28"/>
              <w:szCs w:val="28"/>
            </w:rPr>
            <w:fldChar w:fldCharType="end"/>
          </w:r>
        </w:sdtContent>
      </w:sdt>
      <w:r w:rsidR="00D741AD" w:rsidRPr="00D741AD">
        <w:rPr>
          <w:rFonts w:ascii="Arial" w:hAnsi="Arial" w:cs="Arial"/>
          <w:sz w:val="28"/>
          <w:szCs w:val="28"/>
        </w:rPr>
        <w:t>.</w:t>
      </w:r>
      <w:r w:rsidR="008873EB">
        <w:rPr>
          <w:rFonts w:ascii="Arial" w:hAnsi="Arial" w:cs="Arial"/>
          <w:sz w:val="28"/>
          <w:szCs w:val="28"/>
        </w:rPr>
        <w:t xml:space="preserve"> A similar</w:t>
      </w:r>
      <w:r w:rsidR="0059602D">
        <w:rPr>
          <w:rFonts w:ascii="Arial" w:hAnsi="Arial" w:cs="Arial"/>
          <w:sz w:val="28"/>
          <w:szCs w:val="28"/>
        </w:rPr>
        <w:t xml:space="preserve"> jar can be seen in the Liverpool Museums collection, dating back to </w:t>
      </w:r>
      <w:r w:rsidR="0059602D" w:rsidRPr="0059602D">
        <w:rPr>
          <w:rFonts w:ascii="Arial" w:hAnsi="Arial" w:cs="Arial"/>
          <w:sz w:val="28"/>
          <w:szCs w:val="28"/>
        </w:rPr>
        <w:t>2181BC-1976BC</w:t>
      </w:r>
      <w:r w:rsidR="0059602D">
        <w:rPr>
          <w:rFonts w:ascii="Arial" w:hAnsi="Arial" w:cs="Arial"/>
          <w:sz w:val="28"/>
          <w:szCs w:val="28"/>
        </w:rPr>
        <w:t xml:space="preserve"> </w:t>
      </w:r>
      <w:sdt>
        <w:sdtPr>
          <w:rPr>
            <w:rFonts w:ascii="Arial" w:hAnsi="Arial" w:cs="Arial"/>
            <w:sz w:val="28"/>
            <w:szCs w:val="28"/>
          </w:rPr>
          <w:id w:val="-813557005"/>
          <w:citation/>
        </w:sdtPr>
        <w:sdtEndPr/>
        <w:sdtContent>
          <w:r w:rsidR="0059602D">
            <w:rPr>
              <w:rFonts w:ascii="Arial" w:hAnsi="Arial" w:cs="Arial"/>
              <w:sz w:val="28"/>
              <w:szCs w:val="28"/>
            </w:rPr>
            <w:fldChar w:fldCharType="begin"/>
          </w:r>
          <w:r w:rsidR="0059602D">
            <w:rPr>
              <w:rFonts w:ascii="Arial" w:hAnsi="Arial" w:cs="Arial"/>
              <w:sz w:val="28"/>
              <w:szCs w:val="28"/>
            </w:rPr>
            <w:instrText xml:space="preserve"> CITATION Liv19 \l 2057 </w:instrText>
          </w:r>
          <w:r w:rsidR="0059602D">
            <w:rPr>
              <w:rFonts w:ascii="Arial" w:hAnsi="Arial" w:cs="Arial"/>
              <w:sz w:val="28"/>
              <w:szCs w:val="28"/>
            </w:rPr>
            <w:fldChar w:fldCharType="separate"/>
          </w:r>
          <w:r w:rsidR="00D72E5B" w:rsidRPr="00D72E5B">
            <w:rPr>
              <w:rFonts w:ascii="Arial" w:hAnsi="Arial" w:cs="Arial"/>
              <w:noProof/>
              <w:sz w:val="28"/>
              <w:szCs w:val="28"/>
            </w:rPr>
            <w:t>(Liverpoolmuseums, 2019)</w:t>
          </w:r>
          <w:r w:rsidR="0059602D">
            <w:rPr>
              <w:rFonts w:ascii="Arial" w:hAnsi="Arial" w:cs="Arial"/>
              <w:sz w:val="28"/>
              <w:szCs w:val="28"/>
            </w:rPr>
            <w:fldChar w:fldCharType="end"/>
          </w:r>
        </w:sdtContent>
      </w:sdt>
      <w:r w:rsidR="0059602D">
        <w:rPr>
          <w:rFonts w:ascii="Arial" w:hAnsi="Arial" w:cs="Arial"/>
          <w:sz w:val="28"/>
          <w:szCs w:val="28"/>
        </w:rPr>
        <w:t>.</w:t>
      </w:r>
    </w:p>
    <w:p w:rsidR="008873EB" w:rsidRDefault="008873EB" w:rsidP="006A7CCA">
      <w:pPr>
        <w:spacing w:line="360" w:lineRule="auto"/>
        <w:rPr>
          <w:rFonts w:ascii="Arial" w:hAnsi="Arial" w:cs="Arial"/>
          <w:sz w:val="28"/>
          <w:szCs w:val="28"/>
        </w:rPr>
      </w:pPr>
      <w:r>
        <w:rPr>
          <w:rFonts w:ascii="Arial" w:hAnsi="Arial" w:cs="Arial"/>
          <w:sz w:val="28"/>
          <w:szCs w:val="28"/>
        </w:rPr>
        <w:t>It has been described as a beer jar in the catalogue but there is no evidence of the original contents. It is possible it may have been used to transport liquids, for example, olive oil, water and beer</w:t>
      </w:r>
      <w:sdt>
        <w:sdtPr>
          <w:rPr>
            <w:rFonts w:ascii="Arial" w:hAnsi="Arial" w:cs="Arial"/>
            <w:sz w:val="28"/>
            <w:szCs w:val="28"/>
          </w:rPr>
          <w:id w:val="1884523575"/>
          <w:citation/>
        </w:sdtPr>
        <w:sdtEndPr/>
        <w:sdtContent>
          <w:r w:rsidR="00362B7A">
            <w:rPr>
              <w:rFonts w:ascii="Arial" w:hAnsi="Arial" w:cs="Arial"/>
              <w:sz w:val="28"/>
              <w:szCs w:val="28"/>
            </w:rPr>
            <w:fldChar w:fldCharType="begin"/>
          </w:r>
          <w:r w:rsidR="006A7CCA">
            <w:rPr>
              <w:rFonts w:ascii="Arial" w:hAnsi="Arial" w:cs="Arial"/>
              <w:sz w:val="28"/>
              <w:szCs w:val="28"/>
            </w:rPr>
            <w:instrText xml:space="preserve">CITATION Fin17 \p 2 \l 2057 </w:instrText>
          </w:r>
          <w:r w:rsidR="00362B7A">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(Finch**, 2017, p. 2)</w:t>
          </w:r>
          <w:r w:rsidR="00362B7A">
            <w:rPr>
              <w:rFonts w:ascii="Arial" w:hAnsi="Arial" w:cs="Arial"/>
              <w:sz w:val="28"/>
              <w:szCs w:val="28"/>
            </w:rPr>
            <w:fldChar w:fldCharType="end"/>
          </w:r>
        </w:sdtContent>
      </w:sdt>
      <w:r>
        <w:rPr>
          <w:rFonts w:ascii="Arial" w:hAnsi="Arial" w:cs="Arial"/>
          <w:sz w:val="28"/>
          <w:szCs w:val="28"/>
        </w:rPr>
        <w:t xml:space="preserve">. One theory is that it was used to hold beer, as the origin of beer drinking was at around the same time as the possible dates of the jar </w:t>
      </w:r>
      <w:sdt>
        <w:sdtPr>
          <w:rPr>
            <w:rFonts w:ascii="Arial" w:hAnsi="Arial" w:cs="Arial"/>
            <w:sz w:val="28"/>
            <w:szCs w:val="28"/>
          </w:rPr>
          <w:id w:val="-1541581937"/>
          <w:citation/>
        </w:sdtPr>
        <w:sdtEndPr/>
        <w:sdtContent>
          <w:r>
            <w:rPr>
              <w:rFonts w:ascii="Arial" w:hAnsi="Arial" w:cs="Arial"/>
              <w:sz w:val="28"/>
              <w:szCs w:val="28"/>
            </w:rPr>
            <w:fldChar w:fldCharType="begin"/>
          </w:r>
          <w:r>
            <w:rPr>
              <w:rFonts w:ascii="Arial" w:hAnsi="Arial" w:cs="Arial"/>
              <w:sz w:val="28"/>
              <w:szCs w:val="28"/>
            </w:rPr>
            <w:instrText xml:space="preserve"> CITATION Car13 \l 2057 </w:instrText>
          </w:r>
          <w:r>
            <w:rPr>
              <w:rFonts w:ascii="Arial" w:hAnsi="Arial" w:cs="Arial"/>
              <w:sz w:val="28"/>
              <w:szCs w:val="28"/>
            </w:rPr>
            <w:fldChar w:fldCharType="separate"/>
          </w:r>
          <w:r w:rsidR="00D72E5B" w:rsidRPr="00D72E5B">
            <w:rPr>
              <w:rFonts w:ascii="Arial" w:hAnsi="Arial" w:cs="Arial"/>
              <w:noProof/>
              <w:sz w:val="28"/>
              <w:szCs w:val="28"/>
            </w:rPr>
            <w:t>(Seawright, 2013)</w:t>
          </w:r>
          <w:r>
            <w:rPr>
              <w:rFonts w:ascii="Arial" w:hAnsi="Arial" w:cs="Arial"/>
              <w:sz w:val="28"/>
              <w:szCs w:val="28"/>
            </w:rPr>
            <w:fldChar w:fldCharType="end"/>
          </w:r>
        </w:sdtContent>
      </w:sdt>
      <w:r>
        <w:rPr>
          <w:rFonts w:ascii="Arial" w:hAnsi="Arial" w:cs="Arial"/>
          <w:sz w:val="28"/>
          <w:szCs w:val="28"/>
        </w:rPr>
        <w:t>.</w:t>
      </w:r>
      <w:r w:rsidR="004D5490">
        <w:rPr>
          <w:rFonts w:ascii="Arial" w:hAnsi="Arial" w:cs="Arial"/>
          <w:sz w:val="28"/>
          <w:szCs w:val="28"/>
        </w:rPr>
        <w:t xml:space="preserve"> One</w:t>
      </w:r>
      <w:r w:rsidR="00ED5C8C">
        <w:rPr>
          <w:rFonts w:ascii="Arial" w:hAnsi="Arial" w:cs="Arial"/>
          <w:sz w:val="28"/>
          <w:szCs w:val="28"/>
        </w:rPr>
        <w:t xml:space="preserve"> suggestion</w:t>
      </w:r>
      <w:r w:rsidR="004D5490">
        <w:rPr>
          <w:rFonts w:ascii="Arial" w:hAnsi="Arial" w:cs="Arial"/>
          <w:sz w:val="28"/>
          <w:szCs w:val="28"/>
        </w:rPr>
        <w:t xml:space="preserve"> is that the sediment on the outside of the jar is possibly beer as it is ‘yeasty’ in appearance. However, without scientifically </w:t>
      </w:r>
      <w:r w:rsidR="004D5490">
        <w:rPr>
          <w:rFonts w:ascii="Arial" w:hAnsi="Arial" w:cs="Arial"/>
          <w:sz w:val="28"/>
          <w:szCs w:val="28"/>
        </w:rPr>
        <w:lastRenderedPageBreak/>
        <w:t>testing</w:t>
      </w:r>
      <w:r w:rsidR="00CB68A1">
        <w:rPr>
          <w:rFonts w:ascii="Arial" w:hAnsi="Arial" w:cs="Arial"/>
          <w:sz w:val="28"/>
          <w:szCs w:val="28"/>
        </w:rPr>
        <w:t xml:space="preserve"> (using a mass spectrometer</w:t>
      </w:r>
      <w:sdt>
        <w:sdtPr>
          <w:rPr>
            <w:rFonts w:ascii="Arial" w:hAnsi="Arial" w:cs="Arial"/>
            <w:sz w:val="28"/>
            <w:szCs w:val="28"/>
          </w:rPr>
          <w:id w:val="1929155115"/>
          <w:citation/>
        </w:sdtPr>
        <w:sdtEndPr/>
        <w:sdtContent>
          <w:r w:rsidR="00CB68A1">
            <w:rPr>
              <w:rFonts w:ascii="Arial" w:hAnsi="Arial" w:cs="Arial"/>
              <w:sz w:val="28"/>
              <w:szCs w:val="28"/>
            </w:rPr>
            <w:fldChar w:fldCharType="begin"/>
          </w:r>
          <w:r w:rsidR="006A7CCA">
            <w:rPr>
              <w:rFonts w:ascii="Arial" w:hAnsi="Arial" w:cs="Arial"/>
              <w:sz w:val="28"/>
              <w:szCs w:val="28"/>
            </w:rPr>
            <w:instrText xml:space="preserve">CITATION Fin17 \p 2 \l 2057 </w:instrText>
          </w:r>
          <w:r w:rsidR="00CB68A1">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(Finch**, 2017, p. 2)</w:t>
          </w:r>
          <w:r w:rsidR="00CB68A1">
            <w:rPr>
              <w:rFonts w:ascii="Arial" w:hAnsi="Arial" w:cs="Arial"/>
              <w:sz w:val="28"/>
              <w:szCs w:val="28"/>
            </w:rPr>
            <w:fldChar w:fldCharType="end"/>
          </w:r>
        </w:sdtContent>
      </w:sdt>
      <w:r w:rsidR="00CB68A1">
        <w:rPr>
          <w:rFonts w:ascii="Arial" w:hAnsi="Arial" w:cs="Arial"/>
          <w:sz w:val="28"/>
          <w:szCs w:val="28"/>
        </w:rPr>
        <w:t>)</w:t>
      </w:r>
      <w:r w:rsidR="004D5490">
        <w:rPr>
          <w:rFonts w:ascii="Arial" w:hAnsi="Arial" w:cs="Arial"/>
          <w:sz w:val="28"/>
          <w:szCs w:val="28"/>
        </w:rPr>
        <w:t xml:space="preserve"> there is no way to know this, but </w:t>
      </w:r>
      <w:r w:rsidR="00ED5C8C">
        <w:rPr>
          <w:rFonts w:ascii="Arial" w:hAnsi="Arial" w:cs="Arial"/>
          <w:sz w:val="28"/>
          <w:szCs w:val="28"/>
        </w:rPr>
        <w:t>it may be</w:t>
      </w:r>
      <w:r w:rsidR="004D5490">
        <w:rPr>
          <w:rFonts w:ascii="Arial" w:hAnsi="Arial" w:cs="Arial"/>
          <w:sz w:val="28"/>
          <w:szCs w:val="28"/>
        </w:rPr>
        <w:t xml:space="preserve"> that this is why it was described as a beer jar.</w:t>
      </w:r>
    </w:p>
    <w:p w:rsidR="00D76C94" w:rsidRDefault="004242F2" w:rsidP="006A7CCA">
      <w:pPr>
        <w:spacing w:line="360" w:lineRule="auto"/>
        <w:rPr>
          <w:rFonts w:ascii="Arial" w:hAnsi="Arial" w:cs="Arial"/>
          <w:sz w:val="28"/>
          <w:szCs w:val="28"/>
        </w:rPr>
      </w:pPr>
      <w:r w:rsidRPr="004242F2">
        <w:rPr>
          <w:rFonts w:ascii="Arial" w:hAnsi="Arial" w:cs="Arial"/>
          <w:sz w:val="28"/>
          <w:szCs w:val="28"/>
        </w:rPr>
        <w:t>Beer was import</w:t>
      </w:r>
      <w:r>
        <w:rPr>
          <w:rFonts w:ascii="Arial" w:hAnsi="Arial" w:cs="Arial"/>
          <w:sz w:val="28"/>
          <w:szCs w:val="28"/>
        </w:rPr>
        <w:t>ant</w:t>
      </w:r>
      <w:r w:rsidRPr="004242F2">
        <w:rPr>
          <w:rFonts w:ascii="Arial" w:hAnsi="Arial" w:cs="Arial"/>
          <w:sz w:val="28"/>
          <w:szCs w:val="28"/>
        </w:rPr>
        <w:t xml:space="preserve"> to </w:t>
      </w:r>
      <w:r w:rsidR="007372EA">
        <w:rPr>
          <w:rFonts w:ascii="Arial" w:hAnsi="Arial" w:cs="Arial"/>
          <w:sz w:val="28"/>
          <w:szCs w:val="28"/>
        </w:rPr>
        <w:t>A</w:t>
      </w:r>
      <w:r w:rsidRPr="004242F2">
        <w:rPr>
          <w:rFonts w:ascii="Arial" w:hAnsi="Arial" w:cs="Arial"/>
          <w:sz w:val="28"/>
          <w:szCs w:val="28"/>
        </w:rPr>
        <w:t>ncient Egyptians and enjoyed by both adults and children. It was their staple drink as the water from the Nile was not suitable to drink. There were offerings of beer made to their gods (Mark, 2017).</w:t>
      </w:r>
      <w:r w:rsidR="00CB68A1">
        <w:rPr>
          <w:rFonts w:ascii="Arial" w:hAnsi="Arial" w:cs="Arial"/>
          <w:sz w:val="28"/>
          <w:szCs w:val="28"/>
        </w:rPr>
        <w:t xml:space="preserve"> As the Egyptians required food and drink in their present life they also needed provisions for the afterlife as well because of their beliefs</w:t>
      </w:r>
      <w:sdt>
        <w:sdtPr>
          <w:rPr>
            <w:rFonts w:ascii="Arial" w:hAnsi="Arial" w:cs="Arial"/>
            <w:sz w:val="28"/>
            <w:szCs w:val="28"/>
          </w:rPr>
          <w:id w:val="-1839060524"/>
          <w:citation/>
        </w:sdtPr>
        <w:sdtEndPr/>
        <w:sdtContent>
          <w:r w:rsidR="00CB68A1">
            <w:rPr>
              <w:rFonts w:ascii="Arial" w:hAnsi="Arial" w:cs="Arial"/>
              <w:sz w:val="28"/>
              <w:szCs w:val="28"/>
            </w:rPr>
            <w:fldChar w:fldCharType="begin"/>
          </w:r>
          <w:r w:rsidR="00CB68A1">
            <w:rPr>
              <w:rFonts w:ascii="Arial" w:hAnsi="Arial" w:cs="Arial"/>
              <w:sz w:val="28"/>
              <w:szCs w:val="28"/>
            </w:rPr>
            <w:instrText xml:space="preserve">CITATION Joh01 \p 92 \l 2057 </w:instrText>
          </w:r>
          <w:r w:rsidR="00CB68A1">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(H.Taylor, 2001, p. 92)</w:t>
          </w:r>
          <w:r w:rsidR="00CB68A1">
            <w:rPr>
              <w:rFonts w:ascii="Arial" w:hAnsi="Arial" w:cs="Arial"/>
              <w:sz w:val="28"/>
              <w:szCs w:val="28"/>
            </w:rPr>
            <w:fldChar w:fldCharType="end"/>
          </w:r>
        </w:sdtContent>
      </w:sdt>
      <w:r w:rsidR="00CB68A1">
        <w:rPr>
          <w:rFonts w:ascii="Arial" w:hAnsi="Arial" w:cs="Arial"/>
          <w:sz w:val="28"/>
          <w:szCs w:val="28"/>
        </w:rPr>
        <w:t xml:space="preserve">. </w:t>
      </w:r>
      <w:r w:rsidR="00D76C94">
        <w:rPr>
          <w:rFonts w:ascii="Arial" w:hAnsi="Arial" w:cs="Arial"/>
          <w:sz w:val="28"/>
          <w:szCs w:val="28"/>
        </w:rPr>
        <w:t xml:space="preserve">Funerary goods such as jars of various sizes have been found in tombs in such places as Saqqara tomb 3503, where jars of provisions surrounded the coffin </w:t>
      </w:r>
      <w:sdt>
        <w:sdtPr>
          <w:rPr>
            <w:rFonts w:ascii="Arial" w:hAnsi="Arial" w:cs="Arial"/>
            <w:sz w:val="28"/>
            <w:szCs w:val="28"/>
          </w:rPr>
          <w:id w:val="58296282"/>
          <w:citation/>
        </w:sdtPr>
        <w:sdtEndPr/>
        <w:sdtContent>
          <w:r w:rsidR="00D76C94">
            <w:rPr>
              <w:rFonts w:ascii="Arial" w:hAnsi="Arial" w:cs="Arial"/>
              <w:sz w:val="28"/>
              <w:szCs w:val="28"/>
            </w:rPr>
            <w:fldChar w:fldCharType="begin"/>
          </w:r>
          <w:r w:rsidR="00D76C94">
            <w:rPr>
              <w:rFonts w:ascii="Arial" w:hAnsi="Arial" w:cs="Arial"/>
              <w:sz w:val="28"/>
              <w:szCs w:val="28"/>
            </w:rPr>
            <w:instrText xml:space="preserve">CITATION Wol03 \p 7-9 \l 2057 </w:instrText>
          </w:r>
          <w:r w:rsidR="00D76C94">
            <w:rPr>
              <w:rFonts w:ascii="Arial" w:hAnsi="Arial" w:cs="Arial"/>
              <w:sz w:val="28"/>
              <w:szCs w:val="28"/>
            </w:rPr>
            <w:fldChar w:fldCharType="separate"/>
          </w:r>
          <w:r w:rsidR="00D72E5B" w:rsidRPr="00D72E5B">
            <w:rPr>
              <w:rFonts w:ascii="Arial" w:hAnsi="Arial" w:cs="Arial"/>
              <w:noProof/>
              <w:sz w:val="28"/>
              <w:szCs w:val="28"/>
            </w:rPr>
            <w:t>(Grajetzki, 2003, pp. 7-9)</w:t>
          </w:r>
          <w:r w:rsidR="00D76C94">
            <w:rPr>
              <w:rFonts w:ascii="Arial" w:hAnsi="Arial" w:cs="Arial"/>
              <w:sz w:val="28"/>
              <w:szCs w:val="28"/>
            </w:rPr>
            <w:fldChar w:fldCharType="end"/>
          </w:r>
        </w:sdtContent>
      </w:sdt>
      <w:r w:rsidR="00D76C94">
        <w:rPr>
          <w:rFonts w:ascii="Arial" w:hAnsi="Arial" w:cs="Arial"/>
          <w:sz w:val="28"/>
          <w:szCs w:val="28"/>
        </w:rPr>
        <w:t xml:space="preserve">. </w:t>
      </w:r>
    </w:p>
    <w:p w:rsidR="000E5E54" w:rsidRDefault="000E5E54" w:rsidP="006A7CCA">
      <w:pPr>
        <w:spacing w:line="360" w:lineRule="auto"/>
        <w:rPr>
          <w:rFonts w:ascii="Arial" w:hAnsi="Arial" w:cs="Arial"/>
          <w:sz w:val="28"/>
          <w:szCs w:val="28"/>
        </w:rPr>
      </w:pPr>
    </w:p>
    <w:p w:rsidR="009D6FE3" w:rsidRDefault="00DC4F46" w:rsidP="006A7CCA">
      <w:pPr>
        <w:spacing w:line="360" w:lineRule="auto"/>
        <w:rPr>
          <w:rFonts w:ascii="Arial" w:hAnsi="Arial" w:cs="Arial"/>
          <w:sz w:val="28"/>
          <w:szCs w:val="28"/>
        </w:rPr>
      </w:pPr>
      <w:r>
        <w:rPr>
          <w:rFonts w:ascii="Arial" w:hAnsi="Arial" w:cs="Arial"/>
          <w:sz w:val="28"/>
          <w:szCs w:val="28"/>
        </w:rPr>
        <w:t xml:space="preserve">Funerary feasts took place throughout Egyptian history, the example is thought to be traced back to </w:t>
      </w:r>
      <w:r w:rsidR="007372EA">
        <w:rPr>
          <w:rFonts w:ascii="Arial" w:hAnsi="Arial" w:cs="Arial"/>
          <w:sz w:val="28"/>
          <w:szCs w:val="28"/>
        </w:rPr>
        <w:t xml:space="preserve">the </w:t>
      </w:r>
      <w:r>
        <w:rPr>
          <w:rFonts w:ascii="Arial" w:hAnsi="Arial" w:cs="Arial"/>
          <w:sz w:val="28"/>
          <w:szCs w:val="28"/>
        </w:rPr>
        <w:t xml:space="preserve">First </w:t>
      </w:r>
      <w:r w:rsidR="007372EA">
        <w:rPr>
          <w:rFonts w:ascii="Arial" w:hAnsi="Arial" w:cs="Arial"/>
          <w:sz w:val="28"/>
          <w:szCs w:val="28"/>
        </w:rPr>
        <w:t>D</w:t>
      </w:r>
      <w:r>
        <w:rPr>
          <w:rFonts w:ascii="Arial" w:hAnsi="Arial" w:cs="Arial"/>
          <w:sz w:val="28"/>
          <w:szCs w:val="28"/>
        </w:rPr>
        <w:t>ynasty burial customs (3000BC)</w:t>
      </w:r>
      <w:sdt>
        <w:sdtPr>
          <w:rPr>
            <w:rFonts w:ascii="Arial" w:hAnsi="Arial" w:cs="Arial"/>
            <w:sz w:val="28"/>
            <w:szCs w:val="28"/>
          </w:rPr>
          <w:id w:val="-174344209"/>
          <w:citation/>
        </w:sdtPr>
        <w:sdtEndPr/>
        <w:sdtContent>
          <w:r>
            <w:rPr>
              <w:rFonts w:ascii="Arial" w:hAnsi="Arial" w:cs="Arial"/>
              <w:sz w:val="28"/>
              <w:szCs w:val="28"/>
            </w:rPr>
            <w:fldChar w:fldCharType="begin"/>
          </w:r>
          <w:r>
            <w:rPr>
              <w:rFonts w:ascii="Arial" w:hAnsi="Arial" w:cs="Arial"/>
              <w:sz w:val="28"/>
              <w:szCs w:val="28"/>
            </w:rPr>
            <w:instrText xml:space="preserve">CITATION Wol03 \p 7 \l 2057 </w:instrText>
          </w:r>
          <w:r>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(Grajetzki, 2003, p. 7)</w:t>
          </w:r>
          <w:r>
            <w:rPr>
              <w:rFonts w:ascii="Arial" w:hAnsi="Arial" w:cs="Arial"/>
              <w:sz w:val="28"/>
              <w:szCs w:val="28"/>
            </w:rPr>
            <w:fldChar w:fldCharType="end"/>
          </w:r>
        </w:sdtContent>
      </w:sdt>
      <w:r>
        <w:rPr>
          <w:rFonts w:ascii="Arial" w:hAnsi="Arial" w:cs="Arial"/>
          <w:sz w:val="28"/>
          <w:szCs w:val="28"/>
        </w:rPr>
        <w:t xml:space="preserve">. </w:t>
      </w:r>
      <w:r w:rsidR="000E5E54">
        <w:rPr>
          <w:rFonts w:ascii="Arial" w:hAnsi="Arial" w:cs="Arial"/>
          <w:sz w:val="28"/>
          <w:szCs w:val="28"/>
        </w:rPr>
        <w:t>There was a social importance to the funerary feasts. This was a time when alliances and social relationships were built on and reinforced</w:t>
      </w:r>
      <w:sdt>
        <w:sdtPr>
          <w:rPr>
            <w:rFonts w:ascii="Arial" w:hAnsi="Arial" w:cs="Arial"/>
            <w:sz w:val="28"/>
            <w:szCs w:val="28"/>
          </w:rPr>
          <w:id w:val="260264902"/>
          <w:citation/>
        </w:sdtPr>
        <w:sdtEndPr/>
        <w:sdtContent>
          <w:r w:rsidR="000E5E54">
            <w:rPr>
              <w:rFonts w:ascii="Arial" w:hAnsi="Arial" w:cs="Arial"/>
              <w:sz w:val="28"/>
              <w:szCs w:val="28"/>
            </w:rPr>
            <w:fldChar w:fldCharType="begin"/>
          </w:r>
          <w:r w:rsidR="000E5E54">
            <w:rPr>
              <w:rFonts w:ascii="Arial" w:hAnsi="Arial" w:cs="Arial"/>
              <w:sz w:val="28"/>
              <w:szCs w:val="28"/>
            </w:rPr>
            <w:instrText xml:space="preserve">CITATION Geo \p 65 \l 2057 </w:instrText>
          </w:r>
          <w:r w:rsidR="000E5E54">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(Tassie, 2010, p. 65)</w:t>
          </w:r>
          <w:r w:rsidR="000E5E54">
            <w:rPr>
              <w:rFonts w:ascii="Arial" w:hAnsi="Arial" w:cs="Arial"/>
              <w:sz w:val="28"/>
              <w:szCs w:val="28"/>
            </w:rPr>
            <w:fldChar w:fldCharType="end"/>
          </w:r>
        </w:sdtContent>
      </w:sdt>
      <w:r w:rsidR="000E5E54">
        <w:rPr>
          <w:rFonts w:ascii="Arial" w:hAnsi="Arial" w:cs="Arial"/>
          <w:sz w:val="28"/>
          <w:szCs w:val="28"/>
        </w:rPr>
        <w:t xml:space="preserve">. </w:t>
      </w:r>
      <w:r w:rsidR="009D6FE3">
        <w:rPr>
          <w:rFonts w:ascii="Arial" w:hAnsi="Arial" w:cs="Arial"/>
          <w:sz w:val="28"/>
          <w:szCs w:val="28"/>
        </w:rPr>
        <w:t xml:space="preserve">Illustrations on tombs, such as that of </w:t>
      </w:r>
      <w:r w:rsidR="009D6FE3" w:rsidRPr="007372EA">
        <w:rPr>
          <w:rFonts w:ascii="Arial" w:hAnsi="Arial" w:cs="Arial"/>
          <w:sz w:val="28"/>
          <w:szCs w:val="28"/>
        </w:rPr>
        <w:t>Rameses</w:t>
      </w:r>
      <w:r w:rsidR="009D6FE3">
        <w:rPr>
          <w:rFonts w:ascii="Arial" w:hAnsi="Arial" w:cs="Arial"/>
          <w:sz w:val="28"/>
          <w:szCs w:val="28"/>
        </w:rPr>
        <w:t xml:space="preserve"> III, show preparations of bread and staple foods, ready for the passing into the afterlife</w:t>
      </w:r>
      <w:sdt>
        <w:sdtPr>
          <w:rPr>
            <w:rFonts w:ascii="Arial" w:hAnsi="Arial" w:cs="Arial"/>
            <w:sz w:val="28"/>
            <w:szCs w:val="28"/>
          </w:rPr>
          <w:id w:val="204765755"/>
          <w:citation/>
        </w:sdtPr>
        <w:sdtEndPr/>
        <w:sdtContent>
          <w:r w:rsidR="009D6FE3">
            <w:rPr>
              <w:rFonts w:ascii="Arial" w:hAnsi="Arial" w:cs="Arial"/>
              <w:sz w:val="28"/>
              <w:szCs w:val="28"/>
            </w:rPr>
            <w:fldChar w:fldCharType="begin"/>
          </w:r>
          <w:r w:rsidR="009D6FE3">
            <w:rPr>
              <w:rFonts w:ascii="Arial" w:hAnsi="Arial" w:cs="Arial"/>
              <w:sz w:val="28"/>
              <w:szCs w:val="28"/>
            </w:rPr>
            <w:instrText xml:space="preserve">CITATION Att17 \p 5 \l 2057 </w:instrText>
          </w:r>
          <w:r w:rsidR="009D6FE3">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(Attia, 2017, p. 5)</w:t>
          </w:r>
          <w:r w:rsidR="009D6FE3">
            <w:rPr>
              <w:rFonts w:ascii="Arial" w:hAnsi="Arial" w:cs="Arial"/>
              <w:sz w:val="28"/>
              <w:szCs w:val="28"/>
            </w:rPr>
            <w:fldChar w:fldCharType="end"/>
          </w:r>
        </w:sdtContent>
      </w:sdt>
      <w:r w:rsidR="009D6FE3">
        <w:rPr>
          <w:rFonts w:ascii="Arial" w:hAnsi="Arial" w:cs="Arial"/>
          <w:sz w:val="28"/>
          <w:szCs w:val="28"/>
        </w:rPr>
        <w:t xml:space="preserve">. </w:t>
      </w:r>
    </w:p>
    <w:p w:rsidR="008873EB" w:rsidRDefault="00932FE2" w:rsidP="006A7CCA">
      <w:pPr>
        <w:spacing w:line="360" w:lineRule="auto"/>
        <w:rPr>
          <w:rFonts w:ascii="Arial" w:hAnsi="Arial" w:cs="Arial"/>
          <w:sz w:val="28"/>
          <w:szCs w:val="28"/>
        </w:rPr>
      </w:pPr>
      <w:r>
        <w:rPr>
          <w:rFonts w:ascii="Arial" w:hAnsi="Arial" w:cs="Arial"/>
          <w:sz w:val="28"/>
          <w:szCs w:val="28"/>
        </w:rPr>
        <w:t>Ancient Egyptians believed that the body was essential for entry into the afterlife. Preparation of the body went through a number of steps towards mummification. The</w:t>
      </w:r>
      <w:r w:rsidR="007372EA">
        <w:rPr>
          <w:rFonts w:ascii="Arial" w:hAnsi="Arial" w:cs="Arial"/>
          <w:i/>
          <w:sz w:val="28"/>
          <w:szCs w:val="28"/>
        </w:rPr>
        <w:t xml:space="preserve"> </w:t>
      </w:r>
      <w:proofErr w:type="spellStart"/>
      <w:r w:rsidR="007372EA">
        <w:rPr>
          <w:rFonts w:ascii="Arial" w:hAnsi="Arial" w:cs="Arial"/>
          <w:i/>
          <w:sz w:val="28"/>
          <w:szCs w:val="28"/>
        </w:rPr>
        <w:t>k</w:t>
      </w:r>
      <w:r w:rsidRPr="00932FE2">
        <w:rPr>
          <w:rFonts w:ascii="Arial" w:hAnsi="Arial" w:cs="Arial"/>
          <w:i/>
          <w:sz w:val="28"/>
          <w:szCs w:val="28"/>
        </w:rPr>
        <w:t>a</w:t>
      </w:r>
      <w:proofErr w:type="spellEnd"/>
      <w:r>
        <w:rPr>
          <w:rFonts w:ascii="Arial" w:hAnsi="Arial" w:cs="Arial"/>
          <w:i/>
          <w:sz w:val="28"/>
          <w:szCs w:val="28"/>
        </w:rPr>
        <w:t xml:space="preserve"> </w:t>
      </w:r>
      <w:r w:rsidRPr="00932FE2">
        <w:rPr>
          <w:rFonts w:ascii="Arial" w:hAnsi="Arial" w:cs="Arial"/>
          <w:sz w:val="28"/>
          <w:szCs w:val="28"/>
        </w:rPr>
        <w:t>was a non-physical aspect of the person</w:t>
      </w:r>
      <w:r>
        <w:rPr>
          <w:rFonts w:ascii="Arial" w:hAnsi="Arial" w:cs="Arial"/>
          <w:i/>
          <w:sz w:val="28"/>
          <w:szCs w:val="28"/>
        </w:rPr>
        <w:t xml:space="preserve"> </w:t>
      </w:r>
      <w:r>
        <w:rPr>
          <w:rFonts w:ascii="Arial" w:hAnsi="Arial" w:cs="Arial"/>
          <w:sz w:val="28"/>
          <w:szCs w:val="28"/>
        </w:rPr>
        <w:t>(for example soul or spirit) and was thought to link all the generations of a family</w:t>
      </w:r>
      <w:sdt>
        <w:sdtPr>
          <w:rPr>
            <w:rFonts w:ascii="Arial" w:hAnsi="Arial" w:cs="Arial"/>
            <w:sz w:val="28"/>
            <w:szCs w:val="28"/>
          </w:rPr>
          <w:id w:val="1762177728"/>
          <w:citation/>
        </w:sdtPr>
        <w:sdtEndPr/>
        <w:sdtContent>
          <w:r>
            <w:rPr>
              <w:rFonts w:ascii="Arial" w:hAnsi="Arial" w:cs="Arial"/>
              <w:sz w:val="28"/>
              <w:szCs w:val="28"/>
            </w:rPr>
            <w:fldChar w:fldCharType="begin"/>
          </w:r>
          <w:r>
            <w:rPr>
              <w:rFonts w:ascii="Arial" w:hAnsi="Arial" w:cs="Arial"/>
              <w:sz w:val="28"/>
              <w:szCs w:val="28"/>
            </w:rPr>
            <w:instrText xml:space="preserve">CITATION Joh01 \p 16-19 \l 2057 </w:instrText>
          </w:r>
          <w:r>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(H.Taylor, 2001, pp. 16-19)</w:t>
          </w:r>
          <w:r>
            <w:rPr>
              <w:rFonts w:ascii="Arial" w:hAnsi="Arial" w:cs="Arial"/>
              <w:sz w:val="28"/>
              <w:szCs w:val="28"/>
            </w:rPr>
            <w:fldChar w:fldCharType="end"/>
          </w:r>
        </w:sdtContent>
      </w:sdt>
      <w:r>
        <w:rPr>
          <w:rFonts w:ascii="Arial" w:hAnsi="Arial" w:cs="Arial"/>
          <w:sz w:val="28"/>
          <w:szCs w:val="28"/>
        </w:rPr>
        <w:t>. Ano</w:t>
      </w:r>
      <w:r w:rsidR="007372EA">
        <w:rPr>
          <w:rFonts w:ascii="Arial" w:hAnsi="Arial" w:cs="Arial"/>
          <w:sz w:val="28"/>
          <w:szCs w:val="28"/>
        </w:rPr>
        <w:t>ther aspect of the body of the A</w:t>
      </w:r>
      <w:r>
        <w:rPr>
          <w:rFonts w:ascii="Arial" w:hAnsi="Arial" w:cs="Arial"/>
          <w:sz w:val="28"/>
          <w:szCs w:val="28"/>
        </w:rPr>
        <w:t>ncient Egyptians is the</w:t>
      </w:r>
      <w:r w:rsidRPr="00932FE2">
        <w:rPr>
          <w:rFonts w:ascii="Arial" w:hAnsi="Arial" w:cs="Arial"/>
          <w:i/>
          <w:sz w:val="28"/>
          <w:szCs w:val="28"/>
        </w:rPr>
        <w:t xml:space="preserve"> </w:t>
      </w:r>
      <w:proofErr w:type="spellStart"/>
      <w:r w:rsidRPr="00932FE2">
        <w:rPr>
          <w:rFonts w:ascii="Arial" w:hAnsi="Arial" w:cs="Arial"/>
          <w:i/>
          <w:sz w:val="28"/>
          <w:szCs w:val="28"/>
        </w:rPr>
        <w:t>ba</w:t>
      </w:r>
      <w:proofErr w:type="spellEnd"/>
      <w:r>
        <w:rPr>
          <w:rFonts w:ascii="Arial" w:hAnsi="Arial" w:cs="Arial"/>
          <w:i/>
          <w:sz w:val="28"/>
          <w:szCs w:val="28"/>
        </w:rPr>
        <w:t>,</w:t>
      </w:r>
      <w:r>
        <w:rPr>
          <w:rFonts w:ascii="Arial" w:hAnsi="Arial" w:cs="Arial"/>
          <w:sz w:val="28"/>
          <w:szCs w:val="28"/>
        </w:rPr>
        <w:t xml:space="preserve"> similar to the </w:t>
      </w:r>
      <w:proofErr w:type="spellStart"/>
      <w:r w:rsidRPr="00932FE2">
        <w:rPr>
          <w:rFonts w:ascii="Arial" w:hAnsi="Arial" w:cs="Arial"/>
          <w:i/>
          <w:sz w:val="28"/>
          <w:szCs w:val="28"/>
        </w:rPr>
        <w:t>ka</w:t>
      </w:r>
      <w:proofErr w:type="spellEnd"/>
      <w:r>
        <w:rPr>
          <w:rFonts w:ascii="Arial" w:hAnsi="Arial" w:cs="Arial"/>
          <w:sz w:val="28"/>
          <w:szCs w:val="28"/>
        </w:rPr>
        <w:t>, but the</w:t>
      </w:r>
      <w:r w:rsidRPr="00403C62">
        <w:rPr>
          <w:rFonts w:ascii="Arial" w:hAnsi="Arial" w:cs="Arial"/>
          <w:i/>
          <w:sz w:val="28"/>
          <w:szCs w:val="28"/>
        </w:rPr>
        <w:t xml:space="preserve"> </w:t>
      </w:r>
      <w:proofErr w:type="spellStart"/>
      <w:r w:rsidRPr="00403C62">
        <w:rPr>
          <w:rFonts w:ascii="Arial" w:hAnsi="Arial" w:cs="Arial"/>
          <w:i/>
          <w:sz w:val="28"/>
          <w:szCs w:val="28"/>
        </w:rPr>
        <w:t>ba</w:t>
      </w:r>
      <w:proofErr w:type="spellEnd"/>
      <w:r>
        <w:rPr>
          <w:rFonts w:ascii="Arial" w:hAnsi="Arial" w:cs="Arial"/>
          <w:sz w:val="28"/>
          <w:szCs w:val="28"/>
        </w:rPr>
        <w:t xml:space="preserve"> is the process by which the dead could leave the tomb and reach the netherworld. </w:t>
      </w:r>
      <w:r w:rsidR="00403C62">
        <w:rPr>
          <w:rFonts w:ascii="Arial" w:hAnsi="Arial" w:cs="Arial"/>
          <w:sz w:val="28"/>
          <w:szCs w:val="28"/>
        </w:rPr>
        <w:t xml:space="preserve">The </w:t>
      </w:r>
      <w:proofErr w:type="spellStart"/>
      <w:r w:rsidR="00403C62" w:rsidRPr="00403C62">
        <w:rPr>
          <w:rFonts w:ascii="Arial" w:hAnsi="Arial" w:cs="Arial"/>
          <w:i/>
          <w:sz w:val="28"/>
          <w:szCs w:val="28"/>
        </w:rPr>
        <w:t>ba</w:t>
      </w:r>
      <w:proofErr w:type="spellEnd"/>
      <w:r w:rsidR="00403C62">
        <w:rPr>
          <w:rFonts w:ascii="Arial" w:hAnsi="Arial" w:cs="Arial"/>
          <w:sz w:val="28"/>
          <w:szCs w:val="28"/>
        </w:rPr>
        <w:t xml:space="preserve"> </w:t>
      </w:r>
      <w:r w:rsidR="00403C62">
        <w:rPr>
          <w:rFonts w:ascii="Arial" w:hAnsi="Arial" w:cs="Arial"/>
          <w:sz w:val="28"/>
          <w:szCs w:val="28"/>
        </w:rPr>
        <w:lastRenderedPageBreak/>
        <w:t>can eat and drink, speak and move, it can visit the world of the living or travel to visit the sun god in the sky</w:t>
      </w:r>
      <w:sdt>
        <w:sdtPr>
          <w:rPr>
            <w:rFonts w:ascii="Arial" w:hAnsi="Arial" w:cs="Arial"/>
            <w:sz w:val="28"/>
            <w:szCs w:val="28"/>
          </w:rPr>
          <w:id w:val="1700195472"/>
          <w:citation/>
        </w:sdtPr>
        <w:sdtEndPr/>
        <w:sdtContent>
          <w:r w:rsidR="00403C62">
            <w:rPr>
              <w:rFonts w:ascii="Arial" w:hAnsi="Arial" w:cs="Arial"/>
              <w:sz w:val="28"/>
              <w:szCs w:val="28"/>
            </w:rPr>
            <w:fldChar w:fldCharType="begin"/>
          </w:r>
          <w:r w:rsidR="00403C62">
            <w:rPr>
              <w:rFonts w:ascii="Arial" w:hAnsi="Arial" w:cs="Arial"/>
              <w:sz w:val="28"/>
              <w:szCs w:val="28"/>
            </w:rPr>
            <w:instrText xml:space="preserve">CITATION Joh01 \p 20,21 \l 2057 </w:instrText>
          </w:r>
          <w:r w:rsidR="00403C62">
            <w:rPr>
              <w:rFonts w:ascii="Arial" w:hAnsi="Arial" w:cs="Arial"/>
              <w:sz w:val="28"/>
              <w:szCs w:val="28"/>
            </w:rPr>
            <w:fldChar w:fldCharType="separate"/>
          </w:r>
          <w:r w:rsidR="00D72E5B">
            <w:rPr>
              <w:rFonts w:ascii="Arial" w:hAnsi="Arial" w:cs="Arial"/>
              <w:noProof/>
              <w:sz w:val="28"/>
              <w:szCs w:val="28"/>
            </w:rPr>
            <w:t xml:space="preserve"> </w:t>
          </w:r>
          <w:r w:rsidR="00D72E5B" w:rsidRPr="00D72E5B">
            <w:rPr>
              <w:rFonts w:ascii="Arial" w:hAnsi="Arial" w:cs="Arial"/>
              <w:noProof/>
              <w:sz w:val="28"/>
              <w:szCs w:val="28"/>
            </w:rPr>
            <w:t>(H.Taylor, 2001, pp. 20,21)</w:t>
          </w:r>
          <w:r w:rsidR="00403C62">
            <w:rPr>
              <w:rFonts w:ascii="Arial" w:hAnsi="Arial" w:cs="Arial"/>
              <w:sz w:val="28"/>
              <w:szCs w:val="28"/>
            </w:rPr>
            <w:fldChar w:fldCharType="end"/>
          </w:r>
        </w:sdtContent>
      </w:sdt>
      <w:r w:rsidR="00403C62">
        <w:rPr>
          <w:rFonts w:ascii="Arial" w:hAnsi="Arial" w:cs="Arial"/>
          <w:sz w:val="28"/>
          <w:szCs w:val="28"/>
        </w:rPr>
        <w:t>.</w:t>
      </w:r>
      <w:r w:rsidR="007417E5">
        <w:rPr>
          <w:rFonts w:ascii="Arial" w:hAnsi="Arial" w:cs="Arial"/>
          <w:sz w:val="28"/>
          <w:szCs w:val="28"/>
        </w:rPr>
        <w:t xml:space="preserve"> It is precisely because of their belief in the human-like abilities of the </w:t>
      </w:r>
      <w:proofErr w:type="spellStart"/>
      <w:r w:rsidR="007417E5" w:rsidRPr="007417E5">
        <w:rPr>
          <w:rFonts w:ascii="Arial" w:hAnsi="Arial" w:cs="Arial"/>
          <w:i/>
          <w:sz w:val="28"/>
          <w:szCs w:val="28"/>
        </w:rPr>
        <w:t>ba</w:t>
      </w:r>
      <w:proofErr w:type="spellEnd"/>
      <w:r w:rsidR="007417E5">
        <w:rPr>
          <w:rFonts w:ascii="Arial" w:hAnsi="Arial" w:cs="Arial"/>
          <w:sz w:val="28"/>
          <w:szCs w:val="28"/>
        </w:rPr>
        <w:t xml:space="preserve"> that the funerary f</w:t>
      </w:r>
      <w:r w:rsidR="007372EA">
        <w:rPr>
          <w:rFonts w:ascii="Arial" w:hAnsi="Arial" w:cs="Arial"/>
          <w:sz w:val="28"/>
          <w:szCs w:val="28"/>
        </w:rPr>
        <w:t>easts were so important to the A</w:t>
      </w:r>
      <w:r w:rsidR="007417E5">
        <w:rPr>
          <w:rFonts w:ascii="Arial" w:hAnsi="Arial" w:cs="Arial"/>
          <w:sz w:val="28"/>
          <w:szCs w:val="28"/>
        </w:rPr>
        <w:t>ncient Egyptians.</w:t>
      </w:r>
    </w:p>
    <w:p w:rsidR="00DF0AF2" w:rsidRDefault="009D6FE3" w:rsidP="006A7CCA">
      <w:pPr>
        <w:spacing w:line="360" w:lineRule="auto"/>
        <w:rPr>
          <w:rFonts w:ascii="Arial" w:hAnsi="Arial" w:cs="Arial"/>
          <w:sz w:val="28"/>
          <w:szCs w:val="28"/>
        </w:rPr>
      </w:pPr>
      <w:r>
        <w:rPr>
          <w:rFonts w:ascii="Arial" w:hAnsi="Arial" w:cs="Arial"/>
          <w:sz w:val="28"/>
          <w:szCs w:val="28"/>
        </w:rPr>
        <w:t>In conclusion, there is no real idea what the jar was used for or what the contents were. Was it used for beer, oil or water? There were no contents or evidence of the substance which was contained within. Without testing for the age of the vessel, all that can be deduced is by comparison with similar type</w:t>
      </w:r>
      <w:r w:rsidR="00F14CFD">
        <w:rPr>
          <w:rFonts w:ascii="Arial" w:hAnsi="Arial" w:cs="Arial"/>
          <w:sz w:val="28"/>
          <w:szCs w:val="28"/>
        </w:rPr>
        <w:t>s</w:t>
      </w:r>
      <w:r>
        <w:rPr>
          <w:rFonts w:ascii="Arial" w:hAnsi="Arial" w:cs="Arial"/>
          <w:sz w:val="28"/>
          <w:szCs w:val="28"/>
        </w:rPr>
        <w:t xml:space="preserve"> of vessels which have been dated, such as the one in Liverpool museum. The location of the production of the jar can be guessed by the type of clay which has been used. This is defined by the colouring of the jar</w:t>
      </w:r>
      <w:r w:rsidR="00F14CFD">
        <w:rPr>
          <w:rFonts w:ascii="Arial" w:hAnsi="Arial" w:cs="Arial"/>
          <w:sz w:val="28"/>
          <w:szCs w:val="28"/>
        </w:rPr>
        <w:t xml:space="preserve">, a </w:t>
      </w:r>
      <w:proofErr w:type="spellStart"/>
      <w:r w:rsidR="00F14CFD">
        <w:rPr>
          <w:rFonts w:ascii="Arial" w:hAnsi="Arial" w:cs="Arial"/>
          <w:sz w:val="28"/>
          <w:szCs w:val="28"/>
        </w:rPr>
        <w:t>lightish</w:t>
      </w:r>
      <w:proofErr w:type="spellEnd"/>
      <w:r w:rsidR="00F14CFD">
        <w:rPr>
          <w:rFonts w:ascii="Arial" w:hAnsi="Arial" w:cs="Arial"/>
          <w:sz w:val="28"/>
          <w:szCs w:val="28"/>
        </w:rPr>
        <w:t xml:space="preserve"> shade, suggesting m</w:t>
      </w:r>
      <w:r>
        <w:rPr>
          <w:rFonts w:ascii="Arial" w:hAnsi="Arial" w:cs="Arial"/>
          <w:sz w:val="28"/>
          <w:szCs w:val="28"/>
        </w:rPr>
        <w:t>arl or desert clay. It can only be assumed that this jar was found in an assemblage of grave goods. This is possibly a fine example of well-preserved grave goods.</w:t>
      </w:r>
    </w:p>
    <w:p w:rsidR="00367CD7" w:rsidRDefault="00367CD7" w:rsidP="006A7CCA">
      <w:pPr>
        <w:spacing w:line="360" w:lineRule="auto"/>
        <w:rPr>
          <w:rFonts w:ascii="Arial" w:hAnsi="Arial" w:cs="Arial"/>
          <w:sz w:val="28"/>
          <w:szCs w:val="28"/>
        </w:rPr>
      </w:pPr>
    </w:p>
    <w:p w:rsidR="00367CD7" w:rsidRDefault="00367CD7" w:rsidP="006A7CCA">
      <w:pPr>
        <w:spacing w:line="360" w:lineRule="auto"/>
        <w:rPr>
          <w:rFonts w:ascii="Arial" w:hAnsi="Arial" w:cs="Arial"/>
          <w:sz w:val="28"/>
          <w:szCs w:val="28"/>
        </w:rPr>
      </w:pPr>
    </w:p>
    <w:p w:rsidR="00367CD7" w:rsidRDefault="00367CD7" w:rsidP="006A7CCA">
      <w:pPr>
        <w:spacing w:line="360" w:lineRule="auto"/>
        <w:rPr>
          <w:rFonts w:ascii="Arial" w:hAnsi="Arial" w:cs="Arial"/>
          <w:sz w:val="28"/>
          <w:szCs w:val="28"/>
        </w:rPr>
      </w:pPr>
    </w:p>
    <w:p w:rsidR="00367CD7" w:rsidRDefault="00367CD7" w:rsidP="006A7CCA">
      <w:pPr>
        <w:spacing w:line="360" w:lineRule="auto"/>
        <w:rPr>
          <w:rFonts w:ascii="Arial" w:hAnsi="Arial" w:cs="Arial"/>
          <w:sz w:val="28"/>
          <w:szCs w:val="28"/>
        </w:rPr>
      </w:pPr>
    </w:p>
    <w:p w:rsidR="00367CD7" w:rsidRDefault="00367CD7" w:rsidP="006A7CCA">
      <w:pPr>
        <w:spacing w:line="360" w:lineRule="auto"/>
        <w:rPr>
          <w:rFonts w:ascii="Arial" w:hAnsi="Arial" w:cs="Arial"/>
          <w:sz w:val="28"/>
          <w:szCs w:val="28"/>
        </w:rPr>
      </w:pPr>
      <w:bookmarkStart w:id="0" w:name="_GoBack"/>
      <w:bookmarkEnd w:id="0"/>
    </w:p>
    <w:p w:rsidR="00367CD7" w:rsidRDefault="00367CD7" w:rsidP="006A7CCA">
      <w:pPr>
        <w:spacing w:line="360" w:lineRule="auto"/>
        <w:rPr>
          <w:rFonts w:ascii="Arial" w:hAnsi="Arial" w:cs="Arial"/>
          <w:sz w:val="28"/>
          <w:szCs w:val="28"/>
        </w:rPr>
      </w:pPr>
    </w:p>
    <w:p w:rsidR="00367CD7" w:rsidRDefault="00367CD7" w:rsidP="006A7CCA">
      <w:pPr>
        <w:spacing w:line="360" w:lineRule="auto"/>
        <w:rPr>
          <w:rFonts w:ascii="Arial" w:hAnsi="Arial" w:cs="Arial"/>
          <w:sz w:val="28"/>
          <w:szCs w:val="28"/>
        </w:rPr>
      </w:pPr>
    </w:p>
    <w:p w:rsidR="00367CD7" w:rsidRPr="00932FE2" w:rsidRDefault="00367CD7" w:rsidP="006A7CCA">
      <w:pPr>
        <w:spacing w:line="360" w:lineRule="auto"/>
        <w:rPr>
          <w:rFonts w:ascii="Arial" w:hAnsi="Arial" w:cs="Arial"/>
          <w:sz w:val="28"/>
          <w:szCs w:val="28"/>
        </w:rPr>
      </w:pPr>
    </w:p>
    <w:p w:rsidR="0059602D" w:rsidRDefault="0059602D" w:rsidP="00D82CEB">
      <w:pPr>
        <w:rPr>
          <w:rFonts w:ascii="Arial" w:hAnsi="Arial" w:cs="Arial"/>
          <w:sz w:val="28"/>
          <w:szCs w:val="28"/>
        </w:rPr>
      </w:pPr>
    </w:p>
    <w:sdt>
      <w:sdtPr>
        <w:rPr>
          <w:rFonts w:ascii="Arial" w:hAnsi="Arial" w:cs="Arial"/>
          <w:sz w:val="28"/>
          <w:szCs w:val="28"/>
          <w:highlight w:val="yellow"/>
          <w:lang w:val="en-US"/>
        </w:rPr>
        <w:id w:val="-699622696"/>
        <w:docPartObj>
          <w:docPartGallery w:val="Bibliographies"/>
          <w:docPartUnique/>
        </w:docPartObj>
      </w:sdtPr>
      <w:sdtEndPr>
        <w:rPr>
          <w:highlight w:val="none"/>
          <w:lang w:val="en-GB"/>
        </w:rPr>
      </w:sdtEndPr>
      <w:sdtContent>
        <w:p w:rsidR="00E8665E" w:rsidRPr="00E8665E" w:rsidRDefault="00E8665E" w:rsidP="00E8665E">
          <w:pPr>
            <w:rPr>
              <w:rFonts w:ascii="Arial" w:hAnsi="Arial" w:cs="Arial"/>
              <w:sz w:val="28"/>
              <w:szCs w:val="28"/>
              <w:lang w:val="en-US"/>
            </w:rPr>
          </w:pPr>
          <w:r w:rsidRPr="00E8665E">
            <w:rPr>
              <w:rFonts w:ascii="Arial" w:hAnsi="Arial" w:cs="Arial"/>
              <w:sz w:val="28"/>
              <w:szCs w:val="28"/>
              <w:lang w:val="en-US"/>
            </w:rPr>
            <w:t>Bibliography</w:t>
          </w:r>
        </w:p>
        <w:sdt>
          <w:sdtPr>
            <w:rPr>
              <w:rFonts w:ascii="Arial" w:hAnsi="Arial" w:cs="Arial"/>
              <w:sz w:val="28"/>
              <w:szCs w:val="28"/>
            </w:rPr>
            <w:id w:val="111145805"/>
            <w:bibliography/>
          </w:sdtPr>
          <w:sdtEndPr/>
          <w:sdtContent>
            <w:p w:rsidR="00D72E5B" w:rsidRPr="00D72E5B" w:rsidRDefault="00E8665E" w:rsidP="00D72E5B">
              <w:pPr>
                <w:pStyle w:val="Bibliography"/>
                <w:rPr>
                  <w:rFonts w:ascii="Arial" w:hAnsi="Arial" w:cs="Arial"/>
                  <w:noProof/>
                  <w:sz w:val="24"/>
                  <w:szCs w:val="24"/>
                  <w:lang w:val="en-US"/>
                </w:rPr>
              </w:pPr>
              <w:r w:rsidRPr="00E8665E">
                <w:rPr>
                  <w:rFonts w:ascii="Arial" w:hAnsi="Arial" w:cs="Arial"/>
                  <w:sz w:val="28"/>
                  <w:szCs w:val="28"/>
                </w:rPr>
                <w:fldChar w:fldCharType="begin"/>
              </w:r>
              <w:r w:rsidRPr="00E8665E">
                <w:rPr>
                  <w:rFonts w:ascii="Arial" w:hAnsi="Arial" w:cs="Arial"/>
                  <w:sz w:val="28"/>
                  <w:szCs w:val="28"/>
                </w:rPr>
                <w:instrText xml:space="preserve"> BIBLIOGRAPHY </w:instrText>
              </w:r>
              <w:r w:rsidRPr="00E8665E">
                <w:rPr>
                  <w:rFonts w:ascii="Arial" w:hAnsi="Arial" w:cs="Arial"/>
                  <w:sz w:val="28"/>
                  <w:szCs w:val="28"/>
                </w:rPr>
                <w:fldChar w:fldCharType="separate"/>
              </w:r>
              <w:r w:rsidR="00D72E5B" w:rsidRPr="00D72E5B">
                <w:rPr>
                  <w:rFonts w:ascii="Arial" w:hAnsi="Arial" w:cs="Arial"/>
                  <w:noProof/>
                  <w:sz w:val="24"/>
                  <w:szCs w:val="24"/>
                  <w:lang w:val="en-US"/>
                </w:rPr>
                <w:t xml:space="preserve">Ancient Egyptian online, 2019. </w:t>
              </w:r>
              <w:r w:rsidR="00D72E5B" w:rsidRPr="00D72E5B">
                <w:rPr>
                  <w:rFonts w:ascii="Arial" w:hAnsi="Arial" w:cs="Arial"/>
                  <w:i/>
                  <w:iCs/>
                  <w:noProof/>
                  <w:sz w:val="24"/>
                  <w:szCs w:val="24"/>
                  <w:lang w:val="en-US"/>
                </w:rPr>
                <w:t xml:space="preserve">Ancient Egyptian online. </w:t>
              </w:r>
              <w:r w:rsidR="00D72E5B" w:rsidRPr="00D72E5B">
                <w:rPr>
                  <w:rFonts w:ascii="Arial" w:hAnsi="Arial" w:cs="Arial"/>
                  <w:noProof/>
                  <w:sz w:val="24"/>
                  <w:szCs w:val="24"/>
                  <w:lang w:val="en-US"/>
                </w:rPr>
                <w:t xml:space="preserve">[Online] </w:t>
              </w:r>
              <w:r w:rsidR="00D72E5B" w:rsidRPr="00D72E5B">
                <w:rPr>
                  <w:rFonts w:ascii="Arial" w:hAnsi="Arial" w:cs="Arial"/>
                  <w:noProof/>
                  <w:sz w:val="24"/>
                  <w:szCs w:val="24"/>
                  <w:lang w:val="en-US"/>
                </w:rPr>
                <w:br/>
                <w:t xml:space="preserve">Available at: </w:t>
              </w:r>
              <w:r w:rsidR="00D72E5B" w:rsidRPr="00D72E5B">
                <w:rPr>
                  <w:rFonts w:ascii="Arial" w:hAnsi="Arial" w:cs="Arial"/>
                  <w:noProof/>
                  <w:sz w:val="24"/>
                  <w:szCs w:val="24"/>
                  <w:u w:val="single"/>
                  <w:lang w:val="en-US"/>
                </w:rPr>
                <w:t>file:///F:/Egyptian%20Burial/Ancient%20Egypt%20Society_%20Beer.html</w:t>
              </w:r>
              <w:r w:rsidR="00D72E5B" w:rsidRPr="00D72E5B">
                <w:rPr>
                  <w:rFonts w:ascii="Arial" w:hAnsi="Arial" w:cs="Arial"/>
                  <w:noProof/>
                  <w:sz w:val="24"/>
                  <w:szCs w:val="24"/>
                  <w:lang w:val="en-US"/>
                </w:rPr>
                <w:br/>
                <w:t>[Accessed 20 03 2019].</w:t>
              </w:r>
            </w:p>
            <w:p w:rsidR="00D72E5B" w:rsidRPr="00D72E5B" w:rsidRDefault="00D72E5B" w:rsidP="00D72E5B">
              <w:pPr>
                <w:pStyle w:val="Bibliography"/>
                <w:rPr>
                  <w:rFonts w:ascii="Arial" w:hAnsi="Arial" w:cs="Arial"/>
                  <w:noProof/>
                  <w:sz w:val="24"/>
                  <w:szCs w:val="24"/>
                  <w:lang w:val="en-US"/>
                </w:rPr>
              </w:pPr>
              <w:r w:rsidRPr="00D72E5B">
                <w:rPr>
                  <w:rFonts w:ascii="Arial" w:hAnsi="Arial" w:cs="Arial"/>
                  <w:noProof/>
                  <w:sz w:val="24"/>
                  <w:szCs w:val="24"/>
                  <w:lang w:val="en-US"/>
                </w:rPr>
                <w:t xml:space="preserve">Attia, V. I., 2017. Bread in Ancient Egypt Bread in Ancient Egypt. </w:t>
              </w:r>
              <w:r w:rsidRPr="00D72E5B">
                <w:rPr>
                  <w:rFonts w:ascii="Arial" w:hAnsi="Arial" w:cs="Arial"/>
                  <w:i/>
                  <w:iCs/>
                  <w:noProof/>
                  <w:sz w:val="24"/>
                  <w:szCs w:val="24"/>
                  <w:lang w:val="en-US"/>
                </w:rPr>
                <w:t xml:space="preserve">: https://www.researchgate.net/publication/316587464, </w:t>
              </w:r>
              <w:r w:rsidRPr="00D72E5B">
                <w:rPr>
                  <w:rFonts w:ascii="Arial" w:hAnsi="Arial" w:cs="Arial"/>
                  <w:noProof/>
                  <w:sz w:val="24"/>
                  <w:szCs w:val="24"/>
                  <w:lang w:val="en-US"/>
                </w:rPr>
                <w:t>Volume 1, pp. 1-6.</w:t>
              </w:r>
            </w:p>
            <w:p w:rsidR="00D72E5B" w:rsidRPr="00D72E5B" w:rsidRDefault="00D72E5B" w:rsidP="00D72E5B">
              <w:pPr>
                <w:pStyle w:val="Bibliography"/>
                <w:rPr>
                  <w:rFonts w:ascii="Arial" w:hAnsi="Arial" w:cs="Arial"/>
                  <w:noProof/>
                  <w:sz w:val="24"/>
                  <w:szCs w:val="24"/>
                  <w:lang w:val="en-US"/>
                </w:rPr>
              </w:pPr>
              <w:r w:rsidRPr="00D72E5B">
                <w:rPr>
                  <w:rFonts w:ascii="Arial" w:hAnsi="Arial" w:cs="Arial"/>
                  <w:noProof/>
                  <w:sz w:val="24"/>
                  <w:szCs w:val="24"/>
                  <w:lang w:val="en-US"/>
                </w:rPr>
                <w:t xml:space="preserve">Boyle, M. C. a. S., 2019. </w:t>
              </w:r>
              <w:r w:rsidRPr="00D72E5B">
                <w:rPr>
                  <w:rFonts w:ascii="Arial" w:hAnsi="Arial" w:cs="Arial"/>
                  <w:i/>
                  <w:iCs/>
                  <w:noProof/>
                  <w:sz w:val="24"/>
                  <w:szCs w:val="24"/>
                  <w:lang w:val="en-US"/>
                </w:rPr>
                <w:t xml:space="preserve">British MuseumBlog. </w:t>
              </w:r>
              <w:r w:rsidRPr="00D72E5B">
                <w:rPr>
                  <w:rFonts w:ascii="Arial" w:hAnsi="Arial" w:cs="Arial"/>
                  <w:noProof/>
                  <w:sz w:val="24"/>
                  <w:szCs w:val="24"/>
                  <w:lang w:val="en-US"/>
                </w:rPr>
                <w:t xml:space="preserve">[Online] </w:t>
              </w:r>
              <w:r w:rsidRPr="00D72E5B">
                <w:rPr>
                  <w:rFonts w:ascii="Arial" w:hAnsi="Arial" w:cs="Arial"/>
                  <w:noProof/>
                  <w:sz w:val="24"/>
                  <w:szCs w:val="24"/>
                  <w:lang w:val="en-US"/>
                </w:rPr>
                <w:br/>
                <w:t xml:space="preserve">Available at: </w:t>
              </w:r>
              <w:r w:rsidRPr="00D72E5B">
                <w:rPr>
                  <w:rFonts w:ascii="Arial" w:hAnsi="Arial" w:cs="Arial"/>
                  <w:noProof/>
                  <w:sz w:val="24"/>
                  <w:szCs w:val="24"/>
                  <w:u w:val="single"/>
                  <w:lang w:val="en-US"/>
                </w:rPr>
                <w:t>file:///F:/Egyptian%20Burial/A%20sip%20of%20history_%20ancient%20Egyptian%20beer%20%E2%80%93%20The%20British%20Museum%20Blog.html</w:t>
              </w:r>
              <w:r w:rsidRPr="00D72E5B">
                <w:rPr>
                  <w:rFonts w:ascii="Arial" w:hAnsi="Arial" w:cs="Arial"/>
                  <w:noProof/>
                  <w:sz w:val="24"/>
                  <w:szCs w:val="24"/>
                  <w:lang w:val="en-US"/>
                </w:rPr>
                <w:br/>
                <w:t>[Accessed 20 03 2019].</w:t>
              </w:r>
            </w:p>
            <w:p w:rsidR="00D72E5B" w:rsidRPr="00D72E5B" w:rsidRDefault="00D72E5B" w:rsidP="00D72E5B">
              <w:pPr>
                <w:pStyle w:val="Bibliography"/>
                <w:rPr>
                  <w:rFonts w:ascii="Arial" w:hAnsi="Arial" w:cs="Arial"/>
                  <w:noProof/>
                  <w:sz w:val="24"/>
                  <w:szCs w:val="24"/>
                  <w:lang w:val="en-US"/>
                </w:rPr>
              </w:pPr>
              <w:r w:rsidRPr="00D72E5B">
                <w:rPr>
                  <w:rFonts w:ascii="Arial" w:hAnsi="Arial" w:cs="Arial"/>
                  <w:noProof/>
                  <w:sz w:val="24"/>
                  <w:szCs w:val="24"/>
                  <w:lang w:val="en-US"/>
                </w:rPr>
                <w:t xml:space="preserve">edited by Fred Hocker, 2006. </w:t>
              </w:r>
              <w:r w:rsidRPr="00D72E5B">
                <w:rPr>
                  <w:rFonts w:ascii="Arial" w:hAnsi="Arial" w:cs="Arial"/>
                  <w:i/>
                  <w:iCs/>
                  <w:noProof/>
                  <w:sz w:val="24"/>
                  <w:szCs w:val="24"/>
                  <w:lang w:val="en-US"/>
                </w:rPr>
                <w:t xml:space="preserve">Vasa 1: The Archaeology of a Swedish Warship of 1628. </w:t>
              </w:r>
              <w:r w:rsidRPr="00D72E5B">
                <w:rPr>
                  <w:rFonts w:ascii="Arial" w:hAnsi="Arial" w:cs="Arial"/>
                  <w:noProof/>
                  <w:sz w:val="24"/>
                  <w:szCs w:val="24"/>
                  <w:lang w:val="en-US"/>
                </w:rPr>
                <w:t>Stockholm: Oxbow Books.</w:t>
              </w:r>
            </w:p>
            <w:p w:rsidR="00D72E5B" w:rsidRPr="00D72E5B" w:rsidRDefault="00D72E5B" w:rsidP="00D72E5B">
              <w:pPr>
                <w:pStyle w:val="Bibliography"/>
                <w:rPr>
                  <w:rFonts w:ascii="Arial" w:hAnsi="Arial" w:cs="Arial"/>
                  <w:noProof/>
                  <w:sz w:val="24"/>
                  <w:szCs w:val="24"/>
                  <w:lang w:val="en-US"/>
                </w:rPr>
              </w:pPr>
              <w:r w:rsidRPr="00D72E5B">
                <w:rPr>
                  <w:rFonts w:ascii="Arial" w:hAnsi="Arial" w:cs="Arial"/>
                  <w:noProof/>
                  <w:sz w:val="24"/>
                  <w:szCs w:val="24"/>
                  <w:lang w:val="en-US"/>
                </w:rPr>
                <w:t xml:space="preserve">Egyptian Burial/Ancient Egyptian pottery, 2013. </w:t>
              </w:r>
              <w:r w:rsidRPr="00D72E5B">
                <w:rPr>
                  <w:rFonts w:ascii="Arial" w:hAnsi="Arial" w:cs="Arial"/>
                  <w:i/>
                  <w:iCs/>
                  <w:noProof/>
                  <w:sz w:val="24"/>
                  <w:szCs w:val="24"/>
                  <w:lang w:val="en-US"/>
                </w:rPr>
                <w:t xml:space="preserve">file:///F:/Egyptian%20Burial/Ancient%20Egyptian%20pottery.html. </w:t>
              </w:r>
              <w:r w:rsidRPr="00D72E5B">
                <w:rPr>
                  <w:rFonts w:ascii="Arial" w:hAnsi="Arial" w:cs="Arial"/>
                  <w:noProof/>
                  <w:sz w:val="24"/>
                  <w:szCs w:val="24"/>
                  <w:lang w:val="en-US"/>
                </w:rPr>
                <w:t xml:space="preserve">[Online] </w:t>
              </w:r>
              <w:r w:rsidRPr="00D72E5B">
                <w:rPr>
                  <w:rFonts w:ascii="Arial" w:hAnsi="Arial" w:cs="Arial"/>
                  <w:noProof/>
                  <w:sz w:val="24"/>
                  <w:szCs w:val="24"/>
                  <w:lang w:val="en-US"/>
                </w:rPr>
                <w:br/>
                <w:t xml:space="preserve">Available at: </w:t>
              </w:r>
              <w:r w:rsidRPr="00D72E5B">
                <w:rPr>
                  <w:rFonts w:ascii="Arial" w:hAnsi="Arial" w:cs="Arial"/>
                  <w:noProof/>
                  <w:sz w:val="24"/>
                  <w:szCs w:val="24"/>
                  <w:u w:val="single"/>
                  <w:lang w:val="en-US"/>
                </w:rPr>
                <w:t>file:///F:/Egyptian%20Burial/Ancient%20Egyptian%20pottery.html</w:t>
              </w:r>
              <w:r w:rsidRPr="00D72E5B">
                <w:rPr>
                  <w:rFonts w:ascii="Arial" w:hAnsi="Arial" w:cs="Arial"/>
                  <w:noProof/>
                  <w:sz w:val="24"/>
                  <w:szCs w:val="24"/>
                  <w:lang w:val="en-US"/>
                </w:rPr>
                <w:br/>
                <w:t>[Accessed 20 03 2019].</w:t>
              </w:r>
            </w:p>
            <w:p w:rsidR="00D72E5B" w:rsidRPr="00D72E5B" w:rsidRDefault="00D72E5B" w:rsidP="00D72E5B">
              <w:pPr>
                <w:pStyle w:val="Bibliography"/>
                <w:rPr>
                  <w:rFonts w:ascii="Arial" w:hAnsi="Arial" w:cs="Arial"/>
                  <w:noProof/>
                  <w:sz w:val="24"/>
                  <w:szCs w:val="24"/>
                  <w:lang w:val="en-US"/>
                </w:rPr>
              </w:pPr>
              <w:r w:rsidRPr="00D72E5B">
                <w:rPr>
                  <w:rFonts w:ascii="Arial" w:hAnsi="Arial" w:cs="Arial"/>
                  <w:noProof/>
                  <w:sz w:val="24"/>
                  <w:szCs w:val="24"/>
                  <w:lang w:val="en-US"/>
                </w:rPr>
                <w:t xml:space="preserve">Finch**, A. H. a. P., 2017. A chemical study of the contents of an Early Dynastic Egyptian storage jar. </w:t>
              </w:r>
              <w:r w:rsidRPr="00D72E5B">
                <w:rPr>
                  <w:rFonts w:ascii="Arial" w:hAnsi="Arial" w:cs="Arial"/>
                  <w:i/>
                  <w:iCs/>
                  <w:noProof/>
                  <w:sz w:val="24"/>
                  <w:szCs w:val="24"/>
                  <w:lang w:val="en-US"/>
                </w:rPr>
                <w:t xml:space="preserve">Pharm Hist (Lond), </w:t>
              </w:r>
              <w:r w:rsidRPr="00D72E5B">
                <w:rPr>
                  <w:rFonts w:ascii="Arial" w:hAnsi="Arial" w:cs="Arial"/>
                  <w:noProof/>
                  <w:sz w:val="24"/>
                  <w:szCs w:val="24"/>
                  <w:lang w:val="en-US"/>
                </w:rPr>
                <w:t>Volume https://www.ingentaconnect.com/content/bshp/ph/2017/00000047/00000001/art00001?crawler=true, pp. 1-6.</w:t>
              </w:r>
            </w:p>
            <w:p w:rsidR="00D72E5B" w:rsidRPr="00D72E5B" w:rsidRDefault="00D72E5B" w:rsidP="00D72E5B">
              <w:pPr>
                <w:pStyle w:val="Bibliography"/>
                <w:rPr>
                  <w:rFonts w:ascii="Arial" w:hAnsi="Arial" w:cs="Arial"/>
                  <w:noProof/>
                  <w:sz w:val="24"/>
                  <w:szCs w:val="24"/>
                  <w:lang w:val="en-US"/>
                </w:rPr>
              </w:pPr>
              <w:r w:rsidRPr="00D72E5B">
                <w:rPr>
                  <w:rFonts w:ascii="Arial" w:hAnsi="Arial" w:cs="Arial"/>
                  <w:noProof/>
                  <w:sz w:val="24"/>
                  <w:szCs w:val="24"/>
                  <w:lang w:val="en-US"/>
                </w:rPr>
                <w:t xml:space="preserve">Grajetzki, W., 2003. </w:t>
              </w:r>
              <w:r w:rsidRPr="00D72E5B">
                <w:rPr>
                  <w:rFonts w:ascii="Arial" w:hAnsi="Arial" w:cs="Arial"/>
                  <w:i/>
                  <w:iCs/>
                  <w:noProof/>
                  <w:sz w:val="24"/>
                  <w:szCs w:val="24"/>
                  <w:lang w:val="en-US"/>
                </w:rPr>
                <w:t xml:space="preserve">Burial Customs in Ancient Egypt. </w:t>
              </w:r>
              <w:r w:rsidRPr="00D72E5B">
                <w:rPr>
                  <w:rFonts w:ascii="Arial" w:hAnsi="Arial" w:cs="Arial"/>
                  <w:noProof/>
                  <w:sz w:val="24"/>
                  <w:szCs w:val="24"/>
                  <w:lang w:val="en-US"/>
                </w:rPr>
                <w:t>London: Duckworth.</w:t>
              </w:r>
            </w:p>
            <w:p w:rsidR="00D72E5B" w:rsidRPr="00D72E5B" w:rsidRDefault="00D72E5B" w:rsidP="00D72E5B">
              <w:pPr>
                <w:pStyle w:val="Bibliography"/>
                <w:rPr>
                  <w:rFonts w:ascii="Arial" w:hAnsi="Arial" w:cs="Arial"/>
                  <w:noProof/>
                  <w:sz w:val="24"/>
                  <w:szCs w:val="24"/>
                  <w:lang w:val="en-US"/>
                </w:rPr>
              </w:pPr>
              <w:r w:rsidRPr="00D72E5B">
                <w:rPr>
                  <w:rFonts w:ascii="Arial" w:hAnsi="Arial" w:cs="Arial"/>
                  <w:noProof/>
                  <w:sz w:val="24"/>
                  <w:szCs w:val="24"/>
                  <w:lang w:val="en-US"/>
                </w:rPr>
                <w:t xml:space="preserve">H.Taylor, J., 2001. </w:t>
              </w:r>
              <w:r w:rsidRPr="00D72E5B">
                <w:rPr>
                  <w:rFonts w:ascii="Arial" w:hAnsi="Arial" w:cs="Arial"/>
                  <w:i/>
                  <w:iCs/>
                  <w:noProof/>
                  <w:sz w:val="24"/>
                  <w:szCs w:val="24"/>
                  <w:lang w:val="en-US"/>
                </w:rPr>
                <w:t xml:space="preserve">Death &amp; the afterlife in Ancient Egypt. </w:t>
              </w:r>
              <w:r w:rsidRPr="00D72E5B">
                <w:rPr>
                  <w:rFonts w:ascii="Arial" w:hAnsi="Arial" w:cs="Arial"/>
                  <w:noProof/>
                  <w:sz w:val="24"/>
                  <w:szCs w:val="24"/>
                  <w:lang w:val="en-US"/>
                </w:rPr>
                <w:t>London: British Museum Press.</w:t>
              </w:r>
            </w:p>
            <w:p w:rsidR="00D72E5B" w:rsidRPr="00D72E5B" w:rsidRDefault="00D72E5B" w:rsidP="00D72E5B">
              <w:pPr>
                <w:pStyle w:val="Bibliography"/>
                <w:rPr>
                  <w:rFonts w:ascii="Arial" w:hAnsi="Arial" w:cs="Arial"/>
                  <w:noProof/>
                  <w:sz w:val="24"/>
                  <w:szCs w:val="24"/>
                  <w:lang w:val="en-US"/>
                </w:rPr>
              </w:pPr>
              <w:r w:rsidRPr="00D72E5B">
                <w:rPr>
                  <w:rFonts w:ascii="Arial" w:hAnsi="Arial" w:cs="Arial"/>
                  <w:noProof/>
                  <w:sz w:val="24"/>
                  <w:szCs w:val="24"/>
                  <w:lang w:val="en-US"/>
                </w:rPr>
                <w:t xml:space="preserve">Liverpoolmuseums, 2019. </w:t>
              </w:r>
              <w:r w:rsidRPr="00D72E5B">
                <w:rPr>
                  <w:rFonts w:ascii="Arial" w:hAnsi="Arial" w:cs="Arial"/>
                  <w:i/>
                  <w:iCs/>
                  <w:noProof/>
                  <w:sz w:val="24"/>
                  <w:szCs w:val="24"/>
                  <w:lang w:val="en-US"/>
                </w:rPr>
                <w:t xml:space="preserve">Liverpoolmuseums.html. </w:t>
              </w:r>
              <w:r w:rsidRPr="00D72E5B">
                <w:rPr>
                  <w:rFonts w:ascii="Arial" w:hAnsi="Arial" w:cs="Arial"/>
                  <w:noProof/>
                  <w:sz w:val="24"/>
                  <w:szCs w:val="24"/>
                  <w:lang w:val="en-US"/>
                </w:rPr>
                <w:t xml:space="preserve">[Online] </w:t>
              </w:r>
              <w:r w:rsidRPr="00D72E5B">
                <w:rPr>
                  <w:rFonts w:ascii="Arial" w:hAnsi="Arial" w:cs="Arial"/>
                  <w:noProof/>
                  <w:sz w:val="24"/>
                  <w:szCs w:val="24"/>
                  <w:lang w:val="en-US"/>
                </w:rPr>
                <w:br/>
                <w:t xml:space="preserve">Available at: </w:t>
              </w:r>
              <w:r w:rsidRPr="00D72E5B">
                <w:rPr>
                  <w:rFonts w:ascii="Arial" w:hAnsi="Arial" w:cs="Arial"/>
                  <w:noProof/>
                  <w:sz w:val="24"/>
                  <w:szCs w:val="24"/>
                  <w:u w:val="single"/>
                  <w:lang w:val="en-US"/>
                </w:rPr>
                <w:t>file:///F:/Egyptian%20Burial/Beer%20or%20Water%20Jar,%20Ancient%20Egypt%20collection%20-%20World%20Museum,%20Liverpool%20museums.html</w:t>
              </w:r>
              <w:r w:rsidRPr="00D72E5B">
                <w:rPr>
                  <w:rFonts w:ascii="Arial" w:hAnsi="Arial" w:cs="Arial"/>
                  <w:noProof/>
                  <w:sz w:val="24"/>
                  <w:szCs w:val="24"/>
                  <w:lang w:val="en-US"/>
                </w:rPr>
                <w:br/>
                <w:t>[Accessed 20 03 2019].</w:t>
              </w:r>
            </w:p>
            <w:p w:rsidR="00D72E5B" w:rsidRPr="00D72E5B" w:rsidRDefault="00D72E5B" w:rsidP="00D72E5B">
              <w:pPr>
                <w:pStyle w:val="Bibliography"/>
                <w:rPr>
                  <w:rFonts w:ascii="Arial" w:hAnsi="Arial" w:cs="Arial"/>
                  <w:noProof/>
                  <w:sz w:val="24"/>
                  <w:szCs w:val="24"/>
                  <w:lang w:val="en-US"/>
                </w:rPr>
              </w:pPr>
              <w:r w:rsidRPr="00D72E5B">
                <w:rPr>
                  <w:rFonts w:ascii="Arial" w:hAnsi="Arial" w:cs="Arial"/>
                  <w:noProof/>
                  <w:sz w:val="24"/>
                  <w:szCs w:val="24"/>
                  <w:lang w:val="en-US"/>
                </w:rPr>
                <w:t xml:space="preserve">Mark, J. J., 2017. </w:t>
              </w:r>
              <w:r w:rsidRPr="00D72E5B">
                <w:rPr>
                  <w:rFonts w:ascii="Arial" w:hAnsi="Arial" w:cs="Arial"/>
                  <w:i/>
                  <w:iCs/>
                  <w:noProof/>
                  <w:sz w:val="24"/>
                  <w:szCs w:val="24"/>
                  <w:lang w:val="en-US"/>
                </w:rPr>
                <w:t xml:space="preserve">Beer in Ancient Egypt. </w:t>
              </w:r>
              <w:r w:rsidRPr="00D72E5B">
                <w:rPr>
                  <w:rFonts w:ascii="Arial" w:hAnsi="Arial" w:cs="Arial"/>
                  <w:noProof/>
                  <w:sz w:val="24"/>
                  <w:szCs w:val="24"/>
                  <w:lang w:val="en-US"/>
                </w:rPr>
                <w:t xml:space="preserve">[Online] </w:t>
              </w:r>
              <w:r w:rsidRPr="00D72E5B">
                <w:rPr>
                  <w:rFonts w:ascii="Arial" w:hAnsi="Arial" w:cs="Arial"/>
                  <w:noProof/>
                  <w:sz w:val="24"/>
                  <w:szCs w:val="24"/>
                  <w:lang w:val="en-US"/>
                </w:rPr>
                <w:br/>
                <w:t xml:space="preserve">Available at: </w:t>
              </w:r>
              <w:r w:rsidRPr="00D72E5B">
                <w:rPr>
                  <w:rFonts w:ascii="Arial" w:hAnsi="Arial" w:cs="Arial"/>
                  <w:noProof/>
                  <w:sz w:val="24"/>
                  <w:szCs w:val="24"/>
                  <w:u w:val="single"/>
                  <w:lang w:val="en-US"/>
                </w:rPr>
                <w:t>https://www.ancient.eu/article/1033/beer-in-ancient-egypt/</w:t>
              </w:r>
              <w:r w:rsidRPr="00D72E5B">
                <w:rPr>
                  <w:rFonts w:ascii="Arial" w:hAnsi="Arial" w:cs="Arial"/>
                  <w:noProof/>
                  <w:sz w:val="24"/>
                  <w:szCs w:val="24"/>
                  <w:lang w:val="en-US"/>
                </w:rPr>
                <w:br/>
                <w:t>[Accessed 24 3 2019].</w:t>
              </w:r>
            </w:p>
            <w:p w:rsidR="00D72E5B" w:rsidRDefault="00D72E5B" w:rsidP="00D72E5B">
              <w:pPr>
                <w:pStyle w:val="Bibliography"/>
                <w:rPr>
                  <w:noProof/>
                  <w:lang w:val="en-US"/>
                </w:rPr>
              </w:pPr>
              <w:r w:rsidRPr="00D72E5B">
                <w:rPr>
                  <w:rFonts w:ascii="Arial" w:hAnsi="Arial" w:cs="Arial"/>
                  <w:noProof/>
                  <w:sz w:val="24"/>
                  <w:szCs w:val="24"/>
                  <w:lang w:val="en-US"/>
                </w:rPr>
                <w:t xml:space="preserve">Seawright, C., 2013. </w:t>
              </w:r>
              <w:r w:rsidRPr="00D72E5B">
                <w:rPr>
                  <w:rFonts w:ascii="Arial" w:hAnsi="Arial" w:cs="Arial"/>
                  <w:i/>
                  <w:iCs/>
                  <w:noProof/>
                  <w:sz w:val="24"/>
                  <w:szCs w:val="24"/>
                  <w:lang w:val="en-US"/>
                </w:rPr>
                <w:t xml:space="preserve">Ancient Egyptian Alcohol: Beer, Wine and the Festival of Drunkenness. </w:t>
              </w:r>
              <w:r w:rsidRPr="00D72E5B">
                <w:rPr>
                  <w:rFonts w:ascii="Arial" w:hAnsi="Arial" w:cs="Arial"/>
                  <w:noProof/>
                  <w:sz w:val="24"/>
                  <w:szCs w:val="24"/>
                  <w:lang w:val="en-US"/>
                </w:rPr>
                <w:t xml:space="preserve">[Online] </w:t>
              </w:r>
              <w:r w:rsidRPr="00D72E5B">
                <w:rPr>
                  <w:rFonts w:ascii="Arial" w:hAnsi="Arial" w:cs="Arial"/>
                  <w:noProof/>
                  <w:sz w:val="24"/>
                  <w:szCs w:val="24"/>
                  <w:lang w:val="en-US"/>
                </w:rPr>
                <w:br/>
                <w:t xml:space="preserve">Available at: </w:t>
              </w:r>
              <w:r w:rsidRPr="00D72E5B">
                <w:rPr>
                  <w:rFonts w:ascii="Arial" w:hAnsi="Arial" w:cs="Arial"/>
                  <w:noProof/>
                  <w:sz w:val="24"/>
                  <w:szCs w:val="24"/>
                  <w:u w:val="single"/>
                  <w:lang w:val="en-US"/>
                </w:rPr>
                <w:t>file:///F:/Egyptian%20Burial/Ancient%20Egyptian%20Alcohol_%20Beer,%20Wine%20a</w:t>
              </w:r>
              <w:r w:rsidRPr="00D72E5B">
                <w:rPr>
                  <w:rFonts w:ascii="Arial" w:hAnsi="Arial" w:cs="Arial"/>
                  <w:noProof/>
                  <w:sz w:val="24"/>
                  <w:szCs w:val="24"/>
                  <w:u w:val="single"/>
                  <w:lang w:val="en-US"/>
                </w:rPr>
                <w:lastRenderedPageBreak/>
                <w:t>nd%20the%20Festival%20of%20Drunkenness.html#.XJe8FiL7TIV</w:t>
              </w:r>
              <w:r w:rsidRPr="00D72E5B">
                <w:rPr>
                  <w:rFonts w:ascii="Arial" w:hAnsi="Arial" w:cs="Arial"/>
                  <w:noProof/>
                  <w:sz w:val="24"/>
                  <w:szCs w:val="24"/>
                  <w:lang w:val="en-US"/>
                </w:rPr>
                <w:br/>
                <w:t>[Accessed 20 03 2019].</w:t>
              </w:r>
            </w:p>
            <w:p w:rsidR="00D72E5B" w:rsidRDefault="00D72E5B" w:rsidP="00D72E5B">
              <w:pPr>
                <w:pStyle w:val="Bibliography"/>
                <w:rPr>
                  <w:noProof/>
                  <w:lang w:val="en-US"/>
                </w:rPr>
              </w:pPr>
              <w:r>
                <w:rPr>
                  <w:noProof/>
                  <w:lang w:val="en-US"/>
                </w:rPr>
                <w:t xml:space="preserve">Tassie, G., 2010. Funerary feasts and the function of early offering dishes. </w:t>
              </w:r>
              <w:r>
                <w:rPr>
                  <w:i/>
                  <w:iCs/>
                  <w:noProof/>
                  <w:lang w:val="en-US"/>
                </w:rPr>
                <w:t xml:space="preserve">https://www.academia.edu, </w:t>
              </w:r>
              <w:r>
                <w:rPr>
                  <w:noProof/>
                  <w:lang w:val="en-US"/>
                </w:rPr>
                <w:t>pp. 60-72.</w:t>
              </w:r>
            </w:p>
            <w:p w:rsidR="00D72E5B" w:rsidRDefault="00D72E5B" w:rsidP="00D72E5B">
              <w:pPr>
                <w:pStyle w:val="Bibliography"/>
                <w:rPr>
                  <w:noProof/>
                  <w:lang w:val="en-US"/>
                </w:rPr>
              </w:pPr>
              <w:r>
                <w:rPr>
                  <w:noProof/>
                  <w:lang w:val="en-US"/>
                </w:rPr>
                <w:t xml:space="preserve">Wodzińska, A., 2009. A Manual of Egyptian Pottery. In: </w:t>
              </w:r>
              <w:r>
                <w:rPr>
                  <w:i/>
                  <w:iCs/>
                  <w:noProof/>
                  <w:lang w:val="en-US"/>
                </w:rPr>
                <w:t xml:space="preserve">Volume 2: Naqada III–Middle Kingdom. </w:t>
              </w:r>
              <w:r>
                <w:rPr>
                  <w:noProof/>
                  <w:lang w:val="en-US"/>
                </w:rPr>
                <w:t>New Hampshire,: Puritan Press., pp. 1-245.</w:t>
              </w:r>
            </w:p>
            <w:p w:rsidR="00E8665E" w:rsidRPr="00E8665E" w:rsidRDefault="00E8665E" w:rsidP="00D72E5B">
              <w:pPr>
                <w:rPr>
                  <w:rFonts w:ascii="Arial" w:hAnsi="Arial" w:cs="Arial"/>
                  <w:sz w:val="28"/>
                  <w:szCs w:val="28"/>
                </w:rPr>
              </w:pPr>
              <w:r w:rsidRPr="00E8665E">
                <w:rPr>
                  <w:rFonts w:ascii="Arial" w:hAnsi="Arial" w:cs="Arial"/>
                  <w:sz w:val="28"/>
                  <w:szCs w:val="28"/>
                </w:rPr>
                <w:fldChar w:fldCharType="end"/>
              </w:r>
            </w:p>
          </w:sdtContent>
        </w:sdt>
      </w:sdtContent>
    </w:sdt>
    <w:p w:rsidR="00D82CEB" w:rsidRDefault="00D82CEB" w:rsidP="00D82CEB">
      <w:pPr>
        <w:rPr>
          <w:rFonts w:ascii="Arial" w:hAnsi="Arial" w:cs="Arial"/>
          <w:sz w:val="28"/>
          <w:szCs w:val="28"/>
        </w:rPr>
      </w:pPr>
    </w:p>
    <w:p w:rsidR="00E8665E" w:rsidRPr="00D82CEB" w:rsidRDefault="00E8665E" w:rsidP="00D82CEB">
      <w:pPr>
        <w:rPr>
          <w:rFonts w:ascii="Arial" w:hAnsi="Arial" w:cs="Arial"/>
          <w:sz w:val="28"/>
          <w:szCs w:val="28"/>
        </w:rPr>
      </w:pPr>
    </w:p>
    <w:p w:rsidR="00F42FFB" w:rsidRPr="00F3509F" w:rsidRDefault="00F42FFB" w:rsidP="00F3509F">
      <w:pPr>
        <w:rPr>
          <w:rFonts w:ascii="Arial" w:hAnsi="Arial" w:cs="Arial"/>
          <w:sz w:val="28"/>
          <w:szCs w:val="28"/>
        </w:rPr>
      </w:pPr>
    </w:p>
    <w:sectPr w:rsidR="00F42FFB" w:rsidRPr="00F3509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512" w:rsidRDefault="00070512" w:rsidP="00F42FFB">
      <w:pPr>
        <w:spacing w:after="0" w:line="240" w:lineRule="auto"/>
      </w:pPr>
      <w:r>
        <w:separator/>
      </w:r>
    </w:p>
  </w:endnote>
  <w:endnote w:type="continuationSeparator" w:id="0">
    <w:p w:rsidR="00070512" w:rsidRDefault="00070512" w:rsidP="00F42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4809318"/>
      <w:docPartObj>
        <w:docPartGallery w:val="Page Numbers (Bottom of Page)"/>
        <w:docPartUnique/>
      </w:docPartObj>
    </w:sdtPr>
    <w:sdtEndPr>
      <w:rPr>
        <w:noProof/>
      </w:rPr>
    </w:sdtEndPr>
    <w:sdtContent>
      <w:p w:rsidR="00F42FFB" w:rsidRDefault="00F42FFB">
        <w:pPr>
          <w:pStyle w:val="Footer"/>
          <w:jc w:val="right"/>
        </w:pPr>
        <w:r>
          <w:fldChar w:fldCharType="begin"/>
        </w:r>
        <w:r>
          <w:instrText xml:space="preserve"> PAGE   \* MERGEFORMAT </w:instrText>
        </w:r>
        <w:r>
          <w:fldChar w:fldCharType="separate"/>
        </w:r>
        <w:r w:rsidR="00D73E29">
          <w:rPr>
            <w:noProof/>
          </w:rPr>
          <w:t>3</w:t>
        </w:r>
        <w:r>
          <w:rPr>
            <w:noProof/>
          </w:rPr>
          <w:fldChar w:fldCharType="end"/>
        </w:r>
      </w:p>
    </w:sdtContent>
  </w:sdt>
  <w:p w:rsidR="00F42FFB" w:rsidRDefault="00F42F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512" w:rsidRDefault="00070512" w:rsidP="00F42FFB">
      <w:pPr>
        <w:spacing w:after="0" w:line="240" w:lineRule="auto"/>
      </w:pPr>
      <w:r>
        <w:separator/>
      </w:r>
    </w:p>
  </w:footnote>
  <w:footnote w:type="continuationSeparator" w:id="0">
    <w:p w:rsidR="00070512" w:rsidRDefault="00070512" w:rsidP="00F42F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FB" w:rsidRDefault="00F42FFB">
    <w:pPr>
      <w:pStyle w:val="Header"/>
    </w:pPr>
    <w:proofErr w:type="spellStart"/>
    <w:r>
      <w:t>Broyan</w:t>
    </w:r>
    <w:proofErr w:type="spellEnd"/>
    <w:r>
      <w:t xml:space="preserve"> Dymond</w:t>
    </w:r>
    <w:proofErr w:type="gramStart"/>
    <w:r>
      <w:t>:1303350</w:t>
    </w:r>
    <w:proofErr w:type="gramEnd"/>
    <w:r>
      <w:ptab w:relativeTo="margin" w:alignment="center" w:leader="none"/>
    </w:r>
    <w:r>
      <w:t>HPAR6011</w:t>
    </w:r>
    <w:r>
      <w:ptab w:relativeTo="margin" w:alignment="right" w:leader="none"/>
    </w:r>
    <w:r>
      <w:t>Funerary beliefs in Egypt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FFB"/>
    <w:rsid w:val="00070512"/>
    <w:rsid w:val="000A25F1"/>
    <w:rsid w:val="000E5E54"/>
    <w:rsid w:val="000F274F"/>
    <w:rsid w:val="00102789"/>
    <w:rsid w:val="001815D1"/>
    <w:rsid w:val="001D7814"/>
    <w:rsid w:val="0020311B"/>
    <w:rsid w:val="00206D5E"/>
    <w:rsid w:val="00220818"/>
    <w:rsid w:val="002B36C0"/>
    <w:rsid w:val="002C29F7"/>
    <w:rsid w:val="002C3F2A"/>
    <w:rsid w:val="00330BA3"/>
    <w:rsid w:val="00362B7A"/>
    <w:rsid w:val="00363956"/>
    <w:rsid w:val="00367CD7"/>
    <w:rsid w:val="003E4EB2"/>
    <w:rsid w:val="003F0F90"/>
    <w:rsid w:val="003F2140"/>
    <w:rsid w:val="00403C62"/>
    <w:rsid w:val="004058E0"/>
    <w:rsid w:val="00415D12"/>
    <w:rsid w:val="004203BE"/>
    <w:rsid w:val="004242F2"/>
    <w:rsid w:val="004D5490"/>
    <w:rsid w:val="00517126"/>
    <w:rsid w:val="00567841"/>
    <w:rsid w:val="0059602D"/>
    <w:rsid w:val="00596D09"/>
    <w:rsid w:val="005B621E"/>
    <w:rsid w:val="00641158"/>
    <w:rsid w:val="006A7CCA"/>
    <w:rsid w:val="006B57B7"/>
    <w:rsid w:val="006C6402"/>
    <w:rsid w:val="007146C6"/>
    <w:rsid w:val="007372EA"/>
    <w:rsid w:val="007417E5"/>
    <w:rsid w:val="007B0510"/>
    <w:rsid w:val="007D6284"/>
    <w:rsid w:val="00851D89"/>
    <w:rsid w:val="00854470"/>
    <w:rsid w:val="008563B4"/>
    <w:rsid w:val="008768EA"/>
    <w:rsid w:val="008873EB"/>
    <w:rsid w:val="008A5E10"/>
    <w:rsid w:val="00932FE2"/>
    <w:rsid w:val="009A0FF8"/>
    <w:rsid w:val="009D6FE3"/>
    <w:rsid w:val="00A8079B"/>
    <w:rsid w:val="00B007C2"/>
    <w:rsid w:val="00B366EA"/>
    <w:rsid w:val="00C551BE"/>
    <w:rsid w:val="00C7796C"/>
    <w:rsid w:val="00CB68A1"/>
    <w:rsid w:val="00CE0C35"/>
    <w:rsid w:val="00D41683"/>
    <w:rsid w:val="00D53168"/>
    <w:rsid w:val="00D72E5B"/>
    <w:rsid w:val="00D73E29"/>
    <w:rsid w:val="00D741AD"/>
    <w:rsid w:val="00D76C94"/>
    <w:rsid w:val="00D82CEB"/>
    <w:rsid w:val="00DC4F46"/>
    <w:rsid w:val="00DF0AF2"/>
    <w:rsid w:val="00E8665E"/>
    <w:rsid w:val="00ED5C8C"/>
    <w:rsid w:val="00F013E8"/>
    <w:rsid w:val="00F041D8"/>
    <w:rsid w:val="00F14CFD"/>
    <w:rsid w:val="00F3509F"/>
    <w:rsid w:val="00F42FFB"/>
    <w:rsid w:val="00FA297C"/>
    <w:rsid w:val="00FA40A0"/>
    <w:rsid w:val="00FB2E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2F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FFB"/>
    <w:rPr>
      <w:lang w:val="en-GB"/>
    </w:rPr>
  </w:style>
  <w:style w:type="paragraph" w:styleId="Footer">
    <w:name w:val="footer"/>
    <w:basedOn w:val="Normal"/>
    <w:link w:val="FooterChar"/>
    <w:uiPriority w:val="99"/>
    <w:unhideWhenUsed/>
    <w:rsid w:val="00F42F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FFB"/>
    <w:rPr>
      <w:lang w:val="en-GB"/>
    </w:rPr>
  </w:style>
  <w:style w:type="paragraph" w:styleId="NormalWeb">
    <w:name w:val="Normal (Web)"/>
    <w:basedOn w:val="Normal"/>
    <w:uiPriority w:val="99"/>
    <w:rsid w:val="006A7CCA"/>
    <w:pPr>
      <w:spacing w:before="100" w:beforeAutospacing="1" w:after="100" w:afterAutospacing="1" w:line="240" w:lineRule="auto"/>
    </w:pPr>
    <w:rPr>
      <w:rFonts w:ascii="Georgia" w:eastAsia="SimSun" w:hAnsi="Georgia" w:cs="Georgia"/>
      <w:color w:val="000000"/>
      <w:sz w:val="21"/>
      <w:szCs w:val="21"/>
      <w:lang w:eastAsia="zh-CN"/>
    </w:rPr>
  </w:style>
  <w:style w:type="paragraph" w:styleId="BalloonText">
    <w:name w:val="Balloon Text"/>
    <w:basedOn w:val="Normal"/>
    <w:link w:val="BalloonTextChar"/>
    <w:uiPriority w:val="99"/>
    <w:semiHidden/>
    <w:unhideWhenUsed/>
    <w:rsid w:val="007B05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510"/>
    <w:rPr>
      <w:rFonts w:ascii="Tahoma" w:hAnsi="Tahoma" w:cs="Tahoma"/>
      <w:sz w:val="16"/>
      <w:szCs w:val="16"/>
      <w:lang w:val="en-GB"/>
    </w:rPr>
  </w:style>
  <w:style w:type="paragraph" w:styleId="Bibliography">
    <w:name w:val="Bibliography"/>
    <w:basedOn w:val="Normal"/>
    <w:next w:val="Normal"/>
    <w:uiPriority w:val="37"/>
    <w:unhideWhenUsed/>
    <w:rsid w:val="00D72E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2F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FFB"/>
    <w:rPr>
      <w:lang w:val="en-GB"/>
    </w:rPr>
  </w:style>
  <w:style w:type="paragraph" w:styleId="Footer">
    <w:name w:val="footer"/>
    <w:basedOn w:val="Normal"/>
    <w:link w:val="FooterChar"/>
    <w:uiPriority w:val="99"/>
    <w:unhideWhenUsed/>
    <w:rsid w:val="00F42F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FFB"/>
    <w:rPr>
      <w:lang w:val="en-GB"/>
    </w:rPr>
  </w:style>
  <w:style w:type="paragraph" w:styleId="NormalWeb">
    <w:name w:val="Normal (Web)"/>
    <w:basedOn w:val="Normal"/>
    <w:uiPriority w:val="99"/>
    <w:rsid w:val="006A7CCA"/>
    <w:pPr>
      <w:spacing w:before="100" w:beforeAutospacing="1" w:after="100" w:afterAutospacing="1" w:line="240" w:lineRule="auto"/>
    </w:pPr>
    <w:rPr>
      <w:rFonts w:ascii="Georgia" w:eastAsia="SimSun" w:hAnsi="Georgia" w:cs="Georgia"/>
      <w:color w:val="000000"/>
      <w:sz w:val="21"/>
      <w:szCs w:val="21"/>
      <w:lang w:eastAsia="zh-CN"/>
    </w:rPr>
  </w:style>
  <w:style w:type="paragraph" w:styleId="BalloonText">
    <w:name w:val="Balloon Text"/>
    <w:basedOn w:val="Normal"/>
    <w:link w:val="BalloonTextChar"/>
    <w:uiPriority w:val="99"/>
    <w:semiHidden/>
    <w:unhideWhenUsed/>
    <w:rsid w:val="007B05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510"/>
    <w:rPr>
      <w:rFonts w:ascii="Tahoma" w:hAnsi="Tahoma" w:cs="Tahoma"/>
      <w:sz w:val="16"/>
      <w:szCs w:val="16"/>
      <w:lang w:val="en-GB"/>
    </w:rPr>
  </w:style>
  <w:style w:type="paragraph" w:styleId="Bibliography">
    <w:name w:val="Bibliography"/>
    <w:basedOn w:val="Normal"/>
    <w:next w:val="Normal"/>
    <w:uiPriority w:val="37"/>
    <w:unhideWhenUsed/>
    <w:rsid w:val="00D72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79535">
      <w:bodyDiv w:val="1"/>
      <w:marLeft w:val="0"/>
      <w:marRight w:val="0"/>
      <w:marTop w:val="0"/>
      <w:marBottom w:val="0"/>
      <w:divBdr>
        <w:top w:val="none" w:sz="0" w:space="0" w:color="auto"/>
        <w:left w:val="none" w:sz="0" w:space="0" w:color="auto"/>
        <w:bottom w:val="none" w:sz="0" w:space="0" w:color="auto"/>
        <w:right w:val="none" w:sz="0" w:space="0" w:color="auto"/>
      </w:divBdr>
    </w:div>
    <w:div w:id="55588548">
      <w:bodyDiv w:val="1"/>
      <w:marLeft w:val="0"/>
      <w:marRight w:val="0"/>
      <w:marTop w:val="0"/>
      <w:marBottom w:val="0"/>
      <w:divBdr>
        <w:top w:val="none" w:sz="0" w:space="0" w:color="auto"/>
        <w:left w:val="none" w:sz="0" w:space="0" w:color="auto"/>
        <w:bottom w:val="none" w:sz="0" w:space="0" w:color="auto"/>
        <w:right w:val="none" w:sz="0" w:space="0" w:color="auto"/>
      </w:divBdr>
    </w:div>
    <w:div w:id="108863608">
      <w:bodyDiv w:val="1"/>
      <w:marLeft w:val="0"/>
      <w:marRight w:val="0"/>
      <w:marTop w:val="0"/>
      <w:marBottom w:val="0"/>
      <w:divBdr>
        <w:top w:val="none" w:sz="0" w:space="0" w:color="auto"/>
        <w:left w:val="none" w:sz="0" w:space="0" w:color="auto"/>
        <w:bottom w:val="none" w:sz="0" w:space="0" w:color="auto"/>
        <w:right w:val="none" w:sz="0" w:space="0" w:color="auto"/>
      </w:divBdr>
    </w:div>
    <w:div w:id="183443525">
      <w:bodyDiv w:val="1"/>
      <w:marLeft w:val="0"/>
      <w:marRight w:val="0"/>
      <w:marTop w:val="0"/>
      <w:marBottom w:val="0"/>
      <w:divBdr>
        <w:top w:val="none" w:sz="0" w:space="0" w:color="auto"/>
        <w:left w:val="none" w:sz="0" w:space="0" w:color="auto"/>
        <w:bottom w:val="none" w:sz="0" w:space="0" w:color="auto"/>
        <w:right w:val="none" w:sz="0" w:space="0" w:color="auto"/>
      </w:divBdr>
    </w:div>
    <w:div w:id="272633906">
      <w:bodyDiv w:val="1"/>
      <w:marLeft w:val="0"/>
      <w:marRight w:val="0"/>
      <w:marTop w:val="0"/>
      <w:marBottom w:val="0"/>
      <w:divBdr>
        <w:top w:val="none" w:sz="0" w:space="0" w:color="auto"/>
        <w:left w:val="none" w:sz="0" w:space="0" w:color="auto"/>
        <w:bottom w:val="none" w:sz="0" w:space="0" w:color="auto"/>
        <w:right w:val="none" w:sz="0" w:space="0" w:color="auto"/>
      </w:divBdr>
    </w:div>
    <w:div w:id="334578873">
      <w:bodyDiv w:val="1"/>
      <w:marLeft w:val="0"/>
      <w:marRight w:val="0"/>
      <w:marTop w:val="0"/>
      <w:marBottom w:val="0"/>
      <w:divBdr>
        <w:top w:val="none" w:sz="0" w:space="0" w:color="auto"/>
        <w:left w:val="none" w:sz="0" w:space="0" w:color="auto"/>
        <w:bottom w:val="none" w:sz="0" w:space="0" w:color="auto"/>
        <w:right w:val="none" w:sz="0" w:space="0" w:color="auto"/>
      </w:divBdr>
    </w:div>
    <w:div w:id="394670462">
      <w:bodyDiv w:val="1"/>
      <w:marLeft w:val="0"/>
      <w:marRight w:val="0"/>
      <w:marTop w:val="0"/>
      <w:marBottom w:val="0"/>
      <w:divBdr>
        <w:top w:val="none" w:sz="0" w:space="0" w:color="auto"/>
        <w:left w:val="none" w:sz="0" w:space="0" w:color="auto"/>
        <w:bottom w:val="none" w:sz="0" w:space="0" w:color="auto"/>
        <w:right w:val="none" w:sz="0" w:space="0" w:color="auto"/>
      </w:divBdr>
    </w:div>
    <w:div w:id="409622360">
      <w:bodyDiv w:val="1"/>
      <w:marLeft w:val="0"/>
      <w:marRight w:val="0"/>
      <w:marTop w:val="0"/>
      <w:marBottom w:val="0"/>
      <w:divBdr>
        <w:top w:val="none" w:sz="0" w:space="0" w:color="auto"/>
        <w:left w:val="none" w:sz="0" w:space="0" w:color="auto"/>
        <w:bottom w:val="none" w:sz="0" w:space="0" w:color="auto"/>
        <w:right w:val="none" w:sz="0" w:space="0" w:color="auto"/>
      </w:divBdr>
    </w:div>
    <w:div w:id="447286470">
      <w:bodyDiv w:val="1"/>
      <w:marLeft w:val="0"/>
      <w:marRight w:val="0"/>
      <w:marTop w:val="0"/>
      <w:marBottom w:val="0"/>
      <w:divBdr>
        <w:top w:val="none" w:sz="0" w:space="0" w:color="auto"/>
        <w:left w:val="none" w:sz="0" w:space="0" w:color="auto"/>
        <w:bottom w:val="none" w:sz="0" w:space="0" w:color="auto"/>
        <w:right w:val="none" w:sz="0" w:space="0" w:color="auto"/>
      </w:divBdr>
    </w:div>
    <w:div w:id="448740175">
      <w:bodyDiv w:val="1"/>
      <w:marLeft w:val="0"/>
      <w:marRight w:val="0"/>
      <w:marTop w:val="0"/>
      <w:marBottom w:val="0"/>
      <w:divBdr>
        <w:top w:val="none" w:sz="0" w:space="0" w:color="auto"/>
        <w:left w:val="none" w:sz="0" w:space="0" w:color="auto"/>
        <w:bottom w:val="none" w:sz="0" w:space="0" w:color="auto"/>
        <w:right w:val="none" w:sz="0" w:space="0" w:color="auto"/>
      </w:divBdr>
    </w:div>
    <w:div w:id="595289497">
      <w:bodyDiv w:val="1"/>
      <w:marLeft w:val="0"/>
      <w:marRight w:val="0"/>
      <w:marTop w:val="0"/>
      <w:marBottom w:val="0"/>
      <w:divBdr>
        <w:top w:val="none" w:sz="0" w:space="0" w:color="auto"/>
        <w:left w:val="none" w:sz="0" w:space="0" w:color="auto"/>
        <w:bottom w:val="none" w:sz="0" w:space="0" w:color="auto"/>
        <w:right w:val="none" w:sz="0" w:space="0" w:color="auto"/>
      </w:divBdr>
    </w:div>
    <w:div w:id="643580437">
      <w:bodyDiv w:val="1"/>
      <w:marLeft w:val="0"/>
      <w:marRight w:val="0"/>
      <w:marTop w:val="0"/>
      <w:marBottom w:val="0"/>
      <w:divBdr>
        <w:top w:val="none" w:sz="0" w:space="0" w:color="auto"/>
        <w:left w:val="none" w:sz="0" w:space="0" w:color="auto"/>
        <w:bottom w:val="none" w:sz="0" w:space="0" w:color="auto"/>
        <w:right w:val="none" w:sz="0" w:space="0" w:color="auto"/>
      </w:divBdr>
    </w:div>
    <w:div w:id="651181365">
      <w:bodyDiv w:val="1"/>
      <w:marLeft w:val="0"/>
      <w:marRight w:val="0"/>
      <w:marTop w:val="0"/>
      <w:marBottom w:val="0"/>
      <w:divBdr>
        <w:top w:val="none" w:sz="0" w:space="0" w:color="auto"/>
        <w:left w:val="none" w:sz="0" w:space="0" w:color="auto"/>
        <w:bottom w:val="none" w:sz="0" w:space="0" w:color="auto"/>
        <w:right w:val="none" w:sz="0" w:space="0" w:color="auto"/>
      </w:divBdr>
    </w:div>
    <w:div w:id="718479414">
      <w:bodyDiv w:val="1"/>
      <w:marLeft w:val="0"/>
      <w:marRight w:val="0"/>
      <w:marTop w:val="0"/>
      <w:marBottom w:val="0"/>
      <w:divBdr>
        <w:top w:val="none" w:sz="0" w:space="0" w:color="auto"/>
        <w:left w:val="none" w:sz="0" w:space="0" w:color="auto"/>
        <w:bottom w:val="none" w:sz="0" w:space="0" w:color="auto"/>
        <w:right w:val="none" w:sz="0" w:space="0" w:color="auto"/>
      </w:divBdr>
    </w:div>
    <w:div w:id="751971318">
      <w:bodyDiv w:val="1"/>
      <w:marLeft w:val="0"/>
      <w:marRight w:val="0"/>
      <w:marTop w:val="0"/>
      <w:marBottom w:val="0"/>
      <w:divBdr>
        <w:top w:val="none" w:sz="0" w:space="0" w:color="auto"/>
        <w:left w:val="none" w:sz="0" w:space="0" w:color="auto"/>
        <w:bottom w:val="none" w:sz="0" w:space="0" w:color="auto"/>
        <w:right w:val="none" w:sz="0" w:space="0" w:color="auto"/>
      </w:divBdr>
    </w:div>
    <w:div w:id="756094118">
      <w:bodyDiv w:val="1"/>
      <w:marLeft w:val="0"/>
      <w:marRight w:val="0"/>
      <w:marTop w:val="0"/>
      <w:marBottom w:val="0"/>
      <w:divBdr>
        <w:top w:val="none" w:sz="0" w:space="0" w:color="auto"/>
        <w:left w:val="none" w:sz="0" w:space="0" w:color="auto"/>
        <w:bottom w:val="none" w:sz="0" w:space="0" w:color="auto"/>
        <w:right w:val="none" w:sz="0" w:space="0" w:color="auto"/>
      </w:divBdr>
    </w:div>
    <w:div w:id="802583032">
      <w:bodyDiv w:val="1"/>
      <w:marLeft w:val="0"/>
      <w:marRight w:val="0"/>
      <w:marTop w:val="0"/>
      <w:marBottom w:val="0"/>
      <w:divBdr>
        <w:top w:val="none" w:sz="0" w:space="0" w:color="auto"/>
        <w:left w:val="none" w:sz="0" w:space="0" w:color="auto"/>
        <w:bottom w:val="none" w:sz="0" w:space="0" w:color="auto"/>
        <w:right w:val="none" w:sz="0" w:space="0" w:color="auto"/>
      </w:divBdr>
    </w:div>
    <w:div w:id="818156807">
      <w:bodyDiv w:val="1"/>
      <w:marLeft w:val="0"/>
      <w:marRight w:val="0"/>
      <w:marTop w:val="0"/>
      <w:marBottom w:val="0"/>
      <w:divBdr>
        <w:top w:val="none" w:sz="0" w:space="0" w:color="auto"/>
        <w:left w:val="none" w:sz="0" w:space="0" w:color="auto"/>
        <w:bottom w:val="none" w:sz="0" w:space="0" w:color="auto"/>
        <w:right w:val="none" w:sz="0" w:space="0" w:color="auto"/>
      </w:divBdr>
    </w:div>
    <w:div w:id="840775474">
      <w:bodyDiv w:val="1"/>
      <w:marLeft w:val="0"/>
      <w:marRight w:val="0"/>
      <w:marTop w:val="0"/>
      <w:marBottom w:val="0"/>
      <w:divBdr>
        <w:top w:val="none" w:sz="0" w:space="0" w:color="auto"/>
        <w:left w:val="none" w:sz="0" w:space="0" w:color="auto"/>
        <w:bottom w:val="none" w:sz="0" w:space="0" w:color="auto"/>
        <w:right w:val="none" w:sz="0" w:space="0" w:color="auto"/>
      </w:divBdr>
    </w:div>
    <w:div w:id="869293609">
      <w:bodyDiv w:val="1"/>
      <w:marLeft w:val="0"/>
      <w:marRight w:val="0"/>
      <w:marTop w:val="0"/>
      <w:marBottom w:val="0"/>
      <w:divBdr>
        <w:top w:val="none" w:sz="0" w:space="0" w:color="auto"/>
        <w:left w:val="none" w:sz="0" w:space="0" w:color="auto"/>
        <w:bottom w:val="none" w:sz="0" w:space="0" w:color="auto"/>
        <w:right w:val="none" w:sz="0" w:space="0" w:color="auto"/>
      </w:divBdr>
    </w:div>
    <w:div w:id="907686978">
      <w:bodyDiv w:val="1"/>
      <w:marLeft w:val="0"/>
      <w:marRight w:val="0"/>
      <w:marTop w:val="0"/>
      <w:marBottom w:val="0"/>
      <w:divBdr>
        <w:top w:val="none" w:sz="0" w:space="0" w:color="auto"/>
        <w:left w:val="none" w:sz="0" w:space="0" w:color="auto"/>
        <w:bottom w:val="none" w:sz="0" w:space="0" w:color="auto"/>
        <w:right w:val="none" w:sz="0" w:space="0" w:color="auto"/>
      </w:divBdr>
    </w:div>
    <w:div w:id="935211870">
      <w:bodyDiv w:val="1"/>
      <w:marLeft w:val="0"/>
      <w:marRight w:val="0"/>
      <w:marTop w:val="0"/>
      <w:marBottom w:val="0"/>
      <w:divBdr>
        <w:top w:val="none" w:sz="0" w:space="0" w:color="auto"/>
        <w:left w:val="none" w:sz="0" w:space="0" w:color="auto"/>
        <w:bottom w:val="none" w:sz="0" w:space="0" w:color="auto"/>
        <w:right w:val="none" w:sz="0" w:space="0" w:color="auto"/>
      </w:divBdr>
    </w:div>
    <w:div w:id="944119259">
      <w:bodyDiv w:val="1"/>
      <w:marLeft w:val="0"/>
      <w:marRight w:val="0"/>
      <w:marTop w:val="0"/>
      <w:marBottom w:val="0"/>
      <w:divBdr>
        <w:top w:val="none" w:sz="0" w:space="0" w:color="auto"/>
        <w:left w:val="none" w:sz="0" w:space="0" w:color="auto"/>
        <w:bottom w:val="none" w:sz="0" w:space="0" w:color="auto"/>
        <w:right w:val="none" w:sz="0" w:space="0" w:color="auto"/>
      </w:divBdr>
    </w:div>
    <w:div w:id="1199318048">
      <w:bodyDiv w:val="1"/>
      <w:marLeft w:val="0"/>
      <w:marRight w:val="0"/>
      <w:marTop w:val="0"/>
      <w:marBottom w:val="0"/>
      <w:divBdr>
        <w:top w:val="none" w:sz="0" w:space="0" w:color="auto"/>
        <w:left w:val="none" w:sz="0" w:space="0" w:color="auto"/>
        <w:bottom w:val="none" w:sz="0" w:space="0" w:color="auto"/>
        <w:right w:val="none" w:sz="0" w:space="0" w:color="auto"/>
      </w:divBdr>
    </w:div>
    <w:div w:id="1217277816">
      <w:bodyDiv w:val="1"/>
      <w:marLeft w:val="0"/>
      <w:marRight w:val="0"/>
      <w:marTop w:val="0"/>
      <w:marBottom w:val="0"/>
      <w:divBdr>
        <w:top w:val="none" w:sz="0" w:space="0" w:color="auto"/>
        <w:left w:val="none" w:sz="0" w:space="0" w:color="auto"/>
        <w:bottom w:val="none" w:sz="0" w:space="0" w:color="auto"/>
        <w:right w:val="none" w:sz="0" w:space="0" w:color="auto"/>
      </w:divBdr>
    </w:div>
    <w:div w:id="1265269048">
      <w:bodyDiv w:val="1"/>
      <w:marLeft w:val="0"/>
      <w:marRight w:val="0"/>
      <w:marTop w:val="0"/>
      <w:marBottom w:val="0"/>
      <w:divBdr>
        <w:top w:val="none" w:sz="0" w:space="0" w:color="auto"/>
        <w:left w:val="none" w:sz="0" w:space="0" w:color="auto"/>
        <w:bottom w:val="none" w:sz="0" w:space="0" w:color="auto"/>
        <w:right w:val="none" w:sz="0" w:space="0" w:color="auto"/>
      </w:divBdr>
    </w:div>
    <w:div w:id="1326863677">
      <w:bodyDiv w:val="1"/>
      <w:marLeft w:val="0"/>
      <w:marRight w:val="0"/>
      <w:marTop w:val="0"/>
      <w:marBottom w:val="0"/>
      <w:divBdr>
        <w:top w:val="none" w:sz="0" w:space="0" w:color="auto"/>
        <w:left w:val="none" w:sz="0" w:space="0" w:color="auto"/>
        <w:bottom w:val="none" w:sz="0" w:space="0" w:color="auto"/>
        <w:right w:val="none" w:sz="0" w:space="0" w:color="auto"/>
      </w:divBdr>
    </w:div>
    <w:div w:id="1352561406">
      <w:bodyDiv w:val="1"/>
      <w:marLeft w:val="0"/>
      <w:marRight w:val="0"/>
      <w:marTop w:val="0"/>
      <w:marBottom w:val="0"/>
      <w:divBdr>
        <w:top w:val="none" w:sz="0" w:space="0" w:color="auto"/>
        <w:left w:val="none" w:sz="0" w:space="0" w:color="auto"/>
        <w:bottom w:val="none" w:sz="0" w:space="0" w:color="auto"/>
        <w:right w:val="none" w:sz="0" w:space="0" w:color="auto"/>
      </w:divBdr>
    </w:div>
    <w:div w:id="1385103828">
      <w:bodyDiv w:val="1"/>
      <w:marLeft w:val="0"/>
      <w:marRight w:val="0"/>
      <w:marTop w:val="0"/>
      <w:marBottom w:val="0"/>
      <w:divBdr>
        <w:top w:val="none" w:sz="0" w:space="0" w:color="auto"/>
        <w:left w:val="none" w:sz="0" w:space="0" w:color="auto"/>
        <w:bottom w:val="none" w:sz="0" w:space="0" w:color="auto"/>
        <w:right w:val="none" w:sz="0" w:space="0" w:color="auto"/>
      </w:divBdr>
    </w:div>
    <w:div w:id="1422800182">
      <w:bodyDiv w:val="1"/>
      <w:marLeft w:val="0"/>
      <w:marRight w:val="0"/>
      <w:marTop w:val="0"/>
      <w:marBottom w:val="0"/>
      <w:divBdr>
        <w:top w:val="none" w:sz="0" w:space="0" w:color="auto"/>
        <w:left w:val="none" w:sz="0" w:space="0" w:color="auto"/>
        <w:bottom w:val="none" w:sz="0" w:space="0" w:color="auto"/>
        <w:right w:val="none" w:sz="0" w:space="0" w:color="auto"/>
      </w:divBdr>
    </w:div>
    <w:div w:id="1473018189">
      <w:bodyDiv w:val="1"/>
      <w:marLeft w:val="0"/>
      <w:marRight w:val="0"/>
      <w:marTop w:val="0"/>
      <w:marBottom w:val="0"/>
      <w:divBdr>
        <w:top w:val="none" w:sz="0" w:space="0" w:color="auto"/>
        <w:left w:val="none" w:sz="0" w:space="0" w:color="auto"/>
        <w:bottom w:val="none" w:sz="0" w:space="0" w:color="auto"/>
        <w:right w:val="none" w:sz="0" w:space="0" w:color="auto"/>
      </w:divBdr>
    </w:div>
    <w:div w:id="1509952188">
      <w:bodyDiv w:val="1"/>
      <w:marLeft w:val="0"/>
      <w:marRight w:val="0"/>
      <w:marTop w:val="0"/>
      <w:marBottom w:val="0"/>
      <w:divBdr>
        <w:top w:val="none" w:sz="0" w:space="0" w:color="auto"/>
        <w:left w:val="none" w:sz="0" w:space="0" w:color="auto"/>
        <w:bottom w:val="none" w:sz="0" w:space="0" w:color="auto"/>
        <w:right w:val="none" w:sz="0" w:space="0" w:color="auto"/>
      </w:divBdr>
    </w:div>
    <w:div w:id="1531718011">
      <w:bodyDiv w:val="1"/>
      <w:marLeft w:val="0"/>
      <w:marRight w:val="0"/>
      <w:marTop w:val="0"/>
      <w:marBottom w:val="0"/>
      <w:divBdr>
        <w:top w:val="none" w:sz="0" w:space="0" w:color="auto"/>
        <w:left w:val="none" w:sz="0" w:space="0" w:color="auto"/>
        <w:bottom w:val="none" w:sz="0" w:space="0" w:color="auto"/>
        <w:right w:val="none" w:sz="0" w:space="0" w:color="auto"/>
      </w:divBdr>
    </w:div>
    <w:div w:id="1532691318">
      <w:bodyDiv w:val="1"/>
      <w:marLeft w:val="0"/>
      <w:marRight w:val="0"/>
      <w:marTop w:val="0"/>
      <w:marBottom w:val="0"/>
      <w:divBdr>
        <w:top w:val="none" w:sz="0" w:space="0" w:color="auto"/>
        <w:left w:val="none" w:sz="0" w:space="0" w:color="auto"/>
        <w:bottom w:val="none" w:sz="0" w:space="0" w:color="auto"/>
        <w:right w:val="none" w:sz="0" w:space="0" w:color="auto"/>
      </w:divBdr>
    </w:div>
    <w:div w:id="1681927115">
      <w:bodyDiv w:val="1"/>
      <w:marLeft w:val="0"/>
      <w:marRight w:val="0"/>
      <w:marTop w:val="0"/>
      <w:marBottom w:val="0"/>
      <w:divBdr>
        <w:top w:val="none" w:sz="0" w:space="0" w:color="auto"/>
        <w:left w:val="none" w:sz="0" w:space="0" w:color="auto"/>
        <w:bottom w:val="none" w:sz="0" w:space="0" w:color="auto"/>
        <w:right w:val="none" w:sz="0" w:space="0" w:color="auto"/>
      </w:divBdr>
    </w:div>
    <w:div w:id="1764834810">
      <w:bodyDiv w:val="1"/>
      <w:marLeft w:val="0"/>
      <w:marRight w:val="0"/>
      <w:marTop w:val="0"/>
      <w:marBottom w:val="0"/>
      <w:divBdr>
        <w:top w:val="none" w:sz="0" w:space="0" w:color="auto"/>
        <w:left w:val="none" w:sz="0" w:space="0" w:color="auto"/>
        <w:bottom w:val="none" w:sz="0" w:space="0" w:color="auto"/>
        <w:right w:val="none" w:sz="0" w:space="0" w:color="auto"/>
      </w:divBdr>
    </w:div>
    <w:div w:id="1808740847">
      <w:bodyDiv w:val="1"/>
      <w:marLeft w:val="0"/>
      <w:marRight w:val="0"/>
      <w:marTop w:val="0"/>
      <w:marBottom w:val="0"/>
      <w:divBdr>
        <w:top w:val="none" w:sz="0" w:space="0" w:color="auto"/>
        <w:left w:val="none" w:sz="0" w:space="0" w:color="auto"/>
        <w:bottom w:val="none" w:sz="0" w:space="0" w:color="auto"/>
        <w:right w:val="none" w:sz="0" w:space="0" w:color="auto"/>
      </w:divBdr>
    </w:div>
    <w:div w:id="1812364301">
      <w:bodyDiv w:val="1"/>
      <w:marLeft w:val="0"/>
      <w:marRight w:val="0"/>
      <w:marTop w:val="0"/>
      <w:marBottom w:val="0"/>
      <w:divBdr>
        <w:top w:val="none" w:sz="0" w:space="0" w:color="auto"/>
        <w:left w:val="none" w:sz="0" w:space="0" w:color="auto"/>
        <w:bottom w:val="none" w:sz="0" w:space="0" w:color="auto"/>
        <w:right w:val="none" w:sz="0" w:space="0" w:color="auto"/>
      </w:divBdr>
    </w:div>
    <w:div w:id="1835336440">
      <w:bodyDiv w:val="1"/>
      <w:marLeft w:val="0"/>
      <w:marRight w:val="0"/>
      <w:marTop w:val="0"/>
      <w:marBottom w:val="0"/>
      <w:divBdr>
        <w:top w:val="none" w:sz="0" w:space="0" w:color="auto"/>
        <w:left w:val="none" w:sz="0" w:space="0" w:color="auto"/>
        <w:bottom w:val="none" w:sz="0" w:space="0" w:color="auto"/>
        <w:right w:val="none" w:sz="0" w:space="0" w:color="auto"/>
      </w:divBdr>
    </w:div>
    <w:div w:id="1946838695">
      <w:bodyDiv w:val="1"/>
      <w:marLeft w:val="0"/>
      <w:marRight w:val="0"/>
      <w:marTop w:val="0"/>
      <w:marBottom w:val="0"/>
      <w:divBdr>
        <w:top w:val="none" w:sz="0" w:space="0" w:color="auto"/>
        <w:left w:val="none" w:sz="0" w:space="0" w:color="auto"/>
        <w:bottom w:val="none" w:sz="0" w:space="0" w:color="auto"/>
        <w:right w:val="none" w:sz="0" w:space="0" w:color="auto"/>
      </w:divBdr>
    </w:div>
    <w:div w:id="2022581779">
      <w:bodyDiv w:val="1"/>
      <w:marLeft w:val="0"/>
      <w:marRight w:val="0"/>
      <w:marTop w:val="0"/>
      <w:marBottom w:val="0"/>
      <w:divBdr>
        <w:top w:val="none" w:sz="0" w:space="0" w:color="auto"/>
        <w:left w:val="none" w:sz="0" w:space="0" w:color="auto"/>
        <w:bottom w:val="none" w:sz="0" w:space="0" w:color="auto"/>
        <w:right w:val="none" w:sz="0" w:space="0" w:color="auto"/>
      </w:divBdr>
    </w:div>
    <w:div w:id="202971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edi06</b:Tag>
    <b:SourceType>Book</b:SourceType>
    <b:Guid>{00FD4D4B-5C04-42C5-999C-C156EDB016FA}</b:Guid>
    <b:Author>
      <b:Author>
        <b:Corporate>edited by Fred Hocker</b:Corporate>
      </b:Author>
    </b:Author>
    <b:Title>Vasa 1: The Archaeology of a Swedish Warship of 1628</b:Title>
    <b:Year>2006</b:Year>
    <b:City>Stockholm</b:City>
    <b:Publisher>Oxbow Books</b:Publisher>
    <b:RefOrder>10</b:RefOrder>
  </b:Source>
  <b:Source>
    <b:Tag>Ann09</b:Tag>
    <b:SourceType>BookSection</b:SourceType>
    <b:Guid>{216774C4-800A-4145-9E26-1FB38F348720}</b:Guid>
    <b:Title>A Manual of Egyptian Pottery</b:Title>
    <b:Year>2009</b:Year>
    <b:Pages>1-245</b:Pages>
    <b:BookTitle>Volume 2: Naqada III–Middle Kingdom</b:BookTitle>
    <b:City>New Hampshire,</b:City>
    <b:Publisher>Puritan Press.</b:Publisher>
    <b:Author>
      <b:Author>
        <b:NameList>
          <b:Person>
            <b:Last>Wodzińska</b:Last>
            <b:First>Anna</b:First>
          </b:Person>
        </b:NameList>
      </b:Author>
    </b:Author>
    <b:RefOrder>1</b:RefOrder>
  </b:Source>
  <b:Source>
    <b:Tag>Att17</b:Tag>
    <b:SourceType>JournalArticle</b:SourceType>
    <b:Guid>{3C2B666A-7D43-4479-BDD9-812B78C484E7}</b:Guid>
    <b:Author>
      <b:Author>
        <b:NameList>
          <b:Person>
            <b:Last>Attia</b:Last>
            <b:First>Venice</b:First>
            <b:Middle>Ibrahim</b:Middle>
          </b:Person>
        </b:NameList>
      </b:Author>
    </b:Author>
    <b:Title>Bread in Ancient Egypt Bread in Ancient Egypt</b:Title>
    <b:Year>2017</b:Year>
    <b:Pages>1-6</b:Pages>
    <b:JournalName>: https://www.researchgate.net/publication/316587464</b:JournalName>
    <b:Volume>1</b:Volume>
    <b:RefOrder>9</b:RefOrder>
  </b:Source>
  <b:Source>
    <b:Tag>Liv19</b:Tag>
    <b:SourceType>InternetSite</b:SourceType>
    <b:Guid>{CDA6ED1E-E21F-430A-8A75-5A052E7FB7CD}</b:Guid>
    <b:Title>Liverpoolmuseums.html</b:Title>
    <b:Year>2019</b:Year>
    <b:Author>
      <b:Author>
        <b:Corporate>Liverpoolmuseums</b:Corporate>
      </b:Author>
    </b:Author>
    <b:YearAccessed>2019</b:YearAccessed>
    <b:MonthAccessed>03</b:MonthAccessed>
    <b:DayAccessed>20</b:DayAccessed>
    <b:URL>file:///F:/Egyptian%20Burial/Beer%20or%20Water%20Jar,%20Ancient%20Egypt%20collection%20-%20World%20Museum,%20Liverpool%20museums.html</b:URL>
    <b:RefOrder>4</b:RefOrder>
  </b:Source>
  <b:Source>
    <b:Tag>Anc19</b:Tag>
    <b:SourceType>InternetSite</b:SourceType>
    <b:Guid>{2F8B67B2-7D88-4341-98A1-8071FA58F1ED}</b:Guid>
    <b:Author>
      <b:Author>
        <b:Corporate>Ancient Egyptian online</b:Corporate>
      </b:Author>
    </b:Author>
    <b:Title>Ancient Egyptian online</b:Title>
    <b:Year>2019</b:Year>
    <b:YearAccessed>2019</b:YearAccessed>
    <b:MonthAccessed>03</b:MonthAccessed>
    <b:DayAccessed>20</b:DayAccessed>
    <b:URL>file:///F:/Egyptian%20Burial/Ancient%20Egypt%20Society_%20Beer.html</b:URL>
    <b:RefOrder>11</b:RefOrder>
  </b:Source>
  <b:Source>
    <b:Tag>Car13</b:Tag>
    <b:SourceType>InternetSite</b:SourceType>
    <b:Guid>{A75F7184-FB3E-400C-B8BE-AE8517ACF9AF}</b:Guid>
    <b:Author>
      <b:Author>
        <b:NameList>
          <b:Person>
            <b:Last>Seawright</b:Last>
            <b:First>Caroline</b:First>
          </b:Person>
        </b:NameList>
      </b:Author>
    </b:Author>
    <b:Title>Ancient Egyptian Alcohol: Beer, Wine and the Festival of Drunkenness</b:Title>
    <b:Year>2013</b:Year>
    <b:YearAccessed>2019</b:YearAccessed>
    <b:MonthAccessed>03</b:MonthAccessed>
    <b:DayAccessed>20</b:DayAccessed>
    <b:URL>file:///F:/Egyptian%20Burial/Ancient%20Egyptian%20Alcohol_%20Beer,%20Wine%20and%20the%20Festival%20of%20Drunkenness.html#.XJe8FiL7TIV</b:URL>
    <b:RefOrder>5</b:RefOrder>
  </b:Source>
  <b:Source>
    <b:Tag>Egy13</b:Tag>
    <b:SourceType>InternetSite</b:SourceType>
    <b:Guid>{B11B7735-7E3A-4AEC-B9F0-07EC770663F1}</b:Guid>
    <b:Author>
      <b:Author>
        <b:Corporate>Egyptian Burial/Ancient Egyptian pottery</b:Corporate>
      </b:Author>
    </b:Author>
    <b:Title>file:///F:/Egyptian%20Burial/Ancient%20Egyptian%20pottery.html</b:Title>
    <b:Year>2013</b:Year>
    <b:YearAccessed>2019</b:YearAccessed>
    <b:MonthAccessed>03</b:MonthAccessed>
    <b:DayAccessed>20</b:DayAccessed>
    <b:URL>file:///F:/Egyptian%20Burial/Ancient%20Egyptian%20pottery.html</b:URL>
    <b:RefOrder>12</b:RefOrder>
  </b:Source>
  <b:Source>
    <b:Tag>Jos17</b:Tag>
    <b:SourceType>InternetSite</b:SourceType>
    <b:Guid>{C08FDC9B-77D5-414E-B3D0-95F50080BAD7}</b:Guid>
    <b:Author>
      <b:Author>
        <b:NameList>
          <b:Person>
            <b:Last>Mark</b:Last>
            <b:First>Joshua</b:First>
            <b:Middle>J.</b:Middle>
          </b:Person>
        </b:NameList>
      </b:Author>
    </b:Author>
    <b:Title>Beer in Ancient Egypt</b:Title>
    <b:Year>2017</b:Year>
    <b:YearAccessed>2019</b:YearAccessed>
    <b:MonthAccessed>3</b:MonthAccessed>
    <b:DayAccessed>24</b:DayAccessed>
    <b:URL>https://www.ancient.eu/article/1033/beer-in-ancient-egypt/</b:URL>
    <b:RefOrder>13</b:RefOrder>
  </b:Source>
  <b:Source>
    <b:Tag>Wol03</b:Tag>
    <b:SourceType>Book</b:SourceType>
    <b:Guid>{CE911AEB-1801-4EBC-8FD5-1D7C2F4E1DE4}</b:Guid>
    <b:Author>
      <b:Author>
        <b:NameList>
          <b:Person>
            <b:Last>Grajetzki</b:Last>
            <b:First>Wolfram</b:First>
          </b:Person>
        </b:NameList>
      </b:Author>
    </b:Author>
    <b:Title>Burial Customs in Ancient Egypt</b:Title>
    <b:Year>2003</b:Year>
    <b:City>London</b:City>
    <b:Publisher>Duckworth</b:Publisher>
    <b:RefOrder>7</b:RefOrder>
  </b:Source>
  <b:Source>
    <b:Tag>Joh01</b:Tag>
    <b:SourceType>Book</b:SourceType>
    <b:Guid>{5647B946-646A-49A5-809F-C386EFC6015F}</b:Guid>
    <b:Author>
      <b:Author>
        <b:NameList>
          <b:Person>
            <b:Last>H.Taylor</b:Last>
            <b:First>John</b:First>
          </b:Person>
        </b:NameList>
      </b:Author>
    </b:Author>
    <b:Title>Death &amp; the afterlife in Ancient Egypt</b:Title>
    <b:Year>2001</b:Year>
    <b:City>London</b:City>
    <b:Publisher>British Museum Press</b:Publisher>
    <b:RefOrder>6</b:RefOrder>
  </b:Source>
  <b:Source>
    <b:Tag>Geo</b:Tag>
    <b:SourceType>JournalArticle</b:SourceType>
    <b:Guid>{E8B147CC-0753-4A4A-AD22-246633665D13}</b:Guid>
    <b:Title>Funerary feasts and the function of early offering dishes</b:Title>
    <b:Author>
      <b:Author>
        <b:NameList>
          <b:Person>
            <b:Last>Tassie</b:Last>
            <b:First>Geoffrey</b:First>
          </b:Person>
        </b:NameList>
      </b:Author>
    </b:Author>
    <b:JournalName>https://www.academia.edu</b:JournalName>
    <b:Year>2010</b:Year>
    <b:Pages>60-72</b:Pages>
    <b:RefOrder>8</b:RefOrder>
  </b:Source>
  <b:Source>
    <b:Tag>Fin17</b:Tag>
    <b:SourceType>JournalArticle</b:SourceType>
    <b:Guid>{BB9BF0BD-7596-435A-84CA-80C0B8894C32}</b:Guid>
    <b:Title>A chemical study of the contents of an Early Dynastic Egyptian storage jar</b:Title>
    <b:Year>2017</b:Year>
    <b:Author>
      <b:Author>
        <b:NameList>
          <b:Person>
            <b:Last>Finch**</b:Last>
            <b:First>Andrew</b:First>
            <b:Middle>Hardy* and Paul</b:Middle>
          </b:Person>
        </b:NameList>
      </b:Author>
    </b:Author>
    <b:JournalName>Pharm Hist (Lond)</b:JournalName>
    <b:Pages>1-6</b:Pages>
    <b:Volume>https://www.ingentaconnect.com/content/bshp/ph/2017/00000047/00000001/art00001?crawler=true</b:Volume>
    <b:RefOrder>3</b:RefOrder>
  </b:Source>
  <b:Source>
    <b:Tag>Mic19</b:Tag>
    <b:SourceType>InternetSite</b:SourceType>
    <b:Guid>{07F96BBB-CD88-4B3D-A6B2-ECD1AC3E86EB}</b:Guid>
    <b:Author>
      <b:Author>
        <b:NameList>
          <b:Person>
            <b:Last>Boyle</b:Last>
            <b:First>Michaela</b:First>
            <b:Middle>Charles and Susan</b:Middle>
          </b:Person>
        </b:NameList>
      </b:Author>
    </b:Author>
    <b:Title>British MuseumBlog</b:Title>
    <b:Year>2019</b:Year>
    <b:YearAccessed>2019</b:YearAccessed>
    <b:MonthAccessed>03</b:MonthAccessed>
    <b:DayAccessed>20</b:DayAccessed>
    <b:URL>file:///F:/Egyptian%20Burial/A%20sip%20of%20history_%20ancient%20Egyptian%20beer%20%E2%80%93%20The%20British%20Museum%20Blog.html</b:URL>
    <b:RefOrder>2</b:RefOrder>
  </b:Source>
</b:Sources>
</file>

<file path=customXml/itemProps1.xml><?xml version="1.0" encoding="utf-8"?>
<ds:datastoreItem xmlns:ds="http://schemas.openxmlformats.org/officeDocument/2006/customXml" ds:itemID="{58227D1C-7C07-4816-AC93-7656E47E2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7</Pages>
  <Words>1170</Words>
  <Characters>6674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Eames</dc:creator>
  <cp:keywords/>
  <dc:description/>
  <cp:lastModifiedBy>Administrator</cp:lastModifiedBy>
  <cp:revision>28</cp:revision>
  <dcterms:created xsi:type="dcterms:W3CDTF">2019-03-27T10:07:00Z</dcterms:created>
  <dcterms:modified xsi:type="dcterms:W3CDTF">2019-04-04T13:01:00Z</dcterms:modified>
</cp:coreProperties>
</file>