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4B6D15">
        <w:tc>
          <w:tcPr>
            <w:tcW w:w="10910" w:type="dxa"/>
          </w:tcPr>
          <w:p w14:paraId="02F8EE88" w14:textId="3AD58DA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B6D15">
              <w:rPr>
                <w:rFonts w:ascii="Times New Roman" w:hAnsi="Times New Roman" w:cs="Times New Roman"/>
                <w:b/>
                <w:color w:val="auto"/>
                <w:sz w:val="48"/>
              </w:rPr>
              <w:t xml:space="preserve">Lynsey Greenhalgh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A958D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B6D15">
              <w:rPr>
                <w:rFonts w:ascii="Times New Roman" w:hAnsi="Times New Roman" w:cs="Times New Roman"/>
                <w:b/>
                <w:color w:val="auto"/>
                <w:sz w:val="48"/>
              </w:rPr>
              <w:t xml:space="preserve"> </w:t>
            </w:r>
            <w:r w:rsidR="004B6D15" w:rsidRPr="00937EE9">
              <w:rPr>
                <w:rFonts w:ascii="Times New Roman" w:hAnsi="Times New Roman" w:cs="Times New Roman"/>
                <w:b/>
                <w:sz w:val="48"/>
              </w:rPr>
              <w:t>2521895@student.uwtsd.ac.uk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836306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B6D15">
              <w:rPr>
                <w:rFonts w:ascii="Times New Roman" w:hAnsi="Times New Roman" w:cs="Times New Roman"/>
                <w:b/>
                <w:color w:val="auto"/>
                <w:sz w:val="48"/>
              </w:rPr>
              <w:t xml:space="preserve"> </w:t>
            </w:r>
            <w:r w:rsidR="004B6D15" w:rsidRPr="00937EE9">
              <w:rPr>
                <w:rFonts w:ascii="Times New Roman" w:hAnsi="Times New Roman" w:cs="Times New Roman"/>
                <w:b/>
                <w:sz w:val="48"/>
              </w:rPr>
              <w:t>2521895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E1A9AFF" w14:textId="77777777" w:rsidR="004B6D15" w:rsidRPr="00823374" w:rsidRDefault="004B6D15" w:rsidP="004B6D15">
            <w:pPr>
              <w:spacing w:line="360" w:lineRule="auto"/>
              <w:jc w:val="both"/>
              <w:rPr>
                <w:sz w:val="24"/>
                <w:szCs w:val="24"/>
              </w:rPr>
            </w:pPr>
            <w:r w:rsidRPr="00823374">
              <w:rPr>
                <w:sz w:val="24"/>
                <w:szCs w:val="24"/>
              </w:rPr>
              <w:t>This critically reflective case study examines a safeguarding assessment undertaken within statutory Children’s Services in Wales involving a 12-year-old White, British female (referred to as Child 1) who presented as seven weeks pregnant. Due to the child’s age, the circumstances required a significant safeguarding response, including the initiation of Section 47 enquiries, multi-agency assessment and ongoing support to both Child 1 and her mother. Child 1 was a 12-year-old White British female residing with her mother in Wales. English was the primary language spoken within the family; however, consistent with Welsh social work practice, consideration was given to the Welsh Government’s More Than Just Words framework and the Active Offer principle, which requires Welsh language services to be offered proactively and recognises language as an important aspect of wellbeing and person-centred care (Welsh Government, 2022; Social Care Wales, 2025). The importance of considering language needs is embedded within Welsh policy and reflects the values underpinning social care provision in Wales (Care Inspectorate Wales, 2026).</w:t>
            </w:r>
          </w:p>
          <w:p w14:paraId="6DB90DB6" w14:textId="77777777" w:rsidR="004B6D15" w:rsidRPr="00823374" w:rsidRDefault="004B6D15" w:rsidP="004B6D15">
            <w:pPr>
              <w:spacing w:line="360" w:lineRule="auto"/>
              <w:jc w:val="both"/>
              <w:rPr>
                <w:sz w:val="24"/>
                <w:szCs w:val="24"/>
              </w:rPr>
            </w:pPr>
          </w:p>
          <w:p w14:paraId="6F500097" w14:textId="77777777" w:rsidR="004B6D15" w:rsidRPr="00823374" w:rsidRDefault="004B6D15" w:rsidP="004B6D15">
            <w:pPr>
              <w:spacing w:line="360" w:lineRule="auto"/>
              <w:jc w:val="both"/>
              <w:rPr>
                <w:sz w:val="24"/>
                <w:szCs w:val="24"/>
              </w:rPr>
            </w:pPr>
            <w:r w:rsidRPr="00823374">
              <w:rPr>
                <w:sz w:val="24"/>
                <w:szCs w:val="24"/>
              </w:rPr>
              <w:t xml:space="preserve">Although Child 1 described the sexual relationship as consensual, the Sexual Offences Act 2003 recognises that children under the age of 13 are legally incapable of consenting to sexual </w:t>
            </w:r>
            <w:r w:rsidRPr="00823374">
              <w:rPr>
                <w:sz w:val="24"/>
                <w:szCs w:val="24"/>
              </w:rPr>
              <w:lastRenderedPageBreak/>
              <w:t>activity (Sexual Offences Act, 2003). Therefore, any sexual activity involving a child under 13 must be considered within a safeguarding and criminal framework, irrespective of the child's perception of the relationship. In addition, the Children Act 1989 places a duty upon local authorities to safeguard and promote the welfare of children, with the child's welfare being the paramount consideration when assessing risk and need (Children Act, 1989).</w:t>
            </w:r>
          </w:p>
          <w:p w14:paraId="6B339C43" w14:textId="77777777" w:rsidR="004B6D15" w:rsidRPr="00823374" w:rsidRDefault="004B6D15" w:rsidP="004B6D15">
            <w:pPr>
              <w:spacing w:line="360" w:lineRule="auto"/>
              <w:jc w:val="both"/>
              <w:rPr>
                <w:sz w:val="24"/>
                <w:szCs w:val="24"/>
              </w:rPr>
            </w:pPr>
          </w:p>
          <w:p w14:paraId="35FE9679" w14:textId="77777777" w:rsidR="004B6D15" w:rsidRPr="00823374" w:rsidRDefault="004B6D15" w:rsidP="004B6D15">
            <w:pPr>
              <w:spacing w:line="360" w:lineRule="auto"/>
              <w:jc w:val="both"/>
              <w:rPr>
                <w:sz w:val="24"/>
                <w:szCs w:val="24"/>
              </w:rPr>
            </w:pPr>
            <w:r w:rsidRPr="00823374">
              <w:rPr>
                <w:sz w:val="24"/>
                <w:szCs w:val="24"/>
              </w:rPr>
              <w:t>Consequently, the circumstances met the threshold for Section 47 enquiries under the Children Act 1989 to determine whether Child 1 was suffering, or likely to suffer, significant harm (Children Act, 1989). The assessment therefore required a careful balance between recognising Child 1's wishes and feelings and fulfilling statutory duties to protect her from harm. The Wales Safeguarding Procedures identify a clear responsibility upon social workers to undertake enquiries where safeguarding thresholds are met and to coordinate multi-agency intervention to protect children from harm (Wales Safeguarding Procedures, 2022). Given Child 1's age, there were also considerations relating to statutory rape guidance and the need to carefully assess whether there had been any coercion, exploitation, grooming or abuse, despite Child 1 consistently describing the relationship as consensual. This required a thorough multi-agency exploration of the circumstances surrounding the pregnancy whilst ensuring Child 1's wishes and feelings were heard, respected and incorporated into decision-making in accordance with child-centred practice.</w:t>
            </w:r>
          </w:p>
          <w:p w14:paraId="02DF7B99" w14:textId="77777777" w:rsidR="004B6D15" w:rsidRPr="00823374" w:rsidRDefault="004B6D15" w:rsidP="004B6D15">
            <w:pPr>
              <w:spacing w:line="360" w:lineRule="auto"/>
              <w:jc w:val="both"/>
              <w:rPr>
                <w:sz w:val="24"/>
                <w:szCs w:val="24"/>
              </w:rPr>
            </w:pPr>
          </w:p>
          <w:p w14:paraId="529555AD" w14:textId="77777777" w:rsidR="004B6D15" w:rsidRPr="00823374" w:rsidRDefault="004B6D15" w:rsidP="004B6D15">
            <w:pPr>
              <w:spacing w:line="360" w:lineRule="auto"/>
              <w:jc w:val="both"/>
              <w:rPr>
                <w:sz w:val="24"/>
                <w:szCs w:val="24"/>
              </w:rPr>
            </w:pPr>
            <w:r w:rsidRPr="00823374">
              <w:rPr>
                <w:sz w:val="24"/>
                <w:szCs w:val="24"/>
              </w:rPr>
              <w:t xml:space="preserve">There was significant historical involvement with Children's Services. When Child 1 was three years old, concerns relating to her mother's substance misuse and alcohol dependency resulted in Child 1 being removed from her care and placed within a kinship arrangement with her maternal grandmother. Following the death of her grandmother in 2022, Child 1 returned to her mother's care after a comprehensive assessment identified improvements in her mother's circumstances and parenting capacity. Whilst the return to her mother's care represented a positive outcome, it was important to consider the potential impact that early childhood adversity, attachment disruption and bereavement may have had upon Child 1's emotional wellbeing and development. In accordance with the Children Act 1989, consideration was given to Child 1's developmental needs, family history and the capacity of </w:t>
            </w:r>
            <w:r w:rsidRPr="00823374">
              <w:rPr>
                <w:sz w:val="24"/>
                <w:szCs w:val="24"/>
              </w:rPr>
              <w:lastRenderedPageBreak/>
              <w:t>her mother to provide safe and effective care, recognising that past experiences can continue to influence a child's vulnerability and resilience.</w:t>
            </w:r>
          </w:p>
          <w:p w14:paraId="4604B76D" w14:textId="77777777" w:rsidR="004B6D15" w:rsidRPr="00823374" w:rsidRDefault="004B6D15" w:rsidP="004B6D15">
            <w:pPr>
              <w:spacing w:line="360" w:lineRule="auto"/>
              <w:jc w:val="both"/>
              <w:rPr>
                <w:sz w:val="24"/>
                <w:szCs w:val="24"/>
              </w:rPr>
            </w:pPr>
          </w:p>
          <w:p w14:paraId="3DFD9874" w14:textId="77777777" w:rsidR="004B6D15" w:rsidRPr="00823374" w:rsidRDefault="004B6D15" w:rsidP="004B6D15">
            <w:pPr>
              <w:spacing w:line="360" w:lineRule="auto"/>
              <w:jc w:val="both"/>
              <w:rPr>
                <w:sz w:val="24"/>
                <w:szCs w:val="24"/>
              </w:rPr>
            </w:pPr>
            <w:r w:rsidRPr="00823374">
              <w:rPr>
                <w:sz w:val="24"/>
                <w:szCs w:val="24"/>
              </w:rPr>
              <w:t>Throughout the assessment, mother expressed considerable guilt regarding Child 1's childhood experiences and repeatedly reflected upon the impact her previous difficulties had upon her daughter. Analysis of the family dynamics suggested that this guilt had contributed to a parenting approach whereby mother often adopted the role of a friend rather than maintaining clear parental boundaries. Whilst the relationship between mother and Child 1 appeared warm and emotionally connected, concerns arose regarding supervision, guidance and age-appropriate boundaries. Mother acknowledged that she frequently found it difficult to challenge Child 1 or enforce rules due to feelings of regret about the years she had missed during her daughter's childhood. These factors raised questions regarding whether a lack of parental boundaries may have increased Child 1's vulnerability to risk-taking behaviours. Consistent with the welfare principle set out within the Children Act 1989, the assessment sought to understand how parenting capacity, family relationships and environmental factors may have impacted upon Child 1's safety and welfare.</w:t>
            </w:r>
          </w:p>
          <w:p w14:paraId="44CE7B66" w14:textId="77777777" w:rsidR="004B6D15" w:rsidRPr="00823374" w:rsidRDefault="004B6D15" w:rsidP="004B6D15">
            <w:pPr>
              <w:spacing w:line="360" w:lineRule="auto"/>
              <w:jc w:val="both"/>
              <w:rPr>
                <w:sz w:val="24"/>
                <w:szCs w:val="24"/>
              </w:rPr>
            </w:pPr>
          </w:p>
          <w:p w14:paraId="4060C90D" w14:textId="77777777" w:rsidR="004B6D15" w:rsidRPr="00823374" w:rsidRDefault="004B6D15" w:rsidP="004B6D15">
            <w:pPr>
              <w:spacing w:line="360" w:lineRule="auto"/>
              <w:jc w:val="both"/>
              <w:rPr>
                <w:sz w:val="24"/>
                <w:szCs w:val="24"/>
              </w:rPr>
            </w:pPr>
            <w:r w:rsidRPr="00823374">
              <w:rPr>
                <w:sz w:val="24"/>
                <w:szCs w:val="24"/>
              </w:rPr>
              <w:t xml:space="preserve">Although safeguarding practice is devolved to Wales, decision-making is informed by wider UK and international legal frameworks. The Children Act 1989 establishes that the welfare of the child is paramount, whilst the Human Rights Act 1998, incorporating Article 8 of the European Convention on Human Rights, requires professionals to balance a child’s right to private and family life with the state's duty to intervene where there is a risk of significant harm (Children Act, 1989; Human Rights Act, 1998). In this case, Section 47 enquiries represented a necessary and proportionate intervention in response to concerns regarding Child 1’s welfare. The principles underpinning the United Nations Convention on the Rights of the Child (UNCRC) were also central to practice, particularly Article 3, which prioritises the child’s best interests, and Article 12, which recognises the child’s right to participate in decisions affecting them (United Nations, 1989). Reflecting on this case highlighted the complexity of safeguarding children who are able to articulate their wishes and feelings, but who remain legally and developmentally vulnerable. It reinforced the importance of professional </w:t>
            </w:r>
            <w:r w:rsidRPr="00823374">
              <w:rPr>
                <w:sz w:val="24"/>
                <w:szCs w:val="24"/>
              </w:rPr>
              <w:lastRenderedPageBreak/>
              <w:t>judgement in balancing children’s rights, autonomy and participation with the statutory responsibility to protect them from harm.</w:t>
            </w:r>
          </w:p>
          <w:p w14:paraId="5C0DDF1F" w14:textId="77777777" w:rsidR="004B6D15" w:rsidRPr="00823374" w:rsidRDefault="004B6D15" w:rsidP="004B6D15">
            <w:pPr>
              <w:spacing w:line="360" w:lineRule="auto"/>
              <w:jc w:val="both"/>
              <w:rPr>
                <w:sz w:val="24"/>
                <w:szCs w:val="24"/>
              </w:rPr>
            </w:pPr>
          </w:p>
          <w:p w14:paraId="1B359B94" w14:textId="77777777" w:rsidR="004B6D15" w:rsidRPr="00823374" w:rsidRDefault="004B6D15" w:rsidP="004B6D15">
            <w:pPr>
              <w:spacing w:line="360" w:lineRule="auto"/>
              <w:jc w:val="both"/>
              <w:rPr>
                <w:sz w:val="24"/>
                <w:szCs w:val="24"/>
              </w:rPr>
            </w:pPr>
            <w:r w:rsidRPr="00823374">
              <w:rPr>
                <w:sz w:val="24"/>
                <w:szCs w:val="24"/>
              </w:rPr>
              <w:t xml:space="preserve">As part of the safeguarding response, Child 1 was supported to attend a Sexual Assault Referral Centre (SARC) medical assessment. Whilst there was no disclosure of sexual assault, the assessment was considered necessary due to Child 1's age and the need to assess her health, welfare and ability to make informed decisions regarding her pregnancy. A significant aspect of the assessment involved consideration of Gillick Competence and the Fraser Guidelines. Gillick competence derives from </w:t>
            </w:r>
            <w:r w:rsidRPr="00823374">
              <w:rPr>
                <w:i/>
                <w:iCs/>
                <w:sz w:val="24"/>
                <w:szCs w:val="24"/>
              </w:rPr>
              <w:t>Gillick v West Norfolk and Wisbech Area Health Authority</w:t>
            </w:r>
            <w:r w:rsidRPr="00823374">
              <w:rPr>
                <w:sz w:val="24"/>
                <w:szCs w:val="24"/>
              </w:rPr>
              <w:t xml:space="preserve"> [1986] and refers to a child's ability to make healthcare decisions where they possess sufficient understanding and maturity to comprehend the nature, purpose and consequences of those decisions. As Child 1 expressed a wish to pursue a termination of pregnancy, healthcare professionals were required to determine whether she had the capacity to make this decision independently. Consequently, Child 1 attended the SARC, where medical professionals assessed her understanding of the pregnancy, the options available to her and the potential implications of treatment.</w:t>
            </w:r>
          </w:p>
          <w:p w14:paraId="729E4525" w14:textId="77777777" w:rsidR="004B6D15" w:rsidRPr="00823374" w:rsidRDefault="004B6D15" w:rsidP="004B6D15">
            <w:pPr>
              <w:spacing w:line="360" w:lineRule="auto"/>
              <w:jc w:val="both"/>
              <w:rPr>
                <w:sz w:val="24"/>
                <w:szCs w:val="24"/>
              </w:rPr>
            </w:pPr>
          </w:p>
          <w:p w14:paraId="3CCF881D" w14:textId="77777777" w:rsidR="004B6D15" w:rsidRPr="00823374" w:rsidRDefault="004B6D15" w:rsidP="004B6D15">
            <w:pPr>
              <w:spacing w:line="360" w:lineRule="auto"/>
              <w:jc w:val="both"/>
              <w:rPr>
                <w:sz w:val="24"/>
                <w:szCs w:val="24"/>
              </w:rPr>
            </w:pPr>
            <w:r w:rsidRPr="00823374">
              <w:rPr>
                <w:sz w:val="24"/>
                <w:szCs w:val="24"/>
              </w:rPr>
              <w:t xml:space="preserve">Although Child 1 demonstrated a significant level of maturity and understanding throughout the assessment, her developmental vulnerability remained an important consideration. Reflecting on this process highlighted the complexity of balancing autonomy and protection within safeguarding practice. Whilst Child 1 was able to clearly articulate her wishes and demonstrate an understanding of the decisions she faced, her age and legal status required professionals to consider her broader vulnerability and need for safeguarding intervention. This reinforced that competence to make a specific healthcare decision does not remove the professional responsibility to assess and respond to potential risk. The experience challenged me to consider how children's rights to participation and self-determination can be upheld whilst ensuring that safeguarding remains paramount. It also reinforced the importance of multi-agency decision-making, whereby health and social care professionals worked collaboratively to balance Child 1's autonomy, welfare and protection from harm. Following consultation with specialist services, Child 1 was supported to access termination services and was provided with advocacy throughout the process, ensuring that her wishes and </w:t>
            </w:r>
            <w:r w:rsidRPr="00823374">
              <w:rPr>
                <w:sz w:val="24"/>
                <w:szCs w:val="24"/>
              </w:rPr>
              <w:lastRenderedPageBreak/>
              <w:t>feelings remained central to decision-making in line with child-centred practice and the principles of the Children Act 1989 and the Social Services and Well-being (Wales) Act 2014. Further support was provided through the Genitourinary Medicine (GUM) Clinic, where Child 1 received a contraceptive implant to reduce the likelihood of future unintended pregnancies.</w:t>
            </w:r>
          </w:p>
          <w:p w14:paraId="00A59B21" w14:textId="77777777" w:rsidR="004B6D15" w:rsidRPr="00823374" w:rsidRDefault="004B6D15" w:rsidP="004B6D15">
            <w:pPr>
              <w:spacing w:line="360" w:lineRule="auto"/>
              <w:jc w:val="both"/>
              <w:rPr>
                <w:sz w:val="24"/>
                <w:szCs w:val="24"/>
              </w:rPr>
            </w:pPr>
          </w:p>
          <w:p w14:paraId="6C3CE540" w14:textId="77777777" w:rsidR="004B6D15" w:rsidRPr="00823374" w:rsidRDefault="004B6D15" w:rsidP="004B6D15">
            <w:pPr>
              <w:spacing w:line="360" w:lineRule="auto"/>
              <w:jc w:val="both"/>
              <w:rPr>
                <w:sz w:val="24"/>
                <w:szCs w:val="24"/>
              </w:rPr>
            </w:pPr>
            <w:r w:rsidRPr="00823374">
              <w:rPr>
                <w:sz w:val="24"/>
                <w:szCs w:val="24"/>
              </w:rPr>
              <w:t>Throughout the intervention, the principles of the Children Act 1989 remained central to practice. The Act underpinned the statutory assessment of risk, the Section 47 enquiries, the multi-agency safeguarding response and the ongoing consideration of Child 1's welfare. Whilst Child 1's wishes and feelings were carefully considered, professionals were required to ensure that decisions remained focused upon her safety, welfare and protection from harm. This case therefore provides an opportunity to critically reflect upon safeguarding practice, legislative responsibilities, multi-agency collaboration and the application of social work theory within the Welsh context (Children Act 1989; Sexual Offences Act 2003; Social Services and Well-being (Wales) Act 2014; Wales Safeguarding Procedures, 2022).</w:t>
            </w:r>
          </w:p>
          <w:p w14:paraId="7733C527" w14:textId="77777777" w:rsidR="004B6D15" w:rsidRPr="00823374" w:rsidRDefault="004B6D15" w:rsidP="004B6D15">
            <w:pPr>
              <w:spacing w:line="360" w:lineRule="auto"/>
              <w:jc w:val="both"/>
              <w:rPr>
                <w:sz w:val="24"/>
                <w:szCs w:val="24"/>
              </w:rPr>
            </w:pPr>
          </w:p>
          <w:p w14:paraId="181F6D1F" w14:textId="77777777" w:rsidR="004B6D15" w:rsidRPr="00823374" w:rsidRDefault="004B6D15" w:rsidP="004B6D15">
            <w:pPr>
              <w:spacing w:line="360" w:lineRule="auto"/>
              <w:jc w:val="both"/>
              <w:rPr>
                <w:sz w:val="24"/>
                <w:szCs w:val="24"/>
              </w:rPr>
            </w:pPr>
            <w:r w:rsidRPr="00823374">
              <w:rPr>
                <w:sz w:val="24"/>
                <w:szCs w:val="24"/>
              </w:rPr>
              <w:t>A distinctive feature of safeguarding practice in Wales is the role of Regional Safeguarding Boards, established under Part 7 of the Social Services and Well-being (Wales) Act 2014 (Social Services and Well-being (Wales) Act, 2014). These Boards are responsible for promoting multi-agency accountability, safeguarding effectiveness, shared learning and consistency of practice across partner agencies (Welsh Government, 2024; Wales Safeguarding Procedures, 2022). Their function reflects the recognition that safeguarding is a collective responsibility, and that effective protection of children requires coordinated responses across organisations and professional groups.</w:t>
            </w:r>
          </w:p>
          <w:p w14:paraId="08A9ECCC" w14:textId="77777777" w:rsidR="004B6D15" w:rsidRPr="00823374" w:rsidRDefault="004B6D15" w:rsidP="004B6D15">
            <w:pPr>
              <w:spacing w:line="360" w:lineRule="auto"/>
              <w:jc w:val="both"/>
              <w:rPr>
                <w:sz w:val="24"/>
                <w:szCs w:val="24"/>
              </w:rPr>
            </w:pPr>
          </w:p>
          <w:p w14:paraId="79EDF9DD" w14:textId="77777777" w:rsidR="004B6D15" w:rsidRPr="00823374" w:rsidRDefault="004B6D15" w:rsidP="004B6D15">
            <w:pPr>
              <w:spacing w:line="360" w:lineRule="auto"/>
              <w:jc w:val="both"/>
              <w:rPr>
                <w:sz w:val="24"/>
                <w:szCs w:val="24"/>
              </w:rPr>
            </w:pPr>
            <w:r w:rsidRPr="00823374">
              <w:rPr>
                <w:sz w:val="24"/>
                <w:szCs w:val="24"/>
              </w:rPr>
              <w:t xml:space="preserve">The Welsh approach to social work is characterised by a strong emphasis on </w:t>
            </w:r>
            <w:proofErr w:type="gramStart"/>
            <w:r w:rsidRPr="00823374">
              <w:rPr>
                <w:sz w:val="24"/>
                <w:szCs w:val="24"/>
              </w:rPr>
              <w:t>rights based</w:t>
            </w:r>
            <w:proofErr w:type="gramEnd"/>
            <w:r w:rsidRPr="00823374">
              <w:rPr>
                <w:sz w:val="24"/>
                <w:szCs w:val="24"/>
              </w:rPr>
              <w:t xml:space="preserve"> practice, co-production, voice and control, wellbeing and prevention (Social Services and Well-being (Wales) Act, 2014). These principles are supported by the Wales Safeguarding Procedures, which provide a national framework to promote consistency in safeguarding practice across Wales whilst recognising the importance of professional judgement and child-centred decision-making (Wales Safeguarding Procedures, 2022). Throughout this case, these principles were reflected in efforts to ensure that Child 1's wishes and feelings remained </w:t>
            </w:r>
            <w:r w:rsidRPr="00823374">
              <w:rPr>
                <w:sz w:val="24"/>
                <w:szCs w:val="24"/>
              </w:rPr>
              <w:lastRenderedPageBreak/>
              <w:t>central to assessment and intervention, whilst maintaining an appropriate safeguarding response.</w:t>
            </w:r>
          </w:p>
          <w:p w14:paraId="3997967C" w14:textId="77777777" w:rsidR="004B6D15" w:rsidRPr="00823374" w:rsidRDefault="004B6D15" w:rsidP="004B6D15">
            <w:pPr>
              <w:spacing w:line="360" w:lineRule="auto"/>
              <w:jc w:val="both"/>
              <w:rPr>
                <w:sz w:val="24"/>
                <w:szCs w:val="24"/>
              </w:rPr>
            </w:pPr>
          </w:p>
          <w:p w14:paraId="0774EEFD" w14:textId="77777777" w:rsidR="004B6D15" w:rsidRPr="00823374" w:rsidRDefault="004B6D15" w:rsidP="004B6D15">
            <w:pPr>
              <w:spacing w:line="360" w:lineRule="auto"/>
              <w:jc w:val="both"/>
              <w:rPr>
                <w:sz w:val="24"/>
                <w:szCs w:val="24"/>
              </w:rPr>
            </w:pPr>
            <w:r w:rsidRPr="00823374">
              <w:rPr>
                <w:sz w:val="24"/>
                <w:szCs w:val="24"/>
              </w:rPr>
              <w:t>Reflecting upon this case highlighted the strengths of the Welsh safeguarding model, particularly its emphasis on participation, wellbeing and collaborative practice. Whilst statutory intervention was necessary due to the seriousness of the concerns, the Welsh framework encouraged professionals to engage with Child 1 as an active participant in decision-making rather than solely as the subject of investigation. This reinforced my understanding that effective safeguarding extends beyond risk management and requires practitioners to work alongside children and families to promote wellbeing, resilience and positive outcomes. The experience strengthened my appreciation of how rights-based and relationship-based approaches can complement statutory safeguarding responsibilities, ensuring that protection and participation are considered together rather than as competing priorities (United Nations, 1989; Social Services and Well-being (Wales) Act, 2014).</w:t>
            </w:r>
          </w:p>
          <w:p w14:paraId="2C010E84" w14:textId="77777777" w:rsidR="004B6D15" w:rsidRPr="00823374" w:rsidRDefault="004B6D15" w:rsidP="004B6D15">
            <w:pPr>
              <w:spacing w:line="360" w:lineRule="auto"/>
              <w:jc w:val="both"/>
              <w:rPr>
                <w:sz w:val="24"/>
                <w:szCs w:val="24"/>
              </w:rPr>
            </w:pPr>
          </w:p>
          <w:p w14:paraId="3F96B70B" w14:textId="77777777" w:rsidR="004B6D15" w:rsidRPr="00823374" w:rsidRDefault="004B6D15" w:rsidP="004B6D15">
            <w:pPr>
              <w:spacing w:line="360" w:lineRule="auto"/>
              <w:jc w:val="both"/>
              <w:rPr>
                <w:sz w:val="24"/>
                <w:szCs w:val="24"/>
              </w:rPr>
            </w:pPr>
            <w:r w:rsidRPr="00823374">
              <w:rPr>
                <w:sz w:val="24"/>
                <w:szCs w:val="24"/>
              </w:rPr>
              <w:t>As the allocated social worker, I was responsible for leading the Section 47 enquiries in accordance with the Children Act 1989, gathering and analysing information, coordinating multi-agency involvement, and ensuring that Child 1’s wishes and feelings remained central throughout the assessment process (Children Act, 1989). In line with the Wales Safeguarding Procedures, my role involved coordinating contributions from health, education and specialist services to develop a comprehensive understanding of risk, need and protective factors (Wales Safeguarding Procedures, 2022). Given the complexity of the circumstances, it was essential to maintain a child-centred approach whilst ensuring that statutory safeguarding responsibilities were fulfilled.</w:t>
            </w:r>
          </w:p>
          <w:p w14:paraId="13F8F9B7" w14:textId="77777777" w:rsidR="004B6D15" w:rsidRPr="00823374" w:rsidRDefault="004B6D15" w:rsidP="004B6D15">
            <w:pPr>
              <w:spacing w:line="360" w:lineRule="auto"/>
              <w:jc w:val="both"/>
              <w:rPr>
                <w:sz w:val="24"/>
                <w:szCs w:val="24"/>
              </w:rPr>
            </w:pPr>
          </w:p>
          <w:p w14:paraId="5190975A" w14:textId="77777777" w:rsidR="004B6D15" w:rsidRPr="00823374" w:rsidRDefault="004B6D15" w:rsidP="004B6D15">
            <w:pPr>
              <w:spacing w:line="360" w:lineRule="auto"/>
              <w:jc w:val="both"/>
              <w:rPr>
                <w:sz w:val="24"/>
                <w:szCs w:val="24"/>
              </w:rPr>
            </w:pPr>
            <w:r w:rsidRPr="00823374">
              <w:rPr>
                <w:sz w:val="24"/>
                <w:szCs w:val="24"/>
              </w:rPr>
              <w:t xml:space="preserve">In addition to investigative responsibilities, my role extended beyond assessment and intervention to include advocacy, emotional support and practical assistance. Child 1 and her mother were navigating a highly distressing period characterised by uncertainty, significant healthcare decisions and emotional pressure. Consequently, I supported access to specialist services, facilitated communication between professionals and family members, and assisted Child 1 in engaging with key appointments. This approach reflected the principles of the Social </w:t>
            </w:r>
            <w:r w:rsidRPr="00823374">
              <w:rPr>
                <w:sz w:val="24"/>
                <w:szCs w:val="24"/>
              </w:rPr>
              <w:lastRenderedPageBreak/>
              <w:t>Services and Well-being (Wales) Act 2014, which emphasises wellbeing, participation, voice and control, and relationship-based practice (Social Services and Well-being (Wales) Act, 2014).</w:t>
            </w:r>
          </w:p>
          <w:p w14:paraId="330B488A" w14:textId="77777777" w:rsidR="004B6D15" w:rsidRPr="00823374" w:rsidRDefault="004B6D15" w:rsidP="004B6D15">
            <w:pPr>
              <w:spacing w:line="360" w:lineRule="auto"/>
              <w:jc w:val="both"/>
              <w:rPr>
                <w:sz w:val="24"/>
                <w:szCs w:val="24"/>
              </w:rPr>
            </w:pPr>
          </w:p>
          <w:p w14:paraId="52EA9EBD" w14:textId="77777777" w:rsidR="004B6D15" w:rsidRPr="00823374" w:rsidRDefault="004B6D15" w:rsidP="004B6D15">
            <w:pPr>
              <w:spacing w:line="360" w:lineRule="auto"/>
              <w:jc w:val="both"/>
              <w:rPr>
                <w:sz w:val="24"/>
                <w:szCs w:val="24"/>
              </w:rPr>
            </w:pPr>
            <w:r w:rsidRPr="00823374">
              <w:rPr>
                <w:sz w:val="24"/>
                <w:szCs w:val="24"/>
              </w:rPr>
              <w:t>Critically reflecting on my involvement, I recognised the tensions that can arise when balancing statutory authority with the development of trusting professional relationships. Whilst my duty was to investigate potential significant harm and ensure Child 1’s safety, effective assessment relied upon establishing sufficient trust for Child 1 and her mother to engage openly with professionals. This required balancing professional curiosity with empathy, ensuring that safeguarding concerns were robustly explored without compromising the working relationship. This reflection aligns with relationship based social work theory, which emphasises that meaningful engagement is often fundamental to understanding lived experience and achieving positive outcomes (Ruch et al., 2018). The experience reinforced the importance of combining authoritative safeguarding practice with compassion and respect, recognising that children are more likely to participate effectively in assessments when they feel listened to, valued and understood (Munro, 2011).</w:t>
            </w:r>
          </w:p>
          <w:p w14:paraId="0DD892E1" w14:textId="77777777" w:rsidR="004B6D15" w:rsidRPr="00823374" w:rsidRDefault="004B6D15" w:rsidP="004B6D15">
            <w:pPr>
              <w:rPr>
                <w:sz w:val="24"/>
                <w:szCs w:val="24"/>
              </w:rPr>
            </w:pPr>
          </w:p>
          <w:p w14:paraId="48876986" w14:textId="77777777" w:rsidR="004B6D15" w:rsidRPr="00823374" w:rsidRDefault="004B6D15" w:rsidP="004B6D15">
            <w:pPr>
              <w:spacing w:line="360" w:lineRule="auto"/>
              <w:jc w:val="both"/>
              <w:rPr>
                <w:sz w:val="24"/>
                <w:szCs w:val="24"/>
              </w:rPr>
            </w:pPr>
            <w:r w:rsidRPr="00823374">
              <w:rPr>
                <w:sz w:val="24"/>
                <w:szCs w:val="24"/>
              </w:rPr>
              <w:t>A key learning outcome identified by Social Care Wales is the ability to integrate analysis into assessment rather than merely gathering information. Throughout this case, it would have been easy to focus exclusively on the presenting issue of Child 1's pregnancy. However, effective social work assessment required consideration of the broader factors that may have contributed to her vulnerability and the circumstances surrounding the referral. This emphasised the importance of moving beyond incident-focused practice to develop a holistic understanding of Child 1's lived experience.</w:t>
            </w:r>
          </w:p>
          <w:p w14:paraId="0DE824D5" w14:textId="77777777" w:rsidR="004B6D15" w:rsidRPr="00823374" w:rsidRDefault="004B6D15" w:rsidP="004B6D15">
            <w:pPr>
              <w:spacing w:line="360" w:lineRule="auto"/>
              <w:jc w:val="both"/>
              <w:rPr>
                <w:sz w:val="24"/>
                <w:szCs w:val="24"/>
              </w:rPr>
            </w:pPr>
          </w:p>
          <w:p w14:paraId="1DD9A91E" w14:textId="77777777" w:rsidR="004B6D15" w:rsidRPr="00823374" w:rsidRDefault="004B6D15" w:rsidP="004B6D15">
            <w:pPr>
              <w:spacing w:line="360" w:lineRule="auto"/>
              <w:jc w:val="both"/>
              <w:rPr>
                <w:sz w:val="24"/>
                <w:szCs w:val="24"/>
              </w:rPr>
            </w:pPr>
            <w:r w:rsidRPr="00823374">
              <w:rPr>
                <w:sz w:val="24"/>
                <w:szCs w:val="24"/>
              </w:rPr>
              <w:t xml:space="preserve">Effective safeguarding relies upon collaborative working and information sharing across agencies to ensure that children receive coordinated and timely support (Children Act, 1989; Wales Safeguarding Procedures, 2022). This case required the involvement of multiple professionals, including Children's Services, South Wales Police, health professionals, the Sexual Assault Referral Centre (SARC), the Genitourinary Medicine (GUM) Clinic, education services and specialist reproductive health services. The complexity of Child 1's </w:t>
            </w:r>
            <w:r w:rsidRPr="00823374">
              <w:rPr>
                <w:sz w:val="24"/>
                <w:szCs w:val="24"/>
              </w:rPr>
              <w:lastRenderedPageBreak/>
              <w:t>circumstances highlighted that no single agency held sufficient information or expertise to fully assess risk, meet her needs or support informed decision-making. Consequently, collaborative working was essential in developing a comprehensive understanding of Child 1's situation and ensuring that interventions remained focused on her welfare (Wales Safeguarding Procedures, 2022; Social Care Wales, 2025).</w:t>
            </w:r>
          </w:p>
          <w:p w14:paraId="42399E0B" w14:textId="77777777" w:rsidR="004B6D15" w:rsidRPr="00823374" w:rsidRDefault="004B6D15" w:rsidP="004B6D15">
            <w:pPr>
              <w:spacing w:line="360" w:lineRule="auto"/>
              <w:jc w:val="both"/>
              <w:rPr>
                <w:sz w:val="24"/>
                <w:szCs w:val="24"/>
              </w:rPr>
            </w:pPr>
          </w:p>
          <w:p w14:paraId="3770E40A" w14:textId="77777777" w:rsidR="004B6D15" w:rsidRPr="00823374" w:rsidRDefault="004B6D15" w:rsidP="004B6D15">
            <w:pPr>
              <w:spacing w:line="360" w:lineRule="auto"/>
              <w:jc w:val="both"/>
              <w:rPr>
                <w:sz w:val="24"/>
                <w:szCs w:val="24"/>
              </w:rPr>
            </w:pPr>
            <w:r w:rsidRPr="00823374">
              <w:rPr>
                <w:sz w:val="24"/>
                <w:szCs w:val="24"/>
              </w:rPr>
              <w:t xml:space="preserve">Attendance at the SARC was particularly significant. Although Child 1 described the sexual activity as consensual, professionals were required to consider the safeguarding implications arising from her age and the legal position that children under 13 cannot consent to sexual activity (Sexual Offences Act, 2003). The assessment therefore provided an opportunity for healthcare professionals to evaluate Child 1's health needs, assess her understanding of the pregnancy and explore her options regarding treatment and support. Information obtained through the medical assessment contributed to the wider multi-agency understanding of risk and assisted professionals in planning appropriate interventions. </w:t>
            </w:r>
          </w:p>
          <w:p w14:paraId="00E91786" w14:textId="77777777" w:rsidR="004B6D15" w:rsidRPr="00823374" w:rsidRDefault="004B6D15" w:rsidP="004B6D15">
            <w:pPr>
              <w:spacing w:line="360" w:lineRule="auto"/>
              <w:jc w:val="both"/>
              <w:rPr>
                <w:sz w:val="24"/>
                <w:szCs w:val="24"/>
              </w:rPr>
            </w:pPr>
          </w:p>
          <w:p w14:paraId="09381286" w14:textId="77777777" w:rsidR="004B6D15" w:rsidRPr="00823374" w:rsidRDefault="004B6D15" w:rsidP="004B6D15">
            <w:pPr>
              <w:spacing w:line="360" w:lineRule="auto"/>
              <w:jc w:val="both"/>
              <w:rPr>
                <w:sz w:val="24"/>
                <w:szCs w:val="24"/>
              </w:rPr>
            </w:pPr>
            <w:r w:rsidRPr="00823374">
              <w:rPr>
                <w:sz w:val="24"/>
                <w:szCs w:val="24"/>
              </w:rPr>
              <w:t>Following the termination of pregnancy, Child 1 was supported to access the GUM Clinic, where she received a contraceptive implant to reduce the likelihood of future unintended pregnancies. My role involved coordinating support across agencies, advocating for Child 1 and ensuring that relevant information was shared appropriately to inform assessment and decision-making. This required balancing confidentiality with safeguarding responsibilities and maintaining clear communication between professionals to ensure that Child 1 received a consistent and coordinated response (Social Services and Well-being (Wales) Act, 2014).</w:t>
            </w:r>
          </w:p>
          <w:p w14:paraId="472B63EA" w14:textId="77777777" w:rsidR="004B6D15" w:rsidRPr="00823374" w:rsidRDefault="004B6D15" w:rsidP="004B6D15">
            <w:pPr>
              <w:spacing w:line="360" w:lineRule="auto"/>
              <w:jc w:val="both"/>
              <w:rPr>
                <w:sz w:val="24"/>
                <w:szCs w:val="24"/>
              </w:rPr>
            </w:pPr>
          </w:p>
          <w:p w14:paraId="66A4E70D" w14:textId="77777777" w:rsidR="004B6D15" w:rsidRPr="00823374" w:rsidRDefault="004B6D15" w:rsidP="004B6D15">
            <w:pPr>
              <w:spacing w:line="360" w:lineRule="auto"/>
              <w:jc w:val="both"/>
              <w:rPr>
                <w:sz w:val="24"/>
                <w:szCs w:val="24"/>
              </w:rPr>
            </w:pPr>
            <w:r w:rsidRPr="00823374">
              <w:rPr>
                <w:sz w:val="24"/>
                <w:szCs w:val="24"/>
              </w:rPr>
              <w:t xml:space="preserve">Critically reflecting on this process reinforced my understanding that effective safeguarding is dependent upon the quality of multi-agency relationships rather than the actions of individual professionals alone. Whilst each agency contributed specialist knowledge, it was the collective analysis and sharing of information that enabled a balanced understanding of Child 1's circumstances. The case also highlighted the potential challenges of multi-agency working, including managing differing professional perspectives and ensuring that communication remained timely and child centred. Reflecting on my practice, I recognised that multi-agency working is most effective when professionals move beyond simply sharing information to </w:t>
            </w:r>
            <w:r w:rsidRPr="00823374">
              <w:rPr>
                <w:sz w:val="24"/>
                <w:szCs w:val="24"/>
              </w:rPr>
              <w:lastRenderedPageBreak/>
              <w:t>engaging in collaborative analysis and joint decision-making, thereby ensuring that the child's welfare remains the central focus of intervention (Munro, 2011; Wales Safeguarding Procedures, 2022). However, reflecting on my practice, I recognised the importance of having the confidence to both contribute to and appropriately challenge multi-agency discussions where required. Whilst partner agencies brought valuable expertise, they did not always possess the same level of understanding regarding the family's history, functioning and lived experiences. This reinforced the importance of ensuring that contextual information and relationship-based knowledge informed professional decision-making, enabling assessments and interventions to remain proportionate to the child's circumstances. The experience strengthened my appreciation that safeguarding outcomes are most effective when professional expertise is shared, constructive professional challenge is welcomed, and decision-making remains collaborative and centred upon the needs, voice and welfare of the child (Wales Safeguarding Procedures, 2022; Social Care Wales, 2025).</w:t>
            </w:r>
          </w:p>
          <w:p w14:paraId="5F40DA8D" w14:textId="77777777" w:rsidR="004B6D15" w:rsidRPr="00823374" w:rsidRDefault="004B6D15" w:rsidP="004B6D15">
            <w:pPr>
              <w:spacing w:line="360" w:lineRule="auto"/>
              <w:jc w:val="both"/>
              <w:rPr>
                <w:sz w:val="24"/>
                <w:szCs w:val="24"/>
              </w:rPr>
            </w:pPr>
          </w:p>
          <w:p w14:paraId="560D4497" w14:textId="77777777" w:rsidR="004B6D15" w:rsidRPr="00823374" w:rsidRDefault="004B6D15" w:rsidP="004B6D15">
            <w:pPr>
              <w:spacing w:line="360" w:lineRule="auto"/>
              <w:jc w:val="both"/>
              <w:rPr>
                <w:sz w:val="24"/>
                <w:szCs w:val="24"/>
              </w:rPr>
            </w:pPr>
            <w:r w:rsidRPr="00823374">
              <w:rPr>
                <w:sz w:val="24"/>
                <w:szCs w:val="24"/>
              </w:rPr>
              <w:t>This case required the application of complex professional judgement within a highly sensitive safeguarding context. Whilst Child 1 was able to articulate her wishes clearly and demonstrated a level of maturity beyond that typically expected for her age, she remained a highly vulnerable 12-year-old child requiring statutory protection. This created an intrinsic tension between respecting her autonomy and participation rights whilst fulfilling professional responsibilities to safeguard her welfare in accordance with the Children Act 1989, the Social Services and Well-being (Wales) Act 2014 and the United Nations Convention on the Rights of the Child (UNCRC) (Children Act, 1989; Social Services and Well-being (Wales) Act, 2014; United Nations, 1989).</w:t>
            </w:r>
          </w:p>
          <w:p w14:paraId="560D27E0" w14:textId="77777777" w:rsidR="004B6D15" w:rsidRPr="00823374" w:rsidRDefault="004B6D15" w:rsidP="004B6D15">
            <w:pPr>
              <w:spacing w:line="360" w:lineRule="auto"/>
              <w:jc w:val="both"/>
            </w:pPr>
          </w:p>
          <w:p w14:paraId="51BFA01B" w14:textId="77777777" w:rsidR="004B6D15" w:rsidRPr="00823374" w:rsidRDefault="004B6D15" w:rsidP="004B6D15">
            <w:pPr>
              <w:spacing w:line="360" w:lineRule="auto"/>
              <w:jc w:val="both"/>
              <w:rPr>
                <w:sz w:val="24"/>
                <w:szCs w:val="24"/>
              </w:rPr>
            </w:pPr>
            <w:r w:rsidRPr="00823374">
              <w:rPr>
                <w:sz w:val="24"/>
                <w:szCs w:val="24"/>
              </w:rPr>
              <w:t xml:space="preserve">The assessment also required careful consideration of parenting capacity. Whilst mother consistently demonstrated love, commitment and emotional warmth towards Child 1, concerns emerged regarding parental boundaries, supervision and authority. Reflecting on this aspect of the case, I recognised the importance of avoiding simplistic conclusions. Had I focused solely on the presenting concerns, there was a risk of overlooking the strengths within the mother-daughter relationship. Equally, focusing exclusively on strengths may have minimised factors that potentially increased Child 1's vulnerability. This reinforced the need to </w:t>
            </w:r>
            <w:r w:rsidRPr="00823374">
              <w:rPr>
                <w:sz w:val="24"/>
                <w:szCs w:val="24"/>
              </w:rPr>
              <w:lastRenderedPageBreak/>
              <w:t>balance competing information, consider alternative hypotheses and remain professionally curious throughout the assessment process (Munro, 2011).</w:t>
            </w:r>
          </w:p>
          <w:p w14:paraId="3F6DFC95" w14:textId="77777777" w:rsidR="004B6D15" w:rsidRPr="00823374" w:rsidRDefault="004B6D15" w:rsidP="004B6D15">
            <w:pPr>
              <w:spacing w:line="360" w:lineRule="auto"/>
              <w:jc w:val="both"/>
              <w:rPr>
                <w:sz w:val="24"/>
                <w:szCs w:val="24"/>
              </w:rPr>
            </w:pPr>
          </w:p>
          <w:p w14:paraId="797FB29F" w14:textId="77777777" w:rsidR="004B6D15" w:rsidRPr="00823374" w:rsidRDefault="004B6D15" w:rsidP="004B6D15">
            <w:pPr>
              <w:spacing w:line="360" w:lineRule="auto"/>
              <w:jc w:val="both"/>
              <w:rPr>
                <w:sz w:val="24"/>
                <w:szCs w:val="24"/>
              </w:rPr>
            </w:pPr>
            <w:r w:rsidRPr="00823374">
              <w:rPr>
                <w:sz w:val="24"/>
                <w:szCs w:val="24"/>
              </w:rPr>
              <w:t>Professional judgement was particularly important when considering Child 1's competence and capacity to make decisions regarding her pregnancy. Although she demonstrated significant understanding of the options available to her, I reflected on the risk of equating apparent maturity with reduced vulnerability. The assessment highlighted that a child may possess the competence to make specific healthcare decisions under Gillick Competence whilst simultaneously requiring safeguarding intervention due to their age and circumstances (Gillick v West Norfolk and Wisbech Area Health Authority, 1986). This challenged me to think critically about the relationship between autonomy, risk and protection and reinforced the importance of viewing children within the context of their overall developmental needs rather than isolated decisions.</w:t>
            </w:r>
          </w:p>
          <w:p w14:paraId="32F47D71" w14:textId="77777777" w:rsidR="004B6D15" w:rsidRPr="00823374" w:rsidRDefault="004B6D15" w:rsidP="004B6D15">
            <w:pPr>
              <w:spacing w:line="360" w:lineRule="auto"/>
              <w:jc w:val="both"/>
              <w:rPr>
                <w:sz w:val="24"/>
                <w:szCs w:val="24"/>
              </w:rPr>
            </w:pPr>
          </w:p>
          <w:p w14:paraId="687D1F4E" w14:textId="77777777" w:rsidR="004B6D15" w:rsidRPr="00823374" w:rsidRDefault="004B6D15" w:rsidP="004B6D15">
            <w:pPr>
              <w:spacing w:line="360" w:lineRule="auto"/>
              <w:jc w:val="both"/>
              <w:rPr>
                <w:sz w:val="24"/>
                <w:szCs w:val="24"/>
              </w:rPr>
            </w:pPr>
            <w:r w:rsidRPr="00823374">
              <w:rPr>
                <w:sz w:val="24"/>
                <w:szCs w:val="24"/>
              </w:rPr>
              <w:t>Reflecting on my involvement, I recognised that professional judgement is rarely about achieving certainty. Instead, it involves analysing available evidence, considering different professional perspectives, testing assumptions and making defensible decisions based on the information available at the time (Munro, 2011). The case also highlighted the value of supervision and multi-agency consultation in supporting decision-making. Discussions with colleagues and partner agencies enabled me to challenge my own assumptions, reflect upon potential bias and ensure that decisions remained proportionate and focused on Child 1's welfare (Social Care Wales, 2025).</w:t>
            </w:r>
          </w:p>
          <w:p w14:paraId="2326E993" w14:textId="77777777" w:rsidR="004B6D15" w:rsidRPr="00823374" w:rsidRDefault="004B6D15" w:rsidP="004B6D15">
            <w:pPr>
              <w:spacing w:line="360" w:lineRule="auto"/>
              <w:jc w:val="both"/>
              <w:rPr>
                <w:sz w:val="24"/>
                <w:szCs w:val="24"/>
              </w:rPr>
            </w:pPr>
          </w:p>
          <w:p w14:paraId="26DB7802" w14:textId="77777777" w:rsidR="004B6D15" w:rsidRPr="00823374" w:rsidRDefault="004B6D15" w:rsidP="004B6D15">
            <w:pPr>
              <w:spacing w:line="360" w:lineRule="auto"/>
              <w:jc w:val="both"/>
              <w:rPr>
                <w:sz w:val="24"/>
                <w:szCs w:val="24"/>
              </w:rPr>
            </w:pPr>
            <w:r w:rsidRPr="00823374">
              <w:rPr>
                <w:sz w:val="24"/>
                <w:szCs w:val="24"/>
              </w:rPr>
              <w:t>Ultimately, this experience strengthened my understanding that professional judgement is underpinned by critical reflection, evidence-informed practice and professional curiosity. It reinforced that effective safeguarding requires practitioners to tolerate uncertainty whilst remaining focused upon the child's welfare, rights and lived experience (Munro, 2011). Through this process, I developed greater confidence in balancing competing perspectives and making decisions that were both analytically sound and ethically defensible.</w:t>
            </w:r>
          </w:p>
          <w:p w14:paraId="4C97A2C4" w14:textId="77777777" w:rsidR="004B6D15" w:rsidRPr="00823374" w:rsidRDefault="004B6D15" w:rsidP="004B6D15">
            <w:pPr>
              <w:spacing w:line="360" w:lineRule="auto"/>
              <w:jc w:val="both"/>
              <w:rPr>
                <w:sz w:val="24"/>
                <w:szCs w:val="24"/>
              </w:rPr>
            </w:pPr>
          </w:p>
          <w:p w14:paraId="704C2253" w14:textId="77777777" w:rsidR="004B6D15" w:rsidRPr="00823374" w:rsidRDefault="004B6D15" w:rsidP="004B6D15">
            <w:pPr>
              <w:spacing w:line="360" w:lineRule="auto"/>
              <w:jc w:val="both"/>
              <w:rPr>
                <w:sz w:val="24"/>
                <w:szCs w:val="24"/>
              </w:rPr>
            </w:pPr>
            <w:r w:rsidRPr="00823374">
              <w:rPr>
                <w:sz w:val="24"/>
                <w:szCs w:val="24"/>
              </w:rPr>
              <w:lastRenderedPageBreak/>
              <w:t>Bronfenbrenner's Ecological Systems Theory (Bronfenbrenner, 1979) provided a useful framework for analysing the interaction between Child 1's individual experiences, family relationships and wider environment. Using this framework enabled me to consider not only the immediate safeguarding concerns but also the collective impact of historical experiences and environmental influences upon Child 1's wellbeing. Analysis identified several vulnerabilities, including early exposure to maternal substance misuse, separation from her primary caregiver during childhood, bereavement following the death of her maternal grandmother, disrupted attachment experiences and concerns regarding parental boundaries within the mother-child relationship. Whilst none of these factors alone explained the circumstances of the pregnancy, together they highlighted areas of potential vulnerability that required consideration within the assessment.</w:t>
            </w:r>
          </w:p>
          <w:p w14:paraId="33CDC449" w14:textId="77777777" w:rsidR="004B6D15" w:rsidRPr="00823374" w:rsidRDefault="004B6D15" w:rsidP="004B6D15">
            <w:pPr>
              <w:spacing w:line="360" w:lineRule="auto"/>
              <w:jc w:val="both"/>
              <w:rPr>
                <w:sz w:val="24"/>
                <w:szCs w:val="24"/>
              </w:rPr>
            </w:pPr>
          </w:p>
          <w:p w14:paraId="77F0015A" w14:textId="77777777" w:rsidR="004B6D15" w:rsidRPr="00823374" w:rsidRDefault="004B6D15" w:rsidP="004B6D15">
            <w:pPr>
              <w:spacing w:line="360" w:lineRule="auto"/>
              <w:jc w:val="both"/>
              <w:rPr>
                <w:sz w:val="24"/>
                <w:szCs w:val="24"/>
              </w:rPr>
            </w:pPr>
            <w:r w:rsidRPr="00823374">
              <w:rPr>
                <w:sz w:val="24"/>
                <w:szCs w:val="24"/>
              </w:rPr>
              <w:t>However, applying an ecological perspective also encouraged a strengths-based analysis rather than a solely risk focused approach. Child 1 engaged positively with professionals, demonstrated insight into her circumstances and was able to communicate openly about her experiences. Similarly, mother showed consistent engagement with services, accepted support and demonstrated a commitment to meeting her daughter's needs. Identifying these strengths was important in ensuring that the assessment remained balanced and proportionate, recognising both risks and protective factors in accordance with strengths-based practice principles embedded within the Social Services and Well-being (Wales) Act 2014 (Social Services and Well-being (Wales) Act, 2014).</w:t>
            </w:r>
          </w:p>
          <w:p w14:paraId="4D70DBEC" w14:textId="77777777" w:rsidR="004B6D15" w:rsidRPr="00823374" w:rsidRDefault="004B6D15" w:rsidP="004B6D15">
            <w:pPr>
              <w:spacing w:line="360" w:lineRule="auto"/>
              <w:jc w:val="both"/>
              <w:rPr>
                <w:sz w:val="24"/>
                <w:szCs w:val="24"/>
              </w:rPr>
            </w:pPr>
          </w:p>
          <w:p w14:paraId="7DB1BAE2" w14:textId="77777777" w:rsidR="004B6D15" w:rsidRPr="00823374" w:rsidRDefault="004B6D15" w:rsidP="004B6D15">
            <w:pPr>
              <w:spacing w:line="360" w:lineRule="auto"/>
              <w:jc w:val="both"/>
              <w:rPr>
                <w:sz w:val="24"/>
                <w:szCs w:val="24"/>
              </w:rPr>
            </w:pPr>
            <w:r w:rsidRPr="00823374">
              <w:rPr>
                <w:sz w:val="24"/>
                <w:szCs w:val="24"/>
              </w:rPr>
              <w:t>Critically reflecting on this process challenged me to consider how professional judgement can be influenced by presenting concerns. Initially, the seriousness of the pregnancy risked narrowing the assessment focus to immediate safeguarding needs. However, analysis highlighted the importance of curiosity, critical thinking and reflection in understanding the wider context of a child's life. This experience reinforced that effective assessment is not simply about identifying risk, but about understanding how individual, familial and environmental factors interact to shape a child's experiences, vulnerabilities and resilience. Consequently, I developed a greater appreciation of the importance of analytical thinking in producing assessments that are both evidence-based and child-centred.</w:t>
            </w:r>
          </w:p>
          <w:p w14:paraId="265B5B40" w14:textId="77777777" w:rsidR="004B6D15" w:rsidRPr="00823374" w:rsidRDefault="004B6D15" w:rsidP="004B6D15">
            <w:pPr>
              <w:rPr>
                <w:sz w:val="24"/>
                <w:szCs w:val="24"/>
              </w:rPr>
            </w:pPr>
          </w:p>
          <w:p w14:paraId="19C87680" w14:textId="77777777" w:rsidR="004B6D15" w:rsidRPr="00823374" w:rsidRDefault="004B6D15" w:rsidP="004B6D15">
            <w:pPr>
              <w:spacing w:line="360" w:lineRule="auto"/>
              <w:jc w:val="both"/>
              <w:rPr>
                <w:sz w:val="24"/>
                <w:szCs w:val="24"/>
              </w:rPr>
            </w:pPr>
            <w:r w:rsidRPr="00823374">
              <w:rPr>
                <w:sz w:val="24"/>
                <w:szCs w:val="24"/>
              </w:rPr>
              <w:t>Adverse Childhood Experiences (ACE) Theory (</w:t>
            </w:r>
            <w:proofErr w:type="spellStart"/>
            <w:r w:rsidRPr="00823374">
              <w:rPr>
                <w:sz w:val="24"/>
                <w:szCs w:val="24"/>
              </w:rPr>
              <w:t>Felitti</w:t>
            </w:r>
            <w:proofErr w:type="spellEnd"/>
            <w:r w:rsidRPr="00823374">
              <w:rPr>
                <w:sz w:val="24"/>
                <w:szCs w:val="24"/>
              </w:rPr>
              <w:t xml:space="preserve"> et al., 1998) provided a further framework through which to understand Child 1's experiences and vulnerability. ACE Theory suggests that exposure to adverse experiences during childhood can have a cumulative impact on emotional wellbeing, relationships, decision-making and long-term outcomes. Within this case, Child 1 had experienced several recognised ACEs, including parental substance misuse, separation from her primary caregiver and the loss of two significant attachment figures following the deaths of her maternal grandmother and father. These experiences prompted consideration of how adversity and loss may have influenced her emotional development, relationships and need for connection and support (</w:t>
            </w:r>
            <w:proofErr w:type="spellStart"/>
            <w:r w:rsidRPr="00823374">
              <w:rPr>
                <w:sz w:val="24"/>
                <w:szCs w:val="24"/>
              </w:rPr>
              <w:t>Felitti</w:t>
            </w:r>
            <w:proofErr w:type="spellEnd"/>
            <w:r w:rsidRPr="00823374">
              <w:rPr>
                <w:sz w:val="24"/>
                <w:szCs w:val="24"/>
              </w:rPr>
              <w:t xml:space="preserve"> et al., 1998).</w:t>
            </w:r>
          </w:p>
          <w:p w14:paraId="3A76D495" w14:textId="77777777" w:rsidR="004B6D15" w:rsidRPr="00823374" w:rsidRDefault="004B6D15" w:rsidP="004B6D15">
            <w:pPr>
              <w:spacing w:line="360" w:lineRule="auto"/>
              <w:jc w:val="both"/>
              <w:rPr>
                <w:sz w:val="24"/>
                <w:szCs w:val="24"/>
              </w:rPr>
            </w:pPr>
          </w:p>
          <w:p w14:paraId="7BC627ED" w14:textId="77777777" w:rsidR="004B6D15" w:rsidRPr="00823374" w:rsidRDefault="004B6D15" w:rsidP="004B6D15">
            <w:pPr>
              <w:spacing w:line="360" w:lineRule="auto"/>
              <w:jc w:val="both"/>
              <w:rPr>
                <w:sz w:val="24"/>
                <w:szCs w:val="24"/>
              </w:rPr>
            </w:pPr>
            <w:r w:rsidRPr="00823374">
              <w:rPr>
                <w:sz w:val="24"/>
                <w:szCs w:val="24"/>
              </w:rPr>
              <w:t>Applying ACE Theory encouraged a deeper exploration of family functioning and the potential impact of mother's feelings of guilt following Child 1's earlier childhood experiences. Through assessment, it appeared that these feelings may have contributed to difficulties in establishing and maintaining clear parental boundaries. This raised important questions about whether family dynamics had inadvertently increased Child 1's vulnerability to risk-taking behaviours and highlighted the significance of understanding current concerns within the context of past experiences.</w:t>
            </w:r>
          </w:p>
          <w:p w14:paraId="7BF69A18" w14:textId="77777777" w:rsidR="004B6D15" w:rsidRPr="00823374" w:rsidRDefault="004B6D15" w:rsidP="004B6D15">
            <w:pPr>
              <w:spacing w:line="360" w:lineRule="auto"/>
              <w:jc w:val="both"/>
              <w:rPr>
                <w:sz w:val="24"/>
                <w:szCs w:val="24"/>
              </w:rPr>
            </w:pPr>
          </w:p>
          <w:p w14:paraId="3E82733E" w14:textId="77777777" w:rsidR="004B6D15" w:rsidRPr="00823374" w:rsidRDefault="004B6D15" w:rsidP="004B6D15">
            <w:pPr>
              <w:spacing w:line="360" w:lineRule="auto"/>
              <w:jc w:val="both"/>
              <w:rPr>
                <w:sz w:val="24"/>
                <w:szCs w:val="24"/>
              </w:rPr>
            </w:pPr>
            <w:r w:rsidRPr="00823374">
              <w:rPr>
                <w:sz w:val="24"/>
                <w:szCs w:val="24"/>
              </w:rPr>
              <w:t xml:space="preserve">However, critical reflection also highlighted some limitations of ACE Theory. Whilst the framework was useful in understanding potential vulnerabilities, there is a risk that an overreliance on ACEs can encourage a focus on adversity and create assumptions about future outcomes (Kelly-Irving and Delpierre, 2019). Reflecting on my assessment, I was mindful of the need to avoid viewing Child 1 solely through the lens of her past experiences. Despite experiencing multiple adversities, Child 1 demonstrated resilience, engaged positively with professionals and was able to communicate openly about her circumstances. Similarly, mother showed commitment to supporting her daughter and engaged constructively with services. Recognising these strengths was essential in ensuring that the assessment remained balanced and evidence based. This reflection reinforced the importance of considering both vulnerability and resilience, acknowledging that whilst adverse experiences </w:t>
            </w:r>
            <w:r w:rsidRPr="00823374">
              <w:rPr>
                <w:sz w:val="24"/>
                <w:szCs w:val="24"/>
              </w:rPr>
              <w:lastRenderedPageBreak/>
              <w:t>may increase risk, they do not determine outcomes (Rutter, 2012). Consequently, ACE Theory informed my understanding of Child 1's circumstances but was used alongside a strengths-based perspective to support a more holistic and balanced assessment.</w:t>
            </w:r>
          </w:p>
          <w:p w14:paraId="2D8BFA59" w14:textId="77777777" w:rsidR="004B6D15" w:rsidRPr="00823374" w:rsidRDefault="004B6D15" w:rsidP="004B6D15">
            <w:pPr>
              <w:rPr>
                <w:sz w:val="24"/>
                <w:szCs w:val="24"/>
              </w:rPr>
            </w:pPr>
          </w:p>
          <w:p w14:paraId="6E100697" w14:textId="77777777" w:rsidR="004B6D15" w:rsidRPr="00823374" w:rsidRDefault="004B6D15" w:rsidP="004B6D15">
            <w:pPr>
              <w:rPr>
                <w:sz w:val="24"/>
                <w:szCs w:val="24"/>
              </w:rPr>
            </w:pPr>
          </w:p>
          <w:p w14:paraId="77D9BC06" w14:textId="77777777" w:rsidR="004B6D15" w:rsidRPr="00823374" w:rsidRDefault="004B6D15" w:rsidP="004B6D15">
            <w:pPr>
              <w:spacing w:line="360" w:lineRule="auto"/>
              <w:jc w:val="both"/>
              <w:rPr>
                <w:sz w:val="24"/>
                <w:szCs w:val="24"/>
              </w:rPr>
            </w:pPr>
            <w:r w:rsidRPr="00823374">
              <w:rPr>
                <w:sz w:val="24"/>
                <w:szCs w:val="24"/>
              </w:rPr>
              <w:t xml:space="preserve">Critical reflection was central throughout this case and enabled me to move beyond the presenting concern of Child 1's pregnancy to develop a more holistic understanding of her circumstances (Fook and Gardner, 2007). Whilst the pregnancy necessitated an immediate safeguarding response under the Children Act 1989, reflection encouraged me to consider the wider factors influencing Child 1's vulnerability’s (Children Act, 1989; </w:t>
            </w:r>
            <w:proofErr w:type="spellStart"/>
            <w:r w:rsidRPr="00823374">
              <w:rPr>
                <w:sz w:val="24"/>
                <w:szCs w:val="24"/>
              </w:rPr>
              <w:t>Felitti</w:t>
            </w:r>
            <w:proofErr w:type="spellEnd"/>
            <w:r w:rsidRPr="00823374">
              <w:rPr>
                <w:sz w:val="24"/>
                <w:szCs w:val="24"/>
              </w:rPr>
              <w:t xml:space="preserve"> et al., 1998). This reinforced the importance of analytical assessment, ensuring that practice focused not only on the presenting issue but also on the underlying factors that may have contributed to risk and need. </w:t>
            </w:r>
          </w:p>
          <w:p w14:paraId="770F250B" w14:textId="77777777" w:rsidR="004B6D15" w:rsidRPr="00823374" w:rsidRDefault="004B6D15" w:rsidP="004B6D15">
            <w:pPr>
              <w:spacing w:line="360" w:lineRule="auto"/>
              <w:jc w:val="both"/>
              <w:rPr>
                <w:sz w:val="24"/>
                <w:szCs w:val="24"/>
              </w:rPr>
            </w:pPr>
          </w:p>
          <w:p w14:paraId="1B0D025F" w14:textId="77777777" w:rsidR="004B6D15" w:rsidRPr="00823374" w:rsidRDefault="004B6D15" w:rsidP="004B6D15">
            <w:pPr>
              <w:spacing w:line="360" w:lineRule="auto"/>
              <w:jc w:val="both"/>
              <w:rPr>
                <w:sz w:val="24"/>
                <w:szCs w:val="24"/>
              </w:rPr>
            </w:pPr>
            <w:r w:rsidRPr="00823374">
              <w:rPr>
                <w:sz w:val="24"/>
                <w:szCs w:val="24"/>
              </w:rPr>
              <w:t xml:space="preserve">Reflective practice was also essential in supporting professional judgement. Although Child 1 demonstrated maturity, clearly articulated her wishes and was assessed as Gillick competent in relation to healthcare decisions, I was required to balance her autonomy and participation rights with my statutory responsibility to safeguard her welfare (Gillick v West Norfolk and Wisbech Area Health Authority [1986]; United Nations, 1989). Furthermore, reflection challenged me to consider my own assumptions and avoid viewing Child 1 solely through a lens of adversity. Recognising her resilience, engagement with professionals and her mother's commitment to supporting her ensured that the assessment remained balanced, strengths-based and evidence-informed (Rutter, 2012; Social Services and Well-being (Wales) Act, 2014). </w:t>
            </w:r>
          </w:p>
          <w:p w14:paraId="5D20B53A" w14:textId="77777777" w:rsidR="004B6D15" w:rsidRPr="00823374" w:rsidRDefault="004B6D15" w:rsidP="004B6D15">
            <w:pPr>
              <w:spacing w:line="360" w:lineRule="auto"/>
              <w:jc w:val="both"/>
              <w:rPr>
                <w:sz w:val="24"/>
                <w:szCs w:val="24"/>
              </w:rPr>
            </w:pPr>
          </w:p>
          <w:p w14:paraId="4AD54D2F" w14:textId="77777777" w:rsidR="004B6D15" w:rsidRPr="00823374" w:rsidRDefault="004B6D15" w:rsidP="004B6D15">
            <w:pPr>
              <w:spacing w:line="360" w:lineRule="auto"/>
              <w:jc w:val="both"/>
              <w:rPr>
                <w:sz w:val="24"/>
                <w:szCs w:val="24"/>
              </w:rPr>
            </w:pPr>
            <w:r w:rsidRPr="00823374">
              <w:rPr>
                <w:sz w:val="24"/>
                <w:szCs w:val="24"/>
              </w:rPr>
              <w:t>Overall, this case strengthened my understanding of how critical reflection, professional curiosity, multi-agency collaboration and evidence-informed practice support defensible decision-making and enable social workers to balance risk, rights and wellbeing within complex safeguarding situations (Munro, 2011; Fook and Gardner, 2007).</w:t>
            </w:r>
          </w:p>
          <w:p w14:paraId="701D8D4D" w14:textId="38C2B218" w:rsidR="00D3203C" w:rsidRPr="004B6D15" w:rsidRDefault="00D3203C" w:rsidP="00FF7EBB">
            <w:pPr>
              <w:jc w:val="both"/>
              <w:rPr>
                <w:iCs/>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27BC3" w14:textId="77777777" w:rsidR="009A5497" w:rsidRDefault="009A5497">
      <w:r>
        <w:separator/>
      </w:r>
    </w:p>
  </w:endnote>
  <w:endnote w:type="continuationSeparator" w:id="0">
    <w:p w14:paraId="4F264F89" w14:textId="77777777" w:rsidR="009A5497" w:rsidRDefault="009A5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375C8" w14:textId="77777777" w:rsidR="009A5497" w:rsidRDefault="009A5497">
      <w:r>
        <w:separator/>
      </w:r>
    </w:p>
  </w:footnote>
  <w:footnote w:type="continuationSeparator" w:id="0">
    <w:p w14:paraId="77E9E1F9" w14:textId="77777777" w:rsidR="009A5497" w:rsidRDefault="009A54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6D15"/>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49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A9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4690</Words>
  <Characters>26733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Greenhalgh</cp:lastModifiedBy>
  <cp:revision>2</cp:revision>
  <cp:lastPrinted>2020-02-11T19:20:00Z</cp:lastPrinted>
  <dcterms:created xsi:type="dcterms:W3CDTF">2026-10-07T00:10:00Z</dcterms:created>
  <dcterms:modified xsi:type="dcterms:W3CDTF">2026-10-07T00:10:00Z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