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5FC8B8" w14:textId="77777777" w:rsidR="007162C4" w:rsidRPr="00161CE8" w:rsidRDefault="007162C4" w:rsidP="007162C4">
      <w:pPr>
        <w:jc w:val="center"/>
        <w:rPr>
          <w:b/>
          <w:bCs/>
          <w:sz w:val="36"/>
          <w:szCs w:val="36"/>
          <w:u w:val="single"/>
          <w:lang w:val="en-US"/>
        </w:rPr>
      </w:pPr>
      <w:r w:rsidRPr="00161CE8">
        <w:rPr>
          <w:b/>
          <w:bCs/>
          <w:sz w:val="36"/>
          <w:szCs w:val="36"/>
          <w:u w:val="single"/>
          <w:lang w:val="en-US"/>
        </w:rPr>
        <w:t>Blog 1 Human Rights</w:t>
      </w:r>
    </w:p>
    <w:p w14:paraId="18A43953" w14:textId="77777777" w:rsidR="007162C4" w:rsidRDefault="007162C4" w:rsidP="007162C4">
      <w:pPr>
        <w:rPr>
          <w:lang w:val="en-US"/>
        </w:rPr>
      </w:pPr>
    </w:p>
    <w:p w14:paraId="6F37F001" w14:textId="77777777" w:rsidR="007162C4" w:rsidRPr="00161CE8" w:rsidRDefault="007162C4" w:rsidP="007162C4">
      <w:pPr>
        <w:rPr>
          <w:rFonts w:ascii="Times New Roman" w:hAnsi="Times New Roman" w:cs="Times New Roman"/>
          <w:sz w:val="24"/>
          <w:szCs w:val="24"/>
          <w:lang w:val="en-US"/>
        </w:rPr>
      </w:pPr>
      <w:r w:rsidRPr="00161CE8">
        <w:rPr>
          <w:rFonts w:ascii="Times New Roman" w:hAnsi="Times New Roman" w:cs="Times New Roman"/>
          <w:sz w:val="24"/>
          <w:szCs w:val="24"/>
          <w:lang w:val="en-US"/>
        </w:rPr>
        <w:t>Question 1</w:t>
      </w:r>
    </w:p>
    <w:p w14:paraId="4FFF41CF" w14:textId="77777777" w:rsidR="007162C4" w:rsidRPr="00161CE8" w:rsidRDefault="007162C4" w:rsidP="007162C4">
      <w:pPr>
        <w:rPr>
          <w:rFonts w:ascii="Times New Roman" w:hAnsi="Times New Roman" w:cs="Times New Roman"/>
          <w:sz w:val="24"/>
          <w:szCs w:val="24"/>
          <w:lang w:val="en-US"/>
        </w:rPr>
      </w:pPr>
      <w:r w:rsidRPr="00161CE8">
        <w:rPr>
          <w:rFonts w:ascii="Times New Roman" w:hAnsi="Times New Roman" w:cs="Times New Roman"/>
          <w:sz w:val="24"/>
          <w:szCs w:val="24"/>
          <w:lang w:val="en-US"/>
        </w:rPr>
        <w:t>Are Human Right universal across the world?</w:t>
      </w:r>
    </w:p>
    <w:p w14:paraId="0E8C8E53" w14:textId="77777777" w:rsidR="007162C4" w:rsidRPr="00161CE8" w:rsidRDefault="007162C4" w:rsidP="007162C4">
      <w:pPr>
        <w:rPr>
          <w:rFonts w:ascii="Times New Roman" w:hAnsi="Times New Roman" w:cs="Times New Roman"/>
          <w:sz w:val="24"/>
          <w:szCs w:val="24"/>
          <w:lang w:val="en-US"/>
        </w:rPr>
      </w:pPr>
      <w:r w:rsidRPr="00161CE8">
        <w:rPr>
          <w:rFonts w:ascii="Times New Roman" w:hAnsi="Times New Roman" w:cs="Times New Roman"/>
          <w:sz w:val="24"/>
          <w:szCs w:val="24"/>
          <w:lang w:val="en-US"/>
        </w:rPr>
        <w:t>Human rights unfortunately are not universal across the world. The universality of human rights is subjective to the individual government implementing them. The human rights of individuals, even within developed countries, is largely based upon the characteristics of the individual in which they are applied. Throughout history these transgressions of human rights have been carried out due to gender, religion, sexuality, monetary class, and immigration status. Whilst it would be easy to claim that these infringements upon human rights is limited to deprived nations, recent actions of governments representative of our leading nations call into question the morality and implementation of human rights globally.</w:t>
      </w:r>
    </w:p>
    <w:p w14:paraId="413CBDC0" w14:textId="77777777" w:rsidR="007162C4" w:rsidRPr="00161CE8" w:rsidRDefault="007162C4" w:rsidP="007162C4">
      <w:pPr>
        <w:rPr>
          <w:rFonts w:ascii="Times New Roman" w:hAnsi="Times New Roman" w:cs="Times New Roman"/>
          <w:sz w:val="24"/>
          <w:szCs w:val="24"/>
          <w:lang w:val="en-US"/>
        </w:rPr>
      </w:pPr>
      <w:r w:rsidRPr="00161CE8">
        <w:rPr>
          <w:rFonts w:ascii="Times New Roman" w:hAnsi="Times New Roman" w:cs="Times New Roman"/>
          <w:sz w:val="24"/>
          <w:szCs w:val="24"/>
          <w:lang w:val="en-US"/>
        </w:rPr>
        <w:t>Question 2</w:t>
      </w:r>
    </w:p>
    <w:p w14:paraId="5248400C" w14:textId="77777777" w:rsidR="007162C4" w:rsidRPr="00161CE8" w:rsidRDefault="007162C4" w:rsidP="007162C4">
      <w:pPr>
        <w:rPr>
          <w:rFonts w:ascii="Times New Roman" w:hAnsi="Times New Roman" w:cs="Times New Roman"/>
          <w:sz w:val="24"/>
          <w:szCs w:val="24"/>
          <w:lang w:val="en-US"/>
        </w:rPr>
      </w:pPr>
      <w:r w:rsidRPr="00161CE8">
        <w:rPr>
          <w:rFonts w:ascii="Times New Roman" w:hAnsi="Times New Roman" w:cs="Times New Roman"/>
          <w:sz w:val="24"/>
          <w:szCs w:val="24"/>
          <w:lang w:val="en-US"/>
        </w:rPr>
        <w:t>What does Shai Chakrabarti mean when she says, our rights are under attack?</w:t>
      </w:r>
    </w:p>
    <w:p w14:paraId="38CDE945" w14:textId="77777777" w:rsidR="007162C4" w:rsidRPr="00161CE8" w:rsidRDefault="007162C4" w:rsidP="007162C4">
      <w:pPr>
        <w:rPr>
          <w:rFonts w:ascii="Times New Roman" w:hAnsi="Times New Roman" w:cs="Times New Roman"/>
          <w:sz w:val="24"/>
          <w:szCs w:val="24"/>
          <w:lang w:val="en-US"/>
        </w:rPr>
      </w:pPr>
      <w:r w:rsidRPr="00161CE8">
        <w:rPr>
          <w:rFonts w:ascii="Times New Roman" w:hAnsi="Times New Roman" w:cs="Times New Roman"/>
          <w:sz w:val="24"/>
          <w:szCs w:val="24"/>
          <w:lang w:val="en-US"/>
        </w:rPr>
        <w:t xml:space="preserve">My main interpretation of Shai Chakrabarti’s Ted Talks about human rights was the way in which society is casually blurring the lines of what is acceptable behavior when considering our own human rights, especially </w:t>
      </w:r>
      <w:proofErr w:type="gramStart"/>
      <w:r w:rsidRPr="00161CE8">
        <w:rPr>
          <w:rFonts w:ascii="Times New Roman" w:hAnsi="Times New Roman" w:cs="Times New Roman"/>
          <w:sz w:val="24"/>
          <w:szCs w:val="24"/>
          <w:lang w:val="en-US"/>
        </w:rPr>
        <w:t>in regard to</w:t>
      </w:r>
      <w:proofErr w:type="gramEnd"/>
      <w:r w:rsidRPr="00161CE8">
        <w:rPr>
          <w:rFonts w:ascii="Times New Roman" w:hAnsi="Times New Roman" w:cs="Times New Roman"/>
          <w:sz w:val="24"/>
          <w:szCs w:val="24"/>
          <w:lang w:val="en-US"/>
        </w:rPr>
        <w:t xml:space="preserve"> our online lives. These rights pertain to our rights for privacy in our private and family lives, our homes and our correspondence, when we allow companies such as amazon, google, Facebook and countless others access to what we consider private information without an intricate understanding of what we are consenting to. Where does convenience end and surveillance begin? Is ‘Big Brother’ always watching?</w:t>
      </w:r>
    </w:p>
    <w:p w14:paraId="4E7ADEE5" w14:textId="77777777" w:rsidR="007162C4" w:rsidRPr="00161CE8" w:rsidRDefault="007162C4" w:rsidP="007162C4">
      <w:pPr>
        <w:rPr>
          <w:rFonts w:ascii="Times New Roman" w:hAnsi="Times New Roman" w:cs="Times New Roman"/>
          <w:sz w:val="24"/>
          <w:szCs w:val="24"/>
          <w:lang w:val="en-US"/>
        </w:rPr>
      </w:pPr>
    </w:p>
    <w:p w14:paraId="5AC5E76F" w14:textId="77777777" w:rsidR="007162C4" w:rsidRPr="00161CE8" w:rsidRDefault="007162C4" w:rsidP="007162C4">
      <w:pPr>
        <w:rPr>
          <w:rFonts w:ascii="Times New Roman" w:hAnsi="Times New Roman" w:cs="Times New Roman"/>
          <w:sz w:val="24"/>
          <w:szCs w:val="24"/>
          <w:lang w:val="en-US"/>
        </w:rPr>
      </w:pPr>
      <w:r w:rsidRPr="00161CE8">
        <w:rPr>
          <w:rFonts w:ascii="Times New Roman" w:hAnsi="Times New Roman" w:cs="Times New Roman"/>
          <w:sz w:val="24"/>
          <w:szCs w:val="24"/>
          <w:lang w:val="en-US"/>
        </w:rPr>
        <w:t>Question 3</w:t>
      </w:r>
    </w:p>
    <w:p w14:paraId="754C6AE8" w14:textId="77777777" w:rsidR="007162C4" w:rsidRPr="00161CE8" w:rsidRDefault="007162C4" w:rsidP="007162C4">
      <w:pPr>
        <w:rPr>
          <w:rFonts w:ascii="Times New Roman" w:hAnsi="Times New Roman" w:cs="Times New Roman"/>
          <w:sz w:val="24"/>
          <w:szCs w:val="24"/>
          <w:lang w:val="en-US"/>
        </w:rPr>
      </w:pPr>
      <w:r w:rsidRPr="00161CE8">
        <w:rPr>
          <w:rFonts w:ascii="Times New Roman" w:hAnsi="Times New Roman" w:cs="Times New Roman"/>
          <w:sz w:val="24"/>
          <w:szCs w:val="24"/>
          <w:lang w:val="en-US"/>
        </w:rPr>
        <w:t>Why are human rights important?</w:t>
      </w:r>
    </w:p>
    <w:p w14:paraId="0FAE4177" w14:textId="77777777" w:rsidR="007162C4" w:rsidRDefault="007162C4" w:rsidP="007162C4">
      <w:pPr>
        <w:rPr>
          <w:rFonts w:ascii="Times New Roman" w:hAnsi="Times New Roman" w:cs="Times New Roman"/>
          <w:sz w:val="24"/>
          <w:szCs w:val="24"/>
          <w:lang w:val="en-US"/>
        </w:rPr>
      </w:pPr>
      <w:r w:rsidRPr="00161CE8">
        <w:rPr>
          <w:rFonts w:ascii="Times New Roman" w:hAnsi="Times New Roman" w:cs="Times New Roman"/>
          <w:sz w:val="24"/>
          <w:szCs w:val="24"/>
          <w:lang w:val="en-US"/>
        </w:rPr>
        <w:t>Human rights in theory, provide all human beings with a basic standard of living, this standard of living not only meets the basic human needs for food, housing  and education but also gives rights to freedom of expression, choice of government and a freedom to choose the way in which they live their life. Theoretically, human rights are not only moral principles which allow human beings to live with dignity, freedom, equality, justice and peace but</w:t>
      </w:r>
      <w:r>
        <w:rPr>
          <w:rFonts w:ascii="Times New Roman" w:hAnsi="Times New Roman" w:cs="Times New Roman"/>
          <w:sz w:val="24"/>
          <w:szCs w:val="24"/>
          <w:lang w:val="en-US"/>
        </w:rPr>
        <w:t xml:space="preserve"> are</w:t>
      </w:r>
      <w:r w:rsidRPr="00161CE8">
        <w:rPr>
          <w:rFonts w:ascii="Times New Roman" w:hAnsi="Times New Roman" w:cs="Times New Roman"/>
          <w:sz w:val="24"/>
          <w:szCs w:val="24"/>
          <w:lang w:val="en-US"/>
        </w:rPr>
        <w:t xml:space="preserve"> a</w:t>
      </w:r>
      <w:r>
        <w:rPr>
          <w:rFonts w:ascii="Times New Roman" w:hAnsi="Times New Roman" w:cs="Times New Roman"/>
          <w:sz w:val="24"/>
          <w:szCs w:val="24"/>
          <w:lang w:val="en-US"/>
        </w:rPr>
        <w:t xml:space="preserve"> </w:t>
      </w:r>
      <w:r w:rsidRPr="00161CE8">
        <w:rPr>
          <w:rFonts w:ascii="Times New Roman" w:hAnsi="Times New Roman" w:cs="Times New Roman"/>
          <w:sz w:val="24"/>
          <w:szCs w:val="24"/>
          <w:lang w:val="en-US"/>
        </w:rPr>
        <w:t xml:space="preserve">part of international and local laws. By guaranteeing human rights people are protected </w:t>
      </w:r>
      <w:r>
        <w:rPr>
          <w:rFonts w:ascii="Times New Roman" w:hAnsi="Times New Roman" w:cs="Times New Roman"/>
          <w:sz w:val="24"/>
          <w:szCs w:val="24"/>
          <w:lang w:val="en-US"/>
        </w:rPr>
        <w:t>from</w:t>
      </w:r>
      <w:r w:rsidRPr="00161CE8">
        <w:rPr>
          <w:rFonts w:ascii="Times New Roman" w:hAnsi="Times New Roman" w:cs="Times New Roman"/>
          <w:sz w:val="24"/>
          <w:szCs w:val="24"/>
          <w:lang w:val="en-US"/>
        </w:rPr>
        <w:t xml:space="preserve"> those whom are in possession of power and would choose to do them harm. </w:t>
      </w:r>
    </w:p>
    <w:p w14:paraId="2B123D63" w14:textId="77777777" w:rsidR="007162C4" w:rsidRPr="00161CE8" w:rsidRDefault="007162C4" w:rsidP="007162C4">
      <w:pPr>
        <w:rPr>
          <w:rFonts w:ascii="Times New Roman" w:hAnsi="Times New Roman" w:cs="Times New Roman"/>
          <w:sz w:val="24"/>
          <w:szCs w:val="24"/>
          <w:lang w:val="en-US"/>
        </w:rPr>
      </w:pPr>
    </w:p>
    <w:p w14:paraId="75C9B98E" w14:textId="77777777" w:rsidR="007162C4" w:rsidRDefault="007162C4" w:rsidP="007162C4">
      <w:pPr>
        <w:jc w:val="center"/>
        <w:rPr>
          <w:rFonts w:ascii="Times New Roman" w:hAnsi="Times New Roman" w:cs="Times New Roman"/>
          <w:b/>
          <w:bCs/>
          <w:sz w:val="36"/>
          <w:szCs w:val="36"/>
          <w:u w:val="single"/>
          <w:lang w:val="en-US"/>
        </w:rPr>
      </w:pPr>
      <w:r>
        <w:rPr>
          <w:rFonts w:ascii="Times New Roman" w:hAnsi="Times New Roman" w:cs="Times New Roman"/>
          <w:b/>
          <w:bCs/>
          <w:sz w:val="36"/>
          <w:szCs w:val="36"/>
          <w:u w:val="single"/>
          <w:lang w:val="en-US"/>
        </w:rPr>
        <w:t>The Universality of Human Rights</w:t>
      </w:r>
    </w:p>
    <w:p w14:paraId="56E07E70" w14:textId="77777777" w:rsidR="007162C4" w:rsidRDefault="007162C4" w:rsidP="007162C4">
      <w:pPr>
        <w:jc w:val="center"/>
        <w:rPr>
          <w:rFonts w:ascii="Times New Roman" w:hAnsi="Times New Roman" w:cs="Times New Roman"/>
          <w:b/>
          <w:bCs/>
          <w:sz w:val="36"/>
          <w:szCs w:val="36"/>
          <w:u w:val="single"/>
          <w:lang w:val="en-US"/>
        </w:rPr>
      </w:pPr>
    </w:p>
    <w:p w14:paraId="7D5F6048" w14:textId="77777777" w:rsidR="007162C4" w:rsidRDefault="007162C4" w:rsidP="007162C4">
      <w:pPr>
        <w:rPr>
          <w:rFonts w:ascii="Times New Roman" w:hAnsi="Times New Roman" w:cs="Times New Roman"/>
          <w:sz w:val="24"/>
          <w:szCs w:val="24"/>
          <w:lang w:val="en-US"/>
        </w:rPr>
      </w:pPr>
      <w:r w:rsidRPr="00AA2F2A">
        <w:rPr>
          <w:rFonts w:ascii="Times New Roman" w:hAnsi="Times New Roman" w:cs="Times New Roman"/>
          <w:sz w:val="24"/>
          <w:szCs w:val="24"/>
          <w:lang w:val="en-US"/>
        </w:rPr>
        <w:t xml:space="preserve">Human rights as viewed through a political lens are closely linked to claims of universality, however, throughout history attacks upon human rights are extensive </w:t>
      </w:r>
      <w:sdt>
        <w:sdtPr>
          <w:rPr>
            <w:rFonts w:ascii="Times New Roman" w:hAnsi="Times New Roman" w:cs="Times New Roman"/>
            <w:sz w:val="24"/>
            <w:szCs w:val="24"/>
            <w:lang w:val="en-US"/>
          </w:rPr>
          <w:id w:val="60916946"/>
          <w:citation/>
        </w:sdtPr>
        <w:sdtContent>
          <w:r w:rsidRPr="00AA2F2A">
            <w:rPr>
              <w:rFonts w:ascii="Times New Roman" w:hAnsi="Times New Roman" w:cs="Times New Roman"/>
              <w:sz w:val="24"/>
              <w:szCs w:val="24"/>
              <w:lang w:val="en-US"/>
            </w:rPr>
            <w:fldChar w:fldCharType="begin"/>
          </w:r>
          <w:r w:rsidRPr="00AA2F2A">
            <w:rPr>
              <w:rFonts w:ascii="Times New Roman" w:hAnsi="Times New Roman" w:cs="Times New Roman"/>
              <w:sz w:val="24"/>
              <w:szCs w:val="24"/>
              <w:lang w:val="en-US"/>
            </w:rPr>
            <w:instrText xml:space="preserve"> CITATION Don07 \l 1033 </w:instrText>
          </w:r>
          <w:r w:rsidRPr="00AA2F2A">
            <w:rPr>
              <w:rFonts w:ascii="Times New Roman" w:hAnsi="Times New Roman" w:cs="Times New Roman"/>
              <w:sz w:val="24"/>
              <w:szCs w:val="24"/>
              <w:lang w:val="en-US"/>
            </w:rPr>
            <w:fldChar w:fldCharType="separate"/>
          </w:r>
          <w:r w:rsidRPr="00AA2F2A">
            <w:rPr>
              <w:rFonts w:ascii="Times New Roman" w:hAnsi="Times New Roman" w:cs="Times New Roman"/>
              <w:noProof/>
              <w:sz w:val="24"/>
              <w:szCs w:val="24"/>
              <w:lang w:val="en-US"/>
            </w:rPr>
            <w:t>(Donnelly, 2007)</w:t>
          </w:r>
          <w:r w:rsidRPr="00AA2F2A">
            <w:rPr>
              <w:rFonts w:ascii="Times New Roman" w:hAnsi="Times New Roman" w:cs="Times New Roman"/>
              <w:sz w:val="24"/>
              <w:szCs w:val="24"/>
              <w:lang w:val="en-US"/>
            </w:rPr>
            <w:fldChar w:fldCharType="end"/>
          </w:r>
        </w:sdtContent>
      </w:sdt>
      <w:r w:rsidRPr="00AA2F2A">
        <w:rPr>
          <w:rFonts w:ascii="Times New Roman" w:hAnsi="Times New Roman" w:cs="Times New Roman"/>
          <w:sz w:val="24"/>
          <w:szCs w:val="24"/>
          <w:lang w:val="en-US"/>
        </w:rPr>
        <w:t xml:space="preserve">. To begin to unpick the universality of human rights it is imperative to distinguish between </w:t>
      </w:r>
      <w:r w:rsidRPr="00AA2F2A">
        <w:rPr>
          <w:rFonts w:ascii="Times New Roman" w:hAnsi="Times New Roman" w:cs="Times New Roman"/>
          <w:sz w:val="24"/>
          <w:szCs w:val="24"/>
          <w:lang w:val="en-US"/>
        </w:rPr>
        <w:lastRenderedPageBreak/>
        <w:t xml:space="preserve">conceptual and substantive universality. When considering human rights substantively they are understood to be rights that are applied  because one is considered to be human, thus, they are inalienable rights, simply because being human is an inalterable fact of nature, it is something that can neither be earned or lost, it simply is. Following the logicality of substantive human rights, it could be assumed that that human rights are universal rights in the sense that they belong to all human beings (Gearon, 2016; Goodale, 2018). This conceptual universality, however, does not consider if the rights set out in the Universal Declaration of Human Rights and the International human rights convention are recognized universally </w:t>
      </w:r>
      <w:sdt>
        <w:sdtPr>
          <w:rPr>
            <w:rFonts w:ascii="Times New Roman" w:hAnsi="Times New Roman" w:cs="Times New Roman"/>
            <w:sz w:val="24"/>
            <w:szCs w:val="24"/>
            <w:lang w:val="en-US"/>
          </w:rPr>
          <w:id w:val="-513542931"/>
          <w:citation/>
        </w:sdtPr>
        <w:sdtContent>
          <w:r w:rsidRPr="00AA2F2A">
            <w:rPr>
              <w:rFonts w:ascii="Times New Roman" w:hAnsi="Times New Roman" w:cs="Times New Roman"/>
              <w:sz w:val="24"/>
              <w:szCs w:val="24"/>
              <w:lang w:val="en-US"/>
            </w:rPr>
            <w:fldChar w:fldCharType="begin"/>
          </w:r>
          <w:r w:rsidRPr="00AA2F2A">
            <w:rPr>
              <w:rFonts w:ascii="Times New Roman" w:hAnsi="Times New Roman" w:cs="Times New Roman"/>
              <w:sz w:val="24"/>
              <w:szCs w:val="24"/>
              <w:lang w:val="en-US"/>
            </w:rPr>
            <w:instrText xml:space="preserve"> CITATION Sha18 \l 1033 </w:instrText>
          </w:r>
          <w:r w:rsidRPr="00AA2F2A">
            <w:rPr>
              <w:rFonts w:ascii="Times New Roman" w:hAnsi="Times New Roman" w:cs="Times New Roman"/>
              <w:sz w:val="24"/>
              <w:szCs w:val="24"/>
              <w:lang w:val="en-US"/>
            </w:rPr>
            <w:fldChar w:fldCharType="separate"/>
          </w:r>
          <w:r w:rsidRPr="00AA2F2A">
            <w:rPr>
              <w:rFonts w:ascii="Times New Roman" w:hAnsi="Times New Roman" w:cs="Times New Roman"/>
              <w:noProof/>
              <w:sz w:val="24"/>
              <w:szCs w:val="24"/>
              <w:lang w:val="en-US"/>
            </w:rPr>
            <w:t>(Shany, 2018)</w:t>
          </w:r>
          <w:r w:rsidRPr="00AA2F2A">
            <w:rPr>
              <w:rFonts w:ascii="Times New Roman" w:hAnsi="Times New Roman" w:cs="Times New Roman"/>
              <w:sz w:val="24"/>
              <w:szCs w:val="24"/>
              <w:lang w:val="en-US"/>
            </w:rPr>
            <w:fldChar w:fldCharType="end"/>
          </w:r>
        </w:sdtContent>
      </w:sdt>
      <w:r w:rsidRPr="00AA2F2A">
        <w:rPr>
          <w:rFonts w:ascii="Times New Roman" w:hAnsi="Times New Roman" w:cs="Times New Roman"/>
          <w:sz w:val="24"/>
          <w:szCs w:val="24"/>
          <w:lang w:val="en-US"/>
        </w:rPr>
        <w:t xml:space="preserve">. An inordinate amount of countries even today not only refuse to implement and acknowledge the human rights of the people they govern but they flagrantly and systematically violate the most basic and universally recognized human rights </w:t>
      </w:r>
      <w:sdt>
        <w:sdtPr>
          <w:rPr>
            <w:rFonts w:ascii="Times New Roman" w:hAnsi="Times New Roman" w:cs="Times New Roman"/>
            <w:sz w:val="24"/>
            <w:szCs w:val="24"/>
            <w:lang w:val="en-US"/>
          </w:rPr>
          <w:id w:val="948205324"/>
          <w:citation/>
        </w:sdtPr>
        <w:sdtContent>
          <w:r w:rsidRPr="00AA2F2A">
            <w:rPr>
              <w:rFonts w:ascii="Times New Roman" w:hAnsi="Times New Roman" w:cs="Times New Roman"/>
              <w:sz w:val="24"/>
              <w:szCs w:val="24"/>
              <w:lang w:val="en-US"/>
            </w:rPr>
            <w:fldChar w:fldCharType="begin"/>
          </w:r>
          <w:r w:rsidRPr="00AA2F2A">
            <w:rPr>
              <w:rFonts w:ascii="Times New Roman" w:hAnsi="Times New Roman" w:cs="Times New Roman"/>
              <w:sz w:val="24"/>
              <w:szCs w:val="24"/>
              <w:lang w:val="en-US"/>
            </w:rPr>
            <w:instrText xml:space="preserve"> CITATION Qua09 \l 1033 </w:instrText>
          </w:r>
          <w:r w:rsidRPr="00AA2F2A">
            <w:rPr>
              <w:rFonts w:ascii="Times New Roman" w:hAnsi="Times New Roman" w:cs="Times New Roman"/>
              <w:sz w:val="24"/>
              <w:szCs w:val="24"/>
              <w:lang w:val="en-US"/>
            </w:rPr>
            <w:fldChar w:fldCharType="separate"/>
          </w:r>
          <w:r w:rsidRPr="00AA2F2A">
            <w:rPr>
              <w:rFonts w:ascii="Times New Roman" w:hAnsi="Times New Roman" w:cs="Times New Roman"/>
              <w:noProof/>
              <w:sz w:val="24"/>
              <w:szCs w:val="24"/>
              <w:lang w:val="en-US"/>
            </w:rPr>
            <w:t>(Quataert, 2009)</w:t>
          </w:r>
          <w:r w:rsidRPr="00AA2F2A">
            <w:rPr>
              <w:rFonts w:ascii="Times New Roman" w:hAnsi="Times New Roman" w:cs="Times New Roman"/>
              <w:sz w:val="24"/>
              <w:szCs w:val="24"/>
              <w:lang w:val="en-US"/>
            </w:rPr>
            <w:fldChar w:fldCharType="end"/>
          </w:r>
        </w:sdtContent>
      </w:sdt>
      <w:r w:rsidRPr="00AA2F2A">
        <w:rPr>
          <w:rFonts w:ascii="Times New Roman" w:hAnsi="Times New Roman" w:cs="Times New Roman"/>
          <w:sz w:val="24"/>
          <w:szCs w:val="24"/>
          <w:lang w:val="en-US"/>
        </w:rPr>
        <w:t xml:space="preserve">. Even in what are considered the most progressive states, significant violations of human rights are carried out every day in varying degrees of severity </w:t>
      </w:r>
      <w:sdt>
        <w:sdtPr>
          <w:rPr>
            <w:rFonts w:ascii="Times New Roman" w:hAnsi="Times New Roman" w:cs="Times New Roman"/>
            <w:sz w:val="24"/>
            <w:szCs w:val="24"/>
            <w:lang w:val="en-US"/>
          </w:rPr>
          <w:id w:val="248936478"/>
          <w:citation/>
        </w:sdtPr>
        <w:sdtContent>
          <w:r w:rsidRPr="00AA2F2A">
            <w:rPr>
              <w:rFonts w:ascii="Times New Roman" w:hAnsi="Times New Roman" w:cs="Times New Roman"/>
              <w:sz w:val="24"/>
              <w:szCs w:val="24"/>
              <w:lang w:val="en-US"/>
            </w:rPr>
            <w:fldChar w:fldCharType="begin"/>
          </w:r>
          <w:r w:rsidRPr="00AA2F2A">
            <w:rPr>
              <w:rFonts w:ascii="Times New Roman" w:hAnsi="Times New Roman" w:cs="Times New Roman"/>
              <w:sz w:val="24"/>
              <w:szCs w:val="24"/>
              <w:lang w:val="en-US"/>
            </w:rPr>
            <w:instrText xml:space="preserve"> CITATION Sho19 \l 1033 </w:instrText>
          </w:r>
          <w:r w:rsidRPr="00AA2F2A">
            <w:rPr>
              <w:rFonts w:ascii="Times New Roman" w:hAnsi="Times New Roman" w:cs="Times New Roman"/>
              <w:sz w:val="24"/>
              <w:szCs w:val="24"/>
              <w:lang w:val="en-US"/>
            </w:rPr>
            <w:fldChar w:fldCharType="separate"/>
          </w:r>
          <w:r w:rsidRPr="00AA2F2A">
            <w:rPr>
              <w:rFonts w:ascii="Times New Roman" w:hAnsi="Times New Roman" w:cs="Times New Roman"/>
              <w:noProof/>
              <w:sz w:val="24"/>
              <w:szCs w:val="24"/>
              <w:lang w:val="en-US"/>
            </w:rPr>
            <w:t>(Shor, 2019)</w:t>
          </w:r>
          <w:r w:rsidRPr="00AA2F2A">
            <w:rPr>
              <w:rFonts w:ascii="Times New Roman" w:hAnsi="Times New Roman" w:cs="Times New Roman"/>
              <w:sz w:val="24"/>
              <w:szCs w:val="24"/>
              <w:lang w:val="en-US"/>
            </w:rPr>
            <w:fldChar w:fldCharType="end"/>
          </w:r>
        </w:sdtContent>
      </w:sdt>
      <w:r w:rsidRPr="00AA2F2A">
        <w:rPr>
          <w:rFonts w:ascii="Times New Roman" w:hAnsi="Times New Roman" w:cs="Times New Roman"/>
          <w:sz w:val="24"/>
          <w:szCs w:val="24"/>
          <w:lang w:val="en-US"/>
        </w:rPr>
        <w:t xml:space="preserve">.  Globally we fall short on human rights as we globally rely upon national implementation of what are internationally recognized human rights allowing the creation of norms to be internationalized </w:t>
      </w:r>
      <w:sdt>
        <w:sdtPr>
          <w:rPr>
            <w:rFonts w:ascii="Times New Roman" w:hAnsi="Times New Roman" w:cs="Times New Roman"/>
            <w:sz w:val="24"/>
            <w:szCs w:val="24"/>
            <w:lang w:val="en-US"/>
          </w:rPr>
          <w:id w:val="2073388302"/>
          <w:citation/>
        </w:sdtPr>
        <w:sdtContent>
          <w:r w:rsidRPr="00AA2F2A">
            <w:rPr>
              <w:rFonts w:ascii="Times New Roman" w:hAnsi="Times New Roman" w:cs="Times New Roman"/>
              <w:sz w:val="24"/>
              <w:szCs w:val="24"/>
              <w:lang w:val="en-US"/>
            </w:rPr>
            <w:fldChar w:fldCharType="begin"/>
          </w:r>
          <w:r w:rsidRPr="00AA2F2A">
            <w:rPr>
              <w:rFonts w:ascii="Times New Roman" w:hAnsi="Times New Roman" w:cs="Times New Roman"/>
              <w:sz w:val="24"/>
              <w:szCs w:val="24"/>
              <w:lang w:val="en-US"/>
            </w:rPr>
            <w:instrText xml:space="preserve"> CITATION Don07 \l 1033 </w:instrText>
          </w:r>
          <w:r w:rsidRPr="00AA2F2A">
            <w:rPr>
              <w:rFonts w:ascii="Times New Roman" w:hAnsi="Times New Roman" w:cs="Times New Roman"/>
              <w:sz w:val="24"/>
              <w:szCs w:val="24"/>
              <w:lang w:val="en-US"/>
            </w:rPr>
            <w:fldChar w:fldCharType="separate"/>
          </w:r>
          <w:r w:rsidRPr="00AA2F2A">
            <w:rPr>
              <w:rFonts w:ascii="Times New Roman" w:hAnsi="Times New Roman" w:cs="Times New Roman"/>
              <w:noProof/>
              <w:sz w:val="24"/>
              <w:szCs w:val="24"/>
              <w:lang w:val="en-US"/>
            </w:rPr>
            <w:t>(Donnelly, 2007)</w:t>
          </w:r>
          <w:r w:rsidRPr="00AA2F2A">
            <w:rPr>
              <w:rFonts w:ascii="Times New Roman" w:hAnsi="Times New Roman" w:cs="Times New Roman"/>
              <w:sz w:val="24"/>
              <w:szCs w:val="24"/>
              <w:lang w:val="en-US"/>
            </w:rPr>
            <w:fldChar w:fldCharType="end"/>
          </w:r>
        </w:sdtContent>
      </w:sdt>
      <w:r w:rsidRPr="00AA2F2A">
        <w:rPr>
          <w:rFonts w:ascii="Times New Roman" w:hAnsi="Times New Roman" w:cs="Times New Roman"/>
          <w:sz w:val="24"/>
          <w:szCs w:val="24"/>
          <w:lang w:val="en-US"/>
        </w:rPr>
        <w:t xml:space="preserve">, however, the enforcement of such rights is placed in near entirety with individual governments. With exception to the most heinous of violations, such as; genocide, some instances of torture, crimes against humanity, and a selection of war crimes, governments are left to implement human rights as they see fit </w:t>
      </w:r>
      <w:sdt>
        <w:sdtPr>
          <w:rPr>
            <w:rFonts w:ascii="Times New Roman" w:hAnsi="Times New Roman" w:cs="Times New Roman"/>
            <w:sz w:val="24"/>
            <w:szCs w:val="24"/>
            <w:lang w:val="en-US"/>
          </w:rPr>
          <w:id w:val="-2014899188"/>
          <w:citation/>
        </w:sdtPr>
        <w:sdtContent>
          <w:r w:rsidRPr="00AA2F2A">
            <w:rPr>
              <w:rFonts w:ascii="Times New Roman" w:hAnsi="Times New Roman" w:cs="Times New Roman"/>
              <w:sz w:val="24"/>
              <w:szCs w:val="24"/>
              <w:lang w:val="en-US"/>
            </w:rPr>
            <w:fldChar w:fldCharType="begin"/>
          </w:r>
          <w:r w:rsidRPr="00AA2F2A">
            <w:rPr>
              <w:rFonts w:ascii="Times New Roman" w:hAnsi="Times New Roman" w:cs="Times New Roman"/>
              <w:sz w:val="24"/>
              <w:szCs w:val="24"/>
              <w:lang w:val="en-US"/>
            </w:rPr>
            <w:instrText xml:space="preserve"> CITATION Woo16 \l 1033 </w:instrText>
          </w:r>
          <w:r w:rsidRPr="00AA2F2A">
            <w:rPr>
              <w:rFonts w:ascii="Times New Roman" w:hAnsi="Times New Roman" w:cs="Times New Roman"/>
              <w:sz w:val="24"/>
              <w:szCs w:val="24"/>
              <w:lang w:val="en-US"/>
            </w:rPr>
            <w:fldChar w:fldCharType="separate"/>
          </w:r>
          <w:r w:rsidRPr="00AA2F2A">
            <w:rPr>
              <w:rFonts w:ascii="Times New Roman" w:hAnsi="Times New Roman" w:cs="Times New Roman"/>
              <w:noProof/>
              <w:sz w:val="24"/>
              <w:szCs w:val="24"/>
              <w:lang w:val="en-US"/>
            </w:rPr>
            <w:t>(Wood, et al., 2016)</w:t>
          </w:r>
          <w:r w:rsidRPr="00AA2F2A">
            <w:rPr>
              <w:rFonts w:ascii="Times New Roman" w:hAnsi="Times New Roman" w:cs="Times New Roman"/>
              <w:sz w:val="24"/>
              <w:szCs w:val="24"/>
              <w:lang w:val="en-US"/>
            </w:rPr>
            <w:fldChar w:fldCharType="end"/>
          </w:r>
        </w:sdtContent>
      </w:sdt>
      <w:r w:rsidRPr="00AA2F2A">
        <w:rPr>
          <w:rFonts w:ascii="Times New Roman" w:hAnsi="Times New Roman" w:cs="Times New Roman"/>
          <w:sz w:val="24"/>
          <w:szCs w:val="24"/>
          <w:lang w:val="en-US"/>
        </w:rPr>
        <w:t xml:space="preserve">. </w:t>
      </w:r>
      <w:proofErr w:type="gramStart"/>
      <w:r w:rsidRPr="00AA2F2A">
        <w:rPr>
          <w:rFonts w:ascii="Times New Roman" w:hAnsi="Times New Roman" w:cs="Times New Roman"/>
          <w:sz w:val="24"/>
          <w:szCs w:val="24"/>
          <w:lang w:val="en-US"/>
        </w:rPr>
        <w:t>With the exception of</w:t>
      </w:r>
      <w:proofErr w:type="gramEnd"/>
      <w:r w:rsidRPr="00AA2F2A">
        <w:rPr>
          <w:rFonts w:ascii="Times New Roman" w:hAnsi="Times New Roman" w:cs="Times New Roman"/>
          <w:sz w:val="24"/>
          <w:szCs w:val="24"/>
          <w:lang w:val="en-US"/>
        </w:rPr>
        <w:t xml:space="preserve"> the European regional regime, supervisory bodies are generally restricted to monitoring how other governments implement and utilize human rights</w:t>
      </w:r>
      <w:r>
        <w:rPr>
          <w:rFonts w:ascii="Times New Roman" w:hAnsi="Times New Roman" w:cs="Times New Roman"/>
          <w:sz w:val="24"/>
          <w:szCs w:val="24"/>
          <w:lang w:val="en-US"/>
        </w:rPr>
        <w:t>.</w:t>
      </w:r>
      <w:r w:rsidRPr="00AA2F2A">
        <w:rPr>
          <w:rFonts w:ascii="Times New Roman" w:hAnsi="Times New Roman" w:cs="Times New Roman"/>
          <w:sz w:val="24"/>
          <w:szCs w:val="24"/>
          <w:lang w:val="en-US"/>
        </w:rPr>
        <w:t xml:space="preserve"> </w:t>
      </w:r>
      <w:r>
        <w:rPr>
          <w:rFonts w:ascii="Times New Roman" w:hAnsi="Times New Roman" w:cs="Times New Roman"/>
          <w:sz w:val="24"/>
          <w:szCs w:val="24"/>
          <w:lang w:val="en-US"/>
        </w:rPr>
        <w:t>M</w:t>
      </w:r>
      <w:r w:rsidRPr="00AA2F2A">
        <w:rPr>
          <w:rFonts w:ascii="Times New Roman" w:hAnsi="Times New Roman" w:cs="Times New Roman"/>
          <w:sz w:val="24"/>
          <w:szCs w:val="24"/>
          <w:lang w:val="en-US"/>
        </w:rPr>
        <w:t xml:space="preserve">ost national and international advocates of human rights are largely limited to engaging in purely persuasive activities aimed at changing the human rights policies of governments who fail to meet them in a substantive way </w:t>
      </w:r>
      <w:sdt>
        <w:sdtPr>
          <w:rPr>
            <w:rFonts w:ascii="Times New Roman" w:hAnsi="Times New Roman" w:cs="Times New Roman"/>
            <w:sz w:val="24"/>
            <w:szCs w:val="24"/>
            <w:lang w:val="en-US"/>
          </w:rPr>
          <w:id w:val="519355134"/>
          <w:citation/>
        </w:sdtPr>
        <w:sdtContent>
          <w:r w:rsidRPr="00AA2F2A">
            <w:rPr>
              <w:rFonts w:ascii="Times New Roman" w:hAnsi="Times New Roman" w:cs="Times New Roman"/>
              <w:sz w:val="24"/>
              <w:szCs w:val="24"/>
              <w:lang w:val="en-US"/>
            </w:rPr>
            <w:fldChar w:fldCharType="begin"/>
          </w:r>
          <w:r w:rsidRPr="00AA2F2A">
            <w:rPr>
              <w:rFonts w:ascii="Times New Roman" w:hAnsi="Times New Roman" w:cs="Times New Roman"/>
              <w:sz w:val="24"/>
              <w:szCs w:val="24"/>
              <w:lang w:val="en-US"/>
            </w:rPr>
            <w:instrText xml:space="preserve"> CITATION Sri18 \l 1033 </w:instrText>
          </w:r>
          <w:r w:rsidRPr="00AA2F2A">
            <w:rPr>
              <w:rFonts w:ascii="Times New Roman" w:hAnsi="Times New Roman" w:cs="Times New Roman"/>
              <w:sz w:val="24"/>
              <w:szCs w:val="24"/>
              <w:lang w:val="en-US"/>
            </w:rPr>
            <w:fldChar w:fldCharType="separate"/>
          </w:r>
          <w:r w:rsidRPr="00AA2F2A">
            <w:rPr>
              <w:rFonts w:ascii="Times New Roman" w:hAnsi="Times New Roman" w:cs="Times New Roman"/>
              <w:noProof/>
              <w:sz w:val="24"/>
              <w:szCs w:val="24"/>
              <w:lang w:val="en-US"/>
            </w:rPr>
            <w:t>(Sriram, et al., 2018)</w:t>
          </w:r>
          <w:r w:rsidRPr="00AA2F2A">
            <w:rPr>
              <w:rFonts w:ascii="Times New Roman" w:hAnsi="Times New Roman" w:cs="Times New Roman"/>
              <w:sz w:val="24"/>
              <w:szCs w:val="24"/>
              <w:lang w:val="en-US"/>
            </w:rPr>
            <w:fldChar w:fldCharType="end"/>
          </w:r>
        </w:sdtContent>
      </w:sdt>
      <w:r w:rsidRPr="00AA2F2A">
        <w:rPr>
          <w:rFonts w:ascii="Times New Roman" w:hAnsi="Times New Roman" w:cs="Times New Roman"/>
          <w:sz w:val="24"/>
          <w:szCs w:val="24"/>
          <w:lang w:val="en-US"/>
        </w:rPr>
        <w:t xml:space="preserve">. Whilst foreign states have the ability to raise their concerns about human rights violations they have no authority to implement or enforce these rights within another governmental jurisdiction </w:t>
      </w:r>
      <w:sdt>
        <w:sdtPr>
          <w:rPr>
            <w:rFonts w:ascii="Times New Roman" w:hAnsi="Times New Roman" w:cs="Times New Roman"/>
            <w:sz w:val="24"/>
            <w:szCs w:val="24"/>
            <w:lang w:val="en-US"/>
          </w:rPr>
          <w:id w:val="-694537998"/>
          <w:citation/>
        </w:sdtPr>
        <w:sdtContent>
          <w:r w:rsidRPr="00AA2F2A">
            <w:rPr>
              <w:rFonts w:ascii="Times New Roman" w:hAnsi="Times New Roman" w:cs="Times New Roman"/>
              <w:sz w:val="24"/>
              <w:szCs w:val="24"/>
              <w:lang w:val="en-US"/>
            </w:rPr>
            <w:fldChar w:fldCharType="begin"/>
          </w:r>
          <w:r w:rsidRPr="00AA2F2A">
            <w:rPr>
              <w:rFonts w:ascii="Times New Roman" w:hAnsi="Times New Roman" w:cs="Times New Roman"/>
              <w:sz w:val="24"/>
              <w:szCs w:val="24"/>
              <w:lang w:val="en-US"/>
            </w:rPr>
            <w:instrText xml:space="preserve"> CITATION Qua09 \l 1033 </w:instrText>
          </w:r>
          <w:r w:rsidRPr="00AA2F2A">
            <w:rPr>
              <w:rFonts w:ascii="Times New Roman" w:hAnsi="Times New Roman" w:cs="Times New Roman"/>
              <w:sz w:val="24"/>
              <w:szCs w:val="24"/>
              <w:lang w:val="en-US"/>
            </w:rPr>
            <w:fldChar w:fldCharType="separate"/>
          </w:r>
          <w:r w:rsidRPr="00AA2F2A">
            <w:rPr>
              <w:rFonts w:ascii="Times New Roman" w:hAnsi="Times New Roman" w:cs="Times New Roman"/>
              <w:noProof/>
              <w:sz w:val="24"/>
              <w:szCs w:val="24"/>
              <w:lang w:val="en-US"/>
            </w:rPr>
            <w:t>(Quataert, 2009)</w:t>
          </w:r>
          <w:r w:rsidRPr="00AA2F2A">
            <w:rPr>
              <w:rFonts w:ascii="Times New Roman" w:hAnsi="Times New Roman" w:cs="Times New Roman"/>
              <w:sz w:val="24"/>
              <w:szCs w:val="24"/>
              <w:lang w:val="en-US"/>
            </w:rPr>
            <w:fldChar w:fldCharType="end"/>
          </w:r>
        </w:sdtContent>
      </w:sdt>
      <w:r w:rsidRPr="00AA2F2A">
        <w:rPr>
          <w:rFonts w:ascii="Times New Roman" w:hAnsi="Times New Roman" w:cs="Times New Roman"/>
          <w:sz w:val="24"/>
          <w:szCs w:val="24"/>
          <w:lang w:val="en-US"/>
        </w:rPr>
        <w:t>. Baring these ideas and thoughts in mind, “universal” human rights are extremely relative and unfortunately based entirely upon where an individual resides.</w:t>
      </w:r>
    </w:p>
    <w:p w14:paraId="4EFDA2F1" w14:textId="77777777" w:rsidR="007162C4" w:rsidRDefault="007162C4" w:rsidP="007162C4">
      <w:pPr>
        <w:rPr>
          <w:rFonts w:ascii="Times New Roman" w:hAnsi="Times New Roman" w:cs="Times New Roman"/>
          <w:sz w:val="24"/>
          <w:szCs w:val="24"/>
          <w:lang w:val="en-US"/>
        </w:rPr>
      </w:pPr>
    </w:p>
    <w:p w14:paraId="7360C9E5" w14:textId="77777777" w:rsidR="007162C4" w:rsidRDefault="007162C4" w:rsidP="007162C4">
      <w:pPr>
        <w:pStyle w:val="Heading1"/>
      </w:pPr>
      <w:r>
        <w:t>References</w:t>
      </w:r>
    </w:p>
    <w:sdt>
      <w:sdtPr>
        <w:id w:val="-573587230"/>
        <w:bibliography/>
      </w:sdtPr>
      <w:sdtContent>
        <w:p w14:paraId="632E47EE" w14:textId="77777777" w:rsidR="007162C4" w:rsidRDefault="007162C4" w:rsidP="007162C4">
          <w:pPr>
            <w:pStyle w:val="Bibliography"/>
            <w:rPr>
              <w:noProof/>
              <w:sz w:val="24"/>
              <w:szCs w:val="24"/>
              <w:lang w:val="en-US"/>
            </w:rPr>
          </w:pPr>
          <w:r>
            <w:fldChar w:fldCharType="begin"/>
          </w:r>
          <w:r>
            <w:instrText xml:space="preserve"> BIBLIOGRAPHY </w:instrText>
          </w:r>
          <w:r>
            <w:fldChar w:fldCharType="separate"/>
          </w:r>
          <w:r>
            <w:rPr>
              <w:noProof/>
              <w:lang w:val="en-US"/>
            </w:rPr>
            <w:t xml:space="preserve">Donnelly, J., 2007. The Relative Universality of Human Rights. </w:t>
          </w:r>
          <w:r>
            <w:rPr>
              <w:i/>
              <w:iCs/>
              <w:noProof/>
              <w:lang w:val="en-US"/>
            </w:rPr>
            <w:t xml:space="preserve">Human Rights Quarterly, </w:t>
          </w:r>
          <w:r>
            <w:rPr>
              <w:noProof/>
              <w:lang w:val="en-US"/>
            </w:rPr>
            <w:t>29(2), pp. 281-306.</w:t>
          </w:r>
        </w:p>
        <w:p w14:paraId="018A6B7A" w14:textId="77777777" w:rsidR="007162C4" w:rsidRDefault="007162C4" w:rsidP="007162C4">
          <w:pPr>
            <w:pStyle w:val="Bibliography"/>
            <w:rPr>
              <w:noProof/>
              <w:lang w:val="en-US"/>
            </w:rPr>
          </w:pPr>
          <w:r>
            <w:rPr>
              <w:noProof/>
              <w:lang w:val="en-US"/>
            </w:rPr>
            <w:t xml:space="preserve">Gearon, L., 2016. Global Human Rights. In: A. Peterson, R. Hattam, M. Zembylas &amp; J. Arthur, eds. </w:t>
          </w:r>
          <w:r>
            <w:rPr>
              <w:i/>
              <w:iCs/>
              <w:noProof/>
              <w:lang w:val="en-US"/>
            </w:rPr>
            <w:t xml:space="preserve">The Palgrave International Handbook of Education for Citizenship and Social Justice. </w:t>
          </w:r>
          <w:r>
            <w:rPr>
              <w:noProof/>
              <w:lang w:val="en-US"/>
            </w:rPr>
            <w:t>London: Palgrave Macmillan, pp. 205-228.</w:t>
          </w:r>
        </w:p>
        <w:p w14:paraId="3649DE05" w14:textId="77777777" w:rsidR="007162C4" w:rsidRDefault="007162C4" w:rsidP="007162C4">
          <w:pPr>
            <w:pStyle w:val="Bibliography"/>
            <w:rPr>
              <w:noProof/>
              <w:lang w:val="en-US"/>
            </w:rPr>
          </w:pPr>
          <w:r>
            <w:rPr>
              <w:noProof/>
              <w:lang w:val="en-US"/>
            </w:rPr>
            <w:t xml:space="preserve">Goodale, M., 2018. The Myth of Universality: The UNESCO "Philosophers' Committee" and the Making of Human Rights. </w:t>
          </w:r>
          <w:r>
            <w:rPr>
              <w:i/>
              <w:iCs/>
              <w:noProof/>
              <w:lang w:val="en-US"/>
            </w:rPr>
            <w:t xml:space="preserve">Law &amp; Social Inquiry, </w:t>
          </w:r>
          <w:r>
            <w:rPr>
              <w:noProof/>
              <w:lang w:val="en-US"/>
            </w:rPr>
            <w:t>43(3), pp. 596-617.</w:t>
          </w:r>
        </w:p>
        <w:p w14:paraId="4AD73039" w14:textId="77777777" w:rsidR="007162C4" w:rsidRDefault="007162C4" w:rsidP="007162C4">
          <w:pPr>
            <w:pStyle w:val="Bibliography"/>
            <w:rPr>
              <w:noProof/>
              <w:lang w:val="en-US"/>
            </w:rPr>
          </w:pPr>
          <w:r>
            <w:rPr>
              <w:noProof/>
              <w:lang w:val="en-US"/>
            </w:rPr>
            <w:t xml:space="preserve">Quataert, J., 2009. </w:t>
          </w:r>
          <w:r>
            <w:rPr>
              <w:i/>
              <w:iCs/>
              <w:noProof/>
              <w:lang w:val="en-US"/>
            </w:rPr>
            <w:t xml:space="preserve">Advocating Dignity: Human Rights Mobilizations in Global Politics. </w:t>
          </w:r>
          <w:r>
            <w:rPr>
              <w:noProof/>
              <w:lang w:val="en-US"/>
            </w:rPr>
            <w:t>Philadelphia: University of Pennsylvania Press.</w:t>
          </w:r>
        </w:p>
        <w:p w14:paraId="3C61C7CF" w14:textId="77777777" w:rsidR="007162C4" w:rsidRDefault="007162C4" w:rsidP="007162C4">
          <w:pPr>
            <w:pStyle w:val="Bibliography"/>
            <w:rPr>
              <w:noProof/>
              <w:lang w:val="en-US"/>
            </w:rPr>
          </w:pPr>
          <w:r>
            <w:rPr>
              <w:noProof/>
              <w:lang w:val="en-US"/>
            </w:rPr>
            <w:t xml:space="preserve">Shany, Y., 2018. </w:t>
          </w:r>
          <w:r>
            <w:rPr>
              <w:i/>
              <w:iCs/>
              <w:noProof/>
              <w:lang w:val="en-US"/>
            </w:rPr>
            <w:t xml:space="preserve">The Universality of Human Rights: Pragmatism Meets Idealism. </w:t>
          </w:r>
          <w:r>
            <w:rPr>
              <w:noProof/>
              <w:lang w:val="en-US"/>
            </w:rPr>
            <w:t>New York, Jacob Blaustein Institute for the Advancement of Human Rights.</w:t>
          </w:r>
        </w:p>
        <w:p w14:paraId="0E3B2685" w14:textId="77777777" w:rsidR="007162C4" w:rsidRDefault="007162C4" w:rsidP="007162C4">
          <w:pPr>
            <w:pStyle w:val="Bibliography"/>
            <w:rPr>
              <w:noProof/>
              <w:lang w:val="en-US"/>
            </w:rPr>
          </w:pPr>
          <w:r>
            <w:rPr>
              <w:noProof/>
              <w:lang w:val="en-US"/>
            </w:rPr>
            <w:lastRenderedPageBreak/>
            <w:t xml:space="preserve">Shor, E., 2019. Counterterrorist Legislation Effects on Human Rights and Civil Liberties: A Global Perspective.. In: E. Shore &amp; S. Hoadley, eds. </w:t>
          </w:r>
          <w:r>
            <w:rPr>
              <w:i/>
              <w:iCs/>
              <w:noProof/>
              <w:lang w:val="en-US"/>
            </w:rPr>
            <w:t xml:space="preserve">International Human Rights and Terrorism. </w:t>
          </w:r>
          <w:r>
            <w:rPr>
              <w:noProof/>
              <w:lang w:val="en-US"/>
            </w:rPr>
            <w:t>Singapore: Springer, pp. 978-981.</w:t>
          </w:r>
        </w:p>
        <w:p w14:paraId="0E417963" w14:textId="77777777" w:rsidR="007162C4" w:rsidRDefault="007162C4" w:rsidP="007162C4">
          <w:pPr>
            <w:pStyle w:val="Bibliography"/>
            <w:rPr>
              <w:noProof/>
              <w:lang w:val="en-US"/>
            </w:rPr>
          </w:pPr>
          <w:r>
            <w:rPr>
              <w:noProof/>
              <w:lang w:val="en-US"/>
            </w:rPr>
            <w:t xml:space="preserve">Sriram, C., Martin-Ortega, O. &amp; Herman, J., 2018. </w:t>
          </w:r>
          <w:r>
            <w:rPr>
              <w:i/>
              <w:iCs/>
              <w:noProof/>
              <w:lang w:val="en-US"/>
            </w:rPr>
            <w:t xml:space="preserve">War, Conflict, and Human Rights: Theory and Practice. </w:t>
          </w:r>
          <w:r>
            <w:rPr>
              <w:noProof/>
              <w:lang w:val="en-US"/>
            </w:rPr>
            <w:t>3rd ed. Oxon: Routledge.</w:t>
          </w:r>
        </w:p>
        <w:p w14:paraId="00DA7FDE" w14:textId="77777777" w:rsidR="007162C4" w:rsidRDefault="007162C4" w:rsidP="007162C4">
          <w:pPr>
            <w:pStyle w:val="Bibliography"/>
            <w:rPr>
              <w:noProof/>
              <w:lang w:val="en-US"/>
            </w:rPr>
          </w:pPr>
          <w:r>
            <w:rPr>
              <w:noProof/>
              <w:lang w:val="en-US"/>
            </w:rPr>
            <w:t xml:space="preserve">Wood, R., Gibney, M. &amp; Haschke, P., 2016. Why States Repress: Evaluating Global Patterns of Abuse with the Political Terror Scale. In: D. Backer, R. Bhavnani &amp; P. Huth, eds. </w:t>
          </w:r>
          <w:r>
            <w:rPr>
              <w:i/>
              <w:iCs/>
              <w:noProof/>
              <w:lang w:val="en-US"/>
            </w:rPr>
            <w:t xml:space="preserve">Peace and Conflict. </w:t>
          </w:r>
          <w:r>
            <w:rPr>
              <w:noProof/>
              <w:lang w:val="en-US"/>
            </w:rPr>
            <w:t>New York: Routledge, pp. 105-1919.</w:t>
          </w:r>
        </w:p>
        <w:p w14:paraId="59682444" w14:textId="77777777" w:rsidR="007162C4" w:rsidRPr="00AA2F2A" w:rsidRDefault="007162C4" w:rsidP="007162C4">
          <w:pPr>
            <w:rPr>
              <w:rFonts w:ascii="Times New Roman" w:hAnsi="Times New Roman" w:cs="Times New Roman"/>
              <w:sz w:val="24"/>
              <w:szCs w:val="24"/>
              <w:lang w:val="en-US"/>
            </w:rPr>
          </w:pPr>
          <w:r>
            <w:rPr>
              <w:b/>
              <w:bCs/>
              <w:noProof/>
            </w:rPr>
            <w:fldChar w:fldCharType="end"/>
          </w:r>
        </w:p>
      </w:sdtContent>
    </w:sdt>
    <w:p w14:paraId="0B441C86" w14:textId="77777777" w:rsidR="007162C4" w:rsidRPr="00AA2F2A" w:rsidRDefault="007162C4" w:rsidP="007162C4">
      <w:pPr>
        <w:rPr>
          <w:rFonts w:ascii="Times New Roman" w:hAnsi="Times New Roman" w:cs="Times New Roman"/>
          <w:b/>
          <w:bCs/>
          <w:sz w:val="36"/>
          <w:szCs w:val="36"/>
          <w:u w:val="single"/>
          <w:lang w:val="en-US"/>
        </w:rPr>
      </w:pPr>
    </w:p>
    <w:p w14:paraId="4F06FB20" w14:textId="77777777" w:rsidR="007162C4" w:rsidRDefault="007162C4" w:rsidP="007162C4">
      <w:pPr>
        <w:rPr>
          <w:lang w:val="en-US"/>
        </w:rPr>
      </w:pPr>
    </w:p>
    <w:p w14:paraId="59DCC82D" w14:textId="77777777" w:rsidR="007162C4" w:rsidRDefault="007162C4" w:rsidP="007162C4"/>
    <w:p w14:paraId="05F8401E" w14:textId="77777777" w:rsidR="007162C4" w:rsidRPr="00D21C3F" w:rsidRDefault="007162C4" w:rsidP="007162C4">
      <w:pPr>
        <w:rPr>
          <w:lang w:val="en-US"/>
        </w:rPr>
      </w:pPr>
    </w:p>
    <w:p w14:paraId="41B1BF4D" w14:textId="77777777" w:rsidR="007162C4" w:rsidRDefault="007162C4" w:rsidP="007162C4">
      <w:pPr>
        <w:jc w:val="center"/>
        <w:rPr>
          <w:rFonts w:ascii="Times New Roman" w:hAnsi="Times New Roman" w:cs="Times New Roman"/>
          <w:b/>
          <w:bCs/>
          <w:sz w:val="36"/>
          <w:szCs w:val="36"/>
          <w:u w:val="single"/>
          <w:lang w:val="en-US"/>
        </w:rPr>
      </w:pPr>
      <w:r>
        <w:rPr>
          <w:rFonts w:ascii="Times New Roman" w:hAnsi="Times New Roman" w:cs="Times New Roman"/>
          <w:b/>
          <w:bCs/>
          <w:sz w:val="36"/>
          <w:szCs w:val="36"/>
          <w:u w:val="single"/>
          <w:lang w:val="en-US"/>
        </w:rPr>
        <w:t>Blog 2: Feminism and Human Rights</w:t>
      </w:r>
    </w:p>
    <w:p w14:paraId="5B04B1AF" w14:textId="77777777" w:rsidR="007162C4" w:rsidRDefault="007162C4" w:rsidP="007162C4">
      <w:pPr>
        <w:rPr>
          <w:rFonts w:ascii="Times New Roman" w:hAnsi="Times New Roman" w:cs="Times New Roman"/>
          <w:sz w:val="24"/>
          <w:szCs w:val="24"/>
          <w:lang w:val="en-US"/>
        </w:rPr>
      </w:pPr>
    </w:p>
    <w:p w14:paraId="5E215B2B" w14:textId="77777777" w:rsidR="007162C4" w:rsidRPr="00894C83" w:rsidRDefault="007162C4" w:rsidP="007162C4">
      <w:pPr>
        <w:rPr>
          <w:rFonts w:ascii="Times New Roman" w:hAnsi="Times New Roman" w:cs="Times New Roman"/>
          <w:sz w:val="24"/>
          <w:szCs w:val="24"/>
          <w:lang w:val="en-US"/>
        </w:rPr>
      </w:pPr>
      <w:r w:rsidRPr="00894C83">
        <w:rPr>
          <w:rFonts w:ascii="Times New Roman" w:hAnsi="Times New Roman" w:cs="Times New Roman"/>
          <w:sz w:val="24"/>
          <w:szCs w:val="24"/>
          <w:lang w:val="en-US"/>
        </w:rPr>
        <w:t>Question 1</w:t>
      </w:r>
    </w:p>
    <w:p w14:paraId="40B35D3C" w14:textId="77777777" w:rsidR="007162C4" w:rsidRPr="00894C83" w:rsidRDefault="007162C4" w:rsidP="007162C4">
      <w:pPr>
        <w:rPr>
          <w:rFonts w:ascii="Times New Roman" w:hAnsi="Times New Roman" w:cs="Times New Roman"/>
          <w:b/>
          <w:bCs/>
          <w:sz w:val="24"/>
          <w:szCs w:val="24"/>
          <w:lang w:val="en-US"/>
        </w:rPr>
      </w:pPr>
      <w:r w:rsidRPr="00894C83">
        <w:rPr>
          <w:rFonts w:ascii="Times New Roman" w:hAnsi="Times New Roman" w:cs="Times New Roman"/>
          <w:b/>
          <w:bCs/>
          <w:sz w:val="24"/>
          <w:szCs w:val="24"/>
          <w:lang w:val="en-US"/>
        </w:rPr>
        <w:t>Why do you think women are treated differently from men?</w:t>
      </w:r>
    </w:p>
    <w:p w14:paraId="3C0C8DC1" w14:textId="77777777" w:rsidR="007162C4" w:rsidRPr="00894C83" w:rsidRDefault="007162C4" w:rsidP="007162C4">
      <w:pPr>
        <w:rPr>
          <w:rFonts w:ascii="Times New Roman" w:hAnsi="Times New Roman" w:cs="Times New Roman"/>
          <w:sz w:val="24"/>
          <w:szCs w:val="24"/>
          <w:lang w:val="en-US"/>
        </w:rPr>
      </w:pPr>
      <w:r w:rsidRPr="00894C83">
        <w:rPr>
          <w:rFonts w:ascii="Times New Roman" w:hAnsi="Times New Roman" w:cs="Times New Roman"/>
          <w:sz w:val="24"/>
          <w:szCs w:val="24"/>
          <w:lang w:val="en-US"/>
        </w:rPr>
        <w:t>Gender identity, as opposed to sexual identity, is socially constructed by the behavior normative placed upon both men and women by their culture and religion. The history of gender in both traditionalist cultures and religions is the systematic subjection of women by men. Both traditionalist cultures and religion openly support the exclusion of women from power and promote a domination of patriarchal authority within the family context. To this day traditionalist cultures and religions endure as bastions of patriarchal standards and by claiming the rights provided to protect both culture and religion, they are in effect impeding women’s equality.</w:t>
      </w:r>
    </w:p>
    <w:p w14:paraId="48A6FF7A" w14:textId="77777777" w:rsidR="007162C4" w:rsidRPr="00894C83" w:rsidRDefault="007162C4" w:rsidP="007162C4">
      <w:pPr>
        <w:rPr>
          <w:rFonts w:ascii="Times New Roman" w:hAnsi="Times New Roman" w:cs="Times New Roman"/>
          <w:sz w:val="24"/>
          <w:szCs w:val="24"/>
          <w:lang w:val="en-US"/>
        </w:rPr>
      </w:pPr>
    </w:p>
    <w:p w14:paraId="49A3C768" w14:textId="77777777" w:rsidR="007162C4" w:rsidRPr="00894C83" w:rsidRDefault="007162C4" w:rsidP="007162C4">
      <w:pPr>
        <w:rPr>
          <w:rFonts w:ascii="Times New Roman" w:hAnsi="Times New Roman" w:cs="Times New Roman"/>
          <w:sz w:val="24"/>
          <w:szCs w:val="24"/>
          <w:lang w:val="en-US"/>
        </w:rPr>
      </w:pPr>
      <w:r w:rsidRPr="00894C83">
        <w:rPr>
          <w:rFonts w:ascii="Times New Roman" w:hAnsi="Times New Roman" w:cs="Times New Roman"/>
          <w:sz w:val="24"/>
          <w:szCs w:val="24"/>
          <w:lang w:val="en-US"/>
        </w:rPr>
        <w:t>Question 2</w:t>
      </w:r>
    </w:p>
    <w:p w14:paraId="2B25C3B0" w14:textId="77777777" w:rsidR="007162C4" w:rsidRPr="00894C83" w:rsidRDefault="007162C4" w:rsidP="007162C4">
      <w:pPr>
        <w:rPr>
          <w:rFonts w:ascii="Times New Roman" w:hAnsi="Times New Roman" w:cs="Times New Roman"/>
          <w:sz w:val="24"/>
          <w:szCs w:val="24"/>
          <w:lang w:val="en-US"/>
        </w:rPr>
      </w:pPr>
      <w:r w:rsidRPr="00894C83">
        <w:rPr>
          <w:rFonts w:ascii="Times New Roman" w:hAnsi="Times New Roman" w:cs="Times New Roman"/>
          <w:b/>
          <w:bCs/>
          <w:sz w:val="24"/>
          <w:szCs w:val="24"/>
          <w:lang w:val="en-US"/>
        </w:rPr>
        <w:t xml:space="preserve">What do you think Sue Lloyd-Roberts meant when she says at the end of the extract, that maybe women shouldn’t compete in the workplace? </w:t>
      </w:r>
    </w:p>
    <w:p w14:paraId="62D107C9" w14:textId="77777777" w:rsidR="007162C4" w:rsidRPr="00894C83" w:rsidRDefault="007162C4" w:rsidP="007162C4">
      <w:pPr>
        <w:rPr>
          <w:rFonts w:ascii="Times New Roman" w:hAnsi="Times New Roman" w:cs="Times New Roman"/>
          <w:sz w:val="24"/>
          <w:szCs w:val="24"/>
          <w:lang w:val="en-US"/>
        </w:rPr>
      </w:pPr>
      <w:r w:rsidRPr="00894C83">
        <w:rPr>
          <w:rFonts w:ascii="Times New Roman" w:hAnsi="Times New Roman" w:cs="Times New Roman"/>
          <w:sz w:val="24"/>
          <w:szCs w:val="24"/>
          <w:lang w:val="en-US"/>
        </w:rPr>
        <w:t xml:space="preserve">Sue Lloyd-Roberts says that maybe women shouldn’t compete in the workplace, however, she relates this in context about regrets that she has about family life. Family life plays a significant part in a large proportion of women’s career choices and cultural and social norms still follow standard patriarchal values within the home. This suggests that whilst women are working and </w:t>
      </w:r>
      <w:proofErr w:type="gramStart"/>
      <w:r w:rsidRPr="00894C83">
        <w:rPr>
          <w:rFonts w:ascii="Times New Roman" w:hAnsi="Times New Roman" w:cs="Times New Roman"/>
          <w:sz w:val="24"/>
          <w:szCs w:val="24"/>
          <w:lang w:val="en-US"/>
        </w:rPr>
        <w:t>are capable of performing</w:t>
      </w:r>
      <w:proofErr w:type="gramEnd"/>
      <w:r w:rsidRPr="00894C83">
        <w:rPr>
          <w:rFonts w:ascii="Times New Roman" w:hAnsi="Times New Roman" w:cs="Times New Roman"/>
          <w:sz w:val="24"/>
          <w:szCs w:val="24"/>
          <w:lang w:val="en-US"/>
        </w:rPr>
        <w:t xml:space="preserve"> to the same standards as their male counterparts they are still viewed, perhaps even subconsciously, by their roles within the home. It is a personal belief that equality for women in the workplace will only be achieved when women’s roles within the family and home are also equal.</w:t>
      </w:r>
    </w:p>
    <w:p w14:paraId="0824837D" w14:textId="77777777" w:rsidR="007162C4" w:rsidRPr="00894C83" w:rsidRDefault="007162C4" w:rsidP="007162C4">
      <w:pPr>
        <w:rPr>
          <w:rFonts w:ascii="Times New Roman" w:hAnsi="Times New Roman" w:cs="Times New Roman"/>
          <w:sz w:val="24"/>
          <w:szCs w:val="24"/>
          <w:lang w:val="en-US"/>
        </w:rPr>
      </w:pPr>
    </w:p>
    <w:p w14:paraId="7BD5013D" w14:textId="77777777" w:rsidR="007162C4" w:rsidRPr="00894C83" w:rsidRDefault="007162C4" w:rsidP="007162C4">
      <w:pPr>
        <w:rPr>
          <w:rFonts w:ascii="Times New Roman" w:hAnsi="Times New Roman" w:cs="Times New Roman"/>
          <w:sz w:val="24"/>
          <w:szCs w:val="24"/>
          <w:lang w:val="en-US"/>
        </w:rPr>
      </w:pPr>
      <w:r w:rsidRPr="00894C83">
        <w:rPr>
          <w:rFonts w:ascii="Times New Roman" w:hAnsi="Times New Roman" w:cs="Times New Roman"/>
          <w:sz w:val="24"/>
          <w:szCs w:val="24"/>
          <w:lang w:val="en-US"/>
        </w:rPr>
        <w:t>Question 3</w:t>
      </w:r>
    </w:p>
    <w:p w14:paraId="359D6F28" w14:textId="77777777" w:rsidR="007162C4" w:rsidRPr="00894C83" w:rsidRDefault="007162C4" w:rsidP="007162C4">
      <w:pPr>
        <w:rPr>
          <w:rFonts w:ascii="Times New Roman" w:hAnsi="Times New Roman" w:cs="Times New Roman"/>
          <w:sz w:val="24"/>
          <w:szCs w:val="24"/>
        </w:rPr>
      </w:pPr>
      <w:r w:rsidRPr="00894C83">
        <w:rPr>
          <w:rFonts w:ascii="Times New Roman" w:hAnsi="Times New Roman" w:cs="Times New Roman"/>
          <w:b/>
          <w:bCs/>
          <w:sz w:val="24"/>
          <w:szCs w:val="24"/>
        </w:rPr>
        <w:t>Why should we all be feminists?</w:t>
      </w:r>
    </w:p>
    <w:p w14:paraId="73BE1DE1" w14:textId="77777777" w:rsidR="007162C4" w:rsidRPr="00894C83" w:rsidRDefault="007162C4" w:rsidP="007162C4">
      <w:pPr>
        <w:rPr>
          <w:rFonts w:ascii="Times New Roman" w:hAnsi="Times New Roman" w:cs="Times New Roman"/>
          <w:sz w:val="24"/>
          <w:szCs w:val="24"/>
        </w:rPr>
      </w:pPr>
      <w:r w:rsidRPr="00894C83">
        <w:rPr>
          <w:rFonts w:ascii="Times New Roman" w:hAnsi="Times New Roman" w:cs="Times New Roman"/>
          <w:sz w:val="24"/>
          <w:szCs w:val="24"/>
        </w:rPr>
        <w:t>Feminism is the belief that men and women should have equal rights and opportunities. Gender equality is not just about equal pay and the percentage of women in high positions of power, they are important but not all that feminism stands for. Feminism is valuing a father’s role in a child’s life the same as the mothers. It is the break down of the distorted sense of what constitutes male success and the release of the stigma that follows men suffering from mental illness. Feminism at its core is about breaking the chains that gender stereotypes imprison us with. For reasons such as this we should all be feminists.</w:t>
      </w:r>
    </w:p>
    <w:p w14:paraId="5F8D4476" w14:textId="77777777" w:rsidR="007162C4" w:rsidRDefault="007162C4" w:rsidP="007162C4"/>
    <w:p w14:paraId="4988494B" w14:textId="77777777" w:rsidR="007162C4" w:rsidRDefault="007162C4" w:rsidP="007162C4">
      <w:pPr>
        <w:rPr>
          <w:rFonts w:ascii="Times New Roman" w:hAnsi="Times New Roman" w:cs="Times New Roman"/>
          <w:sz w:val="24"/>
          <w:szCs w:val="24"/>
          <w:lang w:val="en-US"/>
        </w:rPr>
      </w:pPr>
    </w:p>
    <w:p w14:paraId="0C70A7B4" w14:textId="77777777" w:rsidR="007162C4" w:rsidRDefault="007162C4" w:rsidP="007162C4">
      <w:pPr>
        <w:rPr>
          <w:rFonts w:ascii="Times New Roman" w:hAnsi="Times New Roman" w:cs="Times New Roman"/>
          <w:sz w:val="24"/>
          <w:szCs w:val="24"/>
          <w:lang w:val="en-US"/>
        </w:rPr>
      </w:pPr>
    </w:p>
    <w:p w14:paraId="58DE559E" w14:textId="77777777" w:rsidR="007162C4" w:rsidRDefault="007162C4" w:rsidP="007162C4">
      <w:pPr>
        <w:rPr>
          <w:rFonts w:ascii="Times New Roman" w:hAnsi="Times New Roman" w:cs="Times New Roman"/>
          <w:sz w:val="24"/>
          <w:szCs w:val="24"/>
          <w:lang w:val="en-US"/>
        </w:rPr>
      </w:pPr>
    </w:p>
    <w:p w14:paraId="64877533" w14:textId="77777777" w:rsidR="007162C4" w:rsidRDefault="007162C4" w:rsidP="007162C4">
      <w:pPr>
        <w:jc w:val="center"/>
        <w:rPr>
          <w:rFonts w:ascii="Times New Roman" w:hAnsi="Times New Roman" w:cs="Times New Roman"/>
          <w:b/>
          <w:bCs/>
          <w:sz w:val="36"/>
          <w:szCs w:val="36"/>
          <w:u w:val="single"/>
          <w:lang w:val="en-US"/>
        </w:rPr>
      </w:pPr>
      <w:r>
        <w:rPr>
          <w:rFonts w:ascii="Times New Roman" w:hAnsi="Times New Roman" w:cs="Times New Roman"/>
          <w:b/>
          <w:bCs/>
          <w:sz w:val="36"/>
          <w:szCs w:val="36"/>
          <w:u w:val="single"/>
          <w:lang w:val="en-US"/>
        </w:rPr>
        <w:t>Culture and Religion: Barriers to Gender Equality</w:t>
      </w:r>
    </w:p>
    <w:p w14:paraId="3BA80776" w14:textId="77777777" w:rsidR="007162C4" w:rsidRDefault="007162C4" w:rsidP="007162C4">
      <w:pPr>
        <w:rPr>
          <w:rFonts w:ascii="Times New Roman" w:hAnsi="Times New Roman" w:cs="Times New Roman"/>
          <w:sz w:val="24"/>
          <w:szCs w:val="24"/>
          <w:lang w:val="en-US"/>
        </w:rPr>
      </w:pPr>
    </w:p>
    <w:p w14:paraId="3832FCDB" w14:textId="77777777" w:rsidR="007162C4" w:rsidRDefault="007162C4" w:rsidP="007162C4">
      <w:pPr>
        <w:rPr>
          <w:rFonts w:ascii="Times New Roman" w:hAnsi="Times New Roman" w:cs="Times New Roman"/>
          <w:sz w:val="24"/>
          <w:szCs w:val="24"/>
          <w:lang w:val="en-US"/>
        </w:rPr>
      </w:pPr>
    </w:p>
    <w:p w14:paraId="171B1FDF" w14:textId="77777777" w:rsidR="007162C4" w:rsidRDefault="007162C4" w:rsidP="007162C4">
      <w:pPr>
        <w:rPr>
          <w:rFonts w:ascii="Times New Roman" w:hAnsi="Times New Roman" w:cs="Times New Roman"/>
          <w:sz w:val="24"/>
          <w:szCs w:val="24"/>
          <w:lang w:val="en-US"/>
        </w:rPr>
      </w:pPr>
      <w:r>
        <w:rPr>
          <w:rFonts w:ascii="Times New Roman" w:hAnsi="Times New Roman" w:cs="Times New Roman"/>
          <w:sz w:val="24"/>
          <w:szCs w:val="24"/>
          <w:lang w:val="en-US"/>
        </w:rPr>
        <w:t xml:space="preserve">Culture, religion and gender are foundational social constructs; however, they cannot be viewed separately or equally from one another. Culture can be described as a macro-concept, which subsumes religion placing it as an aspect of culture. This places culture and thus religion as the sources of gender construct </w:t>
      </w:r>
      <w:sdt>
        <w:sdtPr>
          <w:rPr>
            <w:rFonts w:ascii="Times New Roman" w:hAnsi="Times New Roman" w:cs="Times New Roman"/>
            <w:sz w:val="24"/>
            <w:szCs w:val="24"/>
            <w:lang w:val="en-US"/>
          </w:rPr>
          <w:id w:val="2093816944"/>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Ray03 \l 1033 </w:instrText>
          </w:r>
          <w:r>
            <w:rPr>
              <w:rFonts w:ascii="Times New Roman" w:hAnsi="Times New Roman" w:cs="Times New Roman"/>
              <w:sz w:val="24"/>
              <w:szCs w:val="24"/>
              <w:lang w:val="en-US"/>
            </w:rPr>
            <w:fldChar w:fldCharType="separate"/>
          </w:r>
          <w:r w:rsidRPr="004211A9">
            <w:rPr>
              <w:rFonts w:ascii="Times New Roman" w:hAnsi="Times New Roman" w:cs="Times New Roman"/>
              <w:noProof/>
              <w:sz w:val="24"/>
              <w:szCs w:val="24"/>
              <w:lang w:val="en-US"/>
            </w:rPr>
            <w:t>(Rayday, 2003)</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Taking this view it can be deduced that if religion is a part of culture then it must both influence and be influenced by social and ideological culture </w:t>
      </w:r>
      <w:sdt>
        <w:sdtPr>
          <w:rPr>
            <w:rFonts w:ascii="Times New Roman" w:hAnsi="Times New Roman" w:cs="Times New Roman"/>
            <w:sz w:val="24"/>
            <w:szCs w:val="24"/>
            <w:lang w:val="en-US"/>
          </w:rPr>
          <w:id w:val="185179342"/>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Sal18 \l 1033 </w:instrText>
          </w:r>
          <w:r>
            <w:rPr>
              <w:rFonts w:ascii="Times New Roman" w:hAnsi="Times New Roman" w:cs="Times New Roman"/>
              <w:sz w:val="24"/>
              <w:szCs w:val="24"/>
              <w:lang w:val="en-US"/>
            </w:rPr>
            <w:fldChar w:fldCharType="separate"/>
          </w:r>
          <w:r w:rsidRPr="0011634F">
            <w:rPr>
              <w:rFonts w:ascii="Times New Roman" w:hAnsi="Times New Roman" w:cs="Times New Roman"/>
              <w:noProof/>
              <w:sz w:val="24"/>
              <w:szCs w:val="24"/>
              <w:lang w:val="en-US"/>
            </w:rPr>
            <w:t>(Salzman, 2018)</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However, religion’s influence on culture is both theoretically and empirically at the heart of the cultural resistance to human rights pertaining to gender equality </w:t>
      </w:r>
      <w:sdt>
        <w:sdtPr>
          <w:rPr>
            <w:rFonts w:ascii="Times New Roman" w:hAnsi="Times New Roman" w:cs="Times New Roman"/>
            <w:sz w:val="24"/>
            <w:szCs w:val="24"/>
            <w:lang w:val="en-US"/>
          </w:rPr>
          <w:id w:val="1191803743"/>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McC09 \l 1033 </w:instrText>
          </w:r>
          <w:r>
            <w:rPr>
              <w:rFonts w:ascii="Times New Roman" w:hAnsi="Times New Roman" w:cs="Times New Roman"/>
              <w:sz w:val="24"/>
              <w:szCs w:val="24"/>
              <w:lang w:val="en-US"/>
            </w:rPr>
            <w:fldChar w:fldCharType="separate"/>
          </w:r>
          <w:r w:rsidRPr="0011634F">
            <w:rPr>
              <w:rFonts w:ascii="Times New Roman" w:hAnsi="Times New Roman" w:cs="Times New Roman"/>
              <w:noProof/>
              <w:sz w:val="24"/>
              <w:szCs w:val="24"/>
              <w:lang w:val="en-US"/>
            </w:rPr>
            <w:t>(McClain, 2009)</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The customs of religion exist in binding source books that predate the concepts of gender equality within human rights and have the support of legal and institutional structures to effectuate their beliefs. This support can be seen most clearly when considering religions position within the UN, the role of the Holy See and the Organization of Islamic Cooperation gives religion a considerable influence on policy making within the United Nations. </w:t>
      </w:r>
    </w:p>
    <w:p w14:paraId="06A27E57" w14:textId="77777777" w:rsidR="007162C4" w:rsidRDefault="007162C4" w:rsidP="007162C4">
      <w:pPr>
        <w:rPr>
          <w:rFonts w:ascii="Times New Roman" w:hAnsi="Times New Roman" w:cs="Times New Roman"/>
          <w:sz w:val="24"/>
          <w:szCs w:val="24"/>
          <w:lang w:val="en-US"/>
        </w:rPr>
      </w:pPr>
      <w:r>
        <w:rPr>
          <w:rFonts w:ascii="Times New Roman" w:hAnsi="Times New Roman" w:cs="Times New Roman"/>
          <w:sz w:val="24"/>
          <w:szCs w:val="24"/>
          <w:lang w:val="en-US"/>
        </w:rPr>
        <w:t xml:space="preserve">Cultural defenses to human rights have often been based upon abstract claims such as human rights being a Western concept, undermining other cultures (Panikkar, 192; Forsythe, 2017; Gordon, 2017). Whilst aiming to protect individual cultures problems emerge when a cultural defense insists upon the conservation of </w:t>
      </w:r>
      <w:proofErr w:type="gramStart"/>
      <w:r>
        <w:rPr>
          <w:rFonts w:ascii="Times New Roman" w:hAnsi="Times New Roman" w:cs="Times New Roman"/>
          <w:sz w:val="24"/>
          <w:szCs w:val="24"/>
          <w:lang w:val="en-US"/>
        </w:rPr>
        <w:t>particular practices</w:t>
      </w:r>
      <w:proofErr w:type="gramEnd"/>
      <w:r>
        <w:rPr>
          <w:rFonts w:ascii="Times New Roman" w:hAnsi="Times New Roman" w:cs="Times New Roman"/>
          <w:sz w:val="24"/>
          <w:szCs w:val="24"/>
          <w:lang w:val="en-US"/>
        </w:rPr>
        <w:t xml:space="preserve"> which impinge upon human right </w:t>
      </w:r>
      <w:sdt>
        <w:sdtPr>
          <w:rPr>
            <w:rFonts w:ascii="Times New Roman" w:hAnsi="Times New Roman" w:cs="Times New Roman"/>
            <w:sz w:val="24"/>
            <w:szCs w:val="24"/>
            <w:lang w:val="en-US"/>
          </w:rPr>
          <w:id w:val="1997833174"/>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Tre01 \l 1033 </w:instrText>
          </w:r>
          <w:r>
            <w:rPr>
              <w:rFonts w:ascii="Times New Roman" w:hAnsi="Times New Roman" w:cs="Times New Roman"/>
              <w:sz w:val="24"/>
              <w:szCs w:val="24"/>
              <w:lang w:val="en-US"/>
            </w:rPr>
            <w:fldChar w:fldCharType="separate"/>
          </w:r>
          <w:r w:rsidRPr="005C4C9E">
            <w:rPr>
              <w:rFonts w:ascii="Times New Roman" w:hAnsi="Times New Roman" w:cs="Times New Roman"/>
              <w:noProof/>
              <w:sz w:val="24"/>
              <w:szCs w:val="24"/>
              <w:lang w:val="en-US"/>
            </w:rPr>
            <w:t>(Trevenen, 2001)</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A high percentage of cultural practices that are defended against human rights are gender specific, they aim for a preservation of patriarchal values and the cost of women’s rights; these practices include but are not limited to: a preference for male children, leading to female infanticide; female genital mutilation; and the sale of daughters into marriage in some cases as child brides </w:t>
      </w:r>
      <w:sdt>
        <w:sdtPr>
          <w:rPr>
            <w:rFonts w:ascii="Times New Roman" w:hAnsi="Times New Roman" w:cs="Times New Roman"/>
            <w:sz w:val="24"/>
            <w:szCs w:val="24"/>
            <w:lang w:val="en-US"/>
          </w:rPr>
          <w:id w:val="-313642230"/>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Cer99 \l 1033 </w:instrText>
          </w:r>
          <w:r>
            <w:rPr>
              <w:rFonts w:ascii="Times New Roman" w:hAnsi="Times New Roman" w:cs="Times New Roman"/>
              <w:sz w:val="24"/>
              <w:szCs w:val="24"/>
              <w:lang w:val="en-US"/>
            </w:rPr>
            <w:fldChar w:fldCharType="separate"/>
          </w:r>
          <w:r w:rsidRPr="005C4C9E">
            <w:rPr>
              <w:rFonts w:ascii="Times New Roman" w:hAnsi="Times New Roman" w:cs="Times New Roman"/>
              <w:noProof/>
              <w:sz w:val="24"/>
              <w:szCs w:val="24"/>
              <w:lang w:val="en-US"/>
            </w:rPr>
            <w:t>(Cerna &amp; Wallace, 1999)</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When considering the monotheistic religions, they also impose and promote patriarchal values and beliefs that </w:t>
      </w:r>
      <w:r>
        <w:rPr>
          <w:rFonts w:ascii="Times New Roman" w:hAnsi="Times New Roman" w:cs="Times New Roman"/>
          <w:sz w:val="24"/>
          <w:szCs w:val="24"/>
          <w:lang w:val="en-US"/>
        </w:rPr>
        <w:lastRenderedPageBreak/>
        <w:t xml:space="preserve">disadvantage women, women are excluded from positions of power and are subjected to patriarchal domination within their family life </w:t>
      </w:r>
      <w:sdt>
        <w:sdtPr>
          <w:rPr>
            <w:rFonts w:ascii="Times New Roman" w:hAnsi="Times New Roman" w:cs="Times New Roman"/>
            <w:sz w:val="24"/>
            <w:szCs w:val="24"/>
            <w:lang w:val="en-US"/>
          </w:rPr>
          <w:id w:val="1021434755"/>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Ber96 \l 1033 </w:instrText>
          </w:r>
          <w:r>
            <w:rPr>
              <w:rFonts w:ascii="Times New Roman" w:hAnsi="Times New Roman" w:cs="Times New Roman"/>
              <w:sz w:val="24"/>
              <w:szCs w:val="24"/>
              <w:lang w:val="en-US"/>
            </w:rPr>
            <w:fldChar w:fldCharType="separate"/>
          </w:r>
          <w:r w:rsidRPr="005C4C9E">
            <w:rPr>
              <w:rFonts w:ascii="Times New Roman" w:hAnsi="Times New Roman" w:cs="Times New Roman"/>
              <w:noProof/>
              <w:sz w:val="24"/>
              <w:szCs w:val="24"/>
              <w:lang w:val="en-US"/>
            </w:rPr>
            <w:t>(Berger &amp; Lipstadt, 1996)</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w:t>
      </w:r>
    </w:p>
    <w:p w14:paraId="22D5784B" w14:textId="77777777" w:rsidR="007162C4" w:rsidRDefault="007162C4" w:rsidP="007162C4">
      <w:pPr>
        <w:rPr>
          <w:rFonts w:ascii="Times New Roman" w:hAnsi="Times New Roman" w:cs="Times New Roman"/>
          <w:sz w:val="24"/>
          <w:szCs w:val="24"/>
          <w:lang w:val="en-US"/>
        </w:rPr>
      </w:pPr>
      <w:r>
        <w:rPr>
          <w:rFonts w:ascii="Times New Roman" w:hAnsi="Times New Roman" w:cs="Times New Roman"/>
          <w:sz w:val="24"/>
          <w:szCs w:val="24"/>
          <w:lang w:val="en-US"/>
        </w:rPr>
        <w:t xml:space="preserve">When considering the heinous atrocities that are being committed against women worldwide because of cultural and religious beliefs it begs the question that when we consider their plights why are their human rights less than ours? </w:t>
      </w:r>
    </w:p>
    <w:p w14:paraId="7274A0EC" w14:textId="77777777" w:rsidR="007162C4" w:rsidRDefault="007162C4" w:rsidP="007162C4">
      <w:pPr>
        <w:rPr>
          <w:rFonts w:ascii="Times New Roman" w:hAnsi="Times New Roman" w:cs="Times New Roman"/>
          <w:sz w:val="24"/>
          <w:szCs w:val="24"/>
          <w:lang w:val="en-US"/>
        </w:rPr>
      </w:pPr>
    </w:p>
    <w:sdt>
      <w:sdtPr>
        <w:id w:val="164962865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F4E691A" w14:textId="77777777" w:rsidR="007162C4" w:rsidRDefault="007162C4" w:rsidP="007162C4">
          <w:pPr>
            <w:pStyle w:val="Heading1"/>
          </w:pPr>
          <w:r>
            <w:t>References</w:t>
          </w:r>
        </w:p>
        <w:sdt>
          <w:sdtPr>
            <w:id w:val="1299120777"/>
            <w:bibliography/>
          </w:sdtPr>
          <w:sdtContent>
            <w:p w14:paraId="7E2315E2" w14:textId="77777777" w:rsidR="007162C4" w:rsidRDefault="007162C4" w:rsidP="007162C4">
              <w:pPr>
                <w:pStyle w:val="Bibliography"/>
                <w:rPr>
                  <w:noProof/>
                  <w:sz w:val="24"/>
                  <w:szCs w:val="24"/>
                  <w:lang w:val="en-US"/>
                </w:rPr>
              </w:pPr>
              <w:r>
                <w:fldChar w:fldCharType="begin"/>
              </w:r>
              <w:r>
                <w:instrText xml:space="preserve"> BIBLIOGRAPHY </w:instrText>
              </w:r>
              <w:r>
                <w:fldChar w:fldCharType="separate"/>
              </w:r>
              <w:r>
                <w:rPr>
                  <w:noProof/>
                  <w:lang w:val="en-US"/>
                </w:rPr>
                <w:t xml:space="preserve">Berger, M. &amp; Lipstadt, D., 1996. Women in Judaism from the Perspective of Human Rights. In: J. Witte Jr &amp; J. van der Vyver, eds. </w:t>
              </w:r>
              <w:r>
                <w:rPr>
                  <w:i/>
                  <w:iCs/>
                  <w:noProof/>
                  <w:lang w:val="en-US"/>
                </w:rPr>
                <w:t xml:space="preserve">Religious Human Rights in Global Perspective: Religious Perspectives. </w:t>
              </w:r>
              <w:r>
                <w:rPr>
                  <w:noProof/>
                  <w:lang w:val="en-US"/>
                </w:rPr>
                <w:t>The Hague: Martinus Nijhoff, pp. 295-321.</w:t>
              </w:r>
            </w:p>
            <w:p w14:paraId="230B80A8" w14:textId="77777777" w:rsidR="007162C4" w:rsidRDefault="007162C4" w:rsidP="007162C4">
              <w:pPr>
                <w:pStyle w:val="Bibliography"/>
                <w:rPr>
                  <w:noProof/>
                  <w:lang w:val="en-US"/>
                </w:rPr>
              </w:pPr>
              <w:r>
                <w:rPr>
                  <w:noProof/>
                  <w:lang w:val="en-US"/>
                </w:rPr>
                <w:t xml:space="preserve">Cerna, C. &amp; Wallace, J., 1999. Women and Culture. In: K. Askin &amp; D. Koenig, eds. </w:t>
              </w:r>
              <w:r>
                <w:rPr>
                  <w:i/>
                  <w:iCs/>
                  <w:noProof/>
                  <w:lang w:val="en-US"/>
                </w:rPr>
                <w:t xml:space="preserve">Women and International Human Rights. </w:t>
              </w:r>
              <w:r>
                <w:rPr>
                  <w:noProof/>
                  <w:lang w:val="en-US"/>
                </w:rPr>
                <w:t>s.l.:Transnational, pp. 630-640.</w:t>
              </w:r>
            </w:p>
            <w:p w14:paraId="0B5362C2" w14:textId="77777777" w:rsidR="007162C4" w:rsidRDefault="007162C4" w:rsidP="007162C4">
              <w:pPr>
                <w:pStyle w:val="Bibliography"/>
                <w:rPr>
                  <w:noProof/>
                  <w:lang w:val="en-US"/>
                </w:rPr>
              </w:pPr>
              <w:r>
                <w:rPr>
                  <w:noProof/>
                  <w:lang w:val="en-US"/>
                </w:rPr>
                <w:t xml:space="preserve">Comaroff, J. &amp; Comaroff, J., 1991. </w:t>
              </w:r>
              <w:r>
                <w:rPr>
                  <w:i/>
                  <w:iCs/>
                  <w:noProof/>
                  <w:lang w:val="en-US"/>
                </w:rPr>
                <w:t xml:space="preserve">Of Revelation and Revolution: Christianity, Colonialism, and Consciousness in South Africa. Volume 1. </w:t>
              </w:r>
              <w:r>
                <w:rPr>
                  <w:noProof/>
                  <w:lang w:val="en-US"/>
                </w:rPr>
                <w:t>Chicago: The University of Chicago.</w:t>
              </w:r>
            </w:p>
            <w:p w14:paraId="19006905" w14:textId="77777777" w:rsidR="007162C4" w:rsidRDefault="007162C4" w:rsidP="007162C4">
              <w:pPr>
                <w:pStyle w:val="Bibliography"/>
                <w:rPr>
                  <w:noProof/>
                  <w:lang w:val="en-US"/>
                </w:rPr>
              </w:pPr>
              <w:r>
                <w:rPr>
                  <w:noProof/>
                  <w:lang w:val="en-US"/>
                </w:rPr>
                <w:t xml:space="preserve">Comaroff, J. &amp; Comaroff, J., 1997. </w:t>
              </w:r>
              <w:r>
                <w:rPr>
                  <w:i/>
                  <w:iCs/>
                  <w:noProof/>
                  <w:lang w:val="en-US"/>
                </w:rPr>
                <w:t xml:space="preserve">Of Revelation and Revolution, Volume 2: The Dialects of Modernity on a South African Frontier. </w:t>
              </w:r>
              <w:r>
                <w:rPr>
                  <w:noProof/>
                  <w:lang w:val="en-US"/>
                </w:rPr>
                <w:t>Chicago: The University of Chicago.</w:t>
              </w:r>
            </w:p>
            <w:p w14:paraId="3FC9B5AA" w14:textId="77777777" w:rsidR="007162C4" w:rsidRDefault="007162C4" w:rsidP="007162C4">
              <w:pPr>
                <w:pStyle w:val="Bibliography"/>
                <w:rPr>
                  <w:noProof/>
                  <w:lang w:val="en-US"/>
                </w:rPr>
              </w:pPr>
              <w:r>
                <w:rPr>
                  <w:noProof/>
                  <w:lang w:val="en-US"/>
                </w:rPr>
                <w:t xml:space="preserve">Forsythe, D., 2017. </w:t>
              </w:r>
              <w:r>
                <w:rPr>
                  <w:i/>
                  <w:iCs/>
                  <w:noProof/>
                  <w:lang w:val="en-US"/>
                </w:rPr>
                <w:t xml:space="preserve">Human Rights in International Relations. </w:t>
              </w:r>
              <w:r>
                <w:rPr>
                  <w:noProof/>
                  <w:lang w:val="en-US"/>
                </w:rPr>
                <w:t>3rd ed. Cambridge: Cambridge University Press.</w:t>
              </w:r>
            </w:p>
            <w:p w14:paraId="384B1439" w14:textId="77777777" w:rsidR="007162C4" w:rsidRDefault="007162C4" w:rsidP="007162C4">
              <w:pPr>
                <w:pStyle w:val="Bibliography"/>
                <w:rPr>
                  <w:noProof/>
                  <w:lang w:val="en-US"/>
                </w:rPr>
              </w:pPr>
              <w:r>
                <w:rPr>
                  <w:noProof/>
                  <w:lang w:val="en-US"/>
                </w:rPr>
                <w:t xml:space="preserve">Gordon, J., 2017. The Concept of Human Rights: The History and Meaning of its Politiziation. In: R. McCorquodale, ed. </w:t>
              </w:r>
              <w:r>
                <w:rPr>
                  <w:i/>
                  <w:iCs/>
                  <w:noProof/>
                  <w:lang w:val="en-US"/>
                </w:rPr>
                <w:t xml:space="preserve">Human Rights. </w:t>
              </w:r>
              <w:r>
                <w:rPr>
                  <w:noProof/>
                  <w:lang w:val="en-US"/>
                </w:rPr>
                <w:t>New York: Routledge.</w:t>
              </w:r>
            </w:p>
            <w:p w14:paraId="3353A3E7" w14:textId="77777777" w:rsidR="007162C4" w:rsidRDefault="007162C4" w:rsidP="007162C4">
              <w:pPr>
                <w:pStyle w:val="Bibliography"/>
                <w:rPr>
                  <w:noProof/>
                  <w:lang w:val="en-US"/>
                </w:rPr>
              </w:pPr>
              <w:r>
                <w:rPr>
                  <w:noProof/>
                  <w:lang w:val="en-US"/>
                </w:rPr>
                <w:t xml:space="preserve">McClain, L., 2009. Child, Family, State, and Gender Equality in Religious Stances and Human Rights Instruments: A Preliminary Comparison. In: M. Fineman &amp; W. K., eds. </w:t>
              </w:r>
              <w:r>
                <w:rPr>
                  <w:i/>
                  <w:iCs/>
                  <w:noProof/>
                  <w:lang w:val="en-US"/>
                </w:rPr>
                <w:t xml:space="preserve">What is Right for Children? The Competing Paradigms of Human Rights Instruments: A Prelimianry Comparison. </w:t>
              </w:r>
              <w:r>
                <w:rPr>
                  <w:noProof/>
                  <w:lang w:val="en-US"/>
                </w:rPr>
                <w:t>Boston: Ashgate, pp. 19-44.</w:t>
              </w:r>
            </w:p>
            <w:p w14:paraId="2AC39C8D" w14:textId="77777777" w:rsidR="007162C4" w:rsidRDefault="007162C4" w:rsidP="007162C4">
              <w:pPr>
                <w:pStyle w:val="Bibliography"/>
                <w:rPr>
                  <w:noProof/>
                  <w:lang w:val="en-US"/>
                </w:rPr>
              </w:pPr>
              <w:r>
                <w:rPr>
                  <w:noProof/>
                  <w:lang w:val="en-US"/>
                </w:rPr>
                <w:t xml:space="preserve">Panikkar, R., 1982. Is the Notion of Human Rights a Western Concept?. </w:t>
              </w:r>
              <w:r>
                <w:rPr>
                  <w:i/>
                  <w:iCs/>
                  <w:noProof/>
                  <w:lang w:val="en-US"/>
                </w:rPr>
                <w:t xml:space="preserve">Diogenes, </w:t>
              </w:r>
              <w:r>
                <w:rPr>
                  <w:noProof/>
                  <w:lang w:val="en-US"/>
                </w:rPr>
                <w:t>30(120), pp. 75-102.</w:t>
              </w:r>
            </w:p>
            <w:p w14:paraId="2D599993" w14:textId="77777777" w:rsidR="007162C4" w:rsidRDefault="007162C4" w:rsidP="007162C4">
              <w:pPr>
                <w:pStyle w:val="Bibliography"/>
                <w:rPr>
                  <w:noProof/>
                  <w:lang w:val="en-US"/>
                </w:rPr>
              </w:pPr>
              <w:r>
                <w:rPr>
                  <w:noProof/>
                  <w:lang w:val="en-US"/>
                </w:rPr>
                <w:t xml:space="preserve">Rayday, F., 2003. Culture, religion, and gender.. </w:t>
              </w:r>
              <w:r>
                <w:rPr>
                  <w:i/>
                  <w:iCs/>
                  <w:noProof/>
                  <w:lang w:val="en-US"/>
                </w:rPr>
                <w:t xml:space="preserve">International Journal of Constitutional Law, </w:t>
              </w:r>
              <w:r>
                <w:rPr>
                  <w:noProof/>
                  <w:lang w:val="en-US"/>
                </w:rPr>
                <w:t>1(4), pp. 663-715.</w:t>
              </w:r>
            </w:p>
            <w:p w14:paraId="616579C3" w14:textId="77777777" w:rsidR="007162C4" w:rsidRDefault="007162C4" w:rsidP="007162C4">
              <w:pPr>
                <w:pStyle w:val="Bibliography"/>
                <w:rPr>
                  <w:noProof/>
                  <w:lang w:val="en-US"/>
                </w:rPr>
              </w:pPr>
              <w:r>
                <w:rPr>
                  <w:noProof/>
                  <w:lang w:val="en-US"/>
                </w:rPr>
                <w:t xml:space="preserve">Salzman, M., 2018. Definitions and Perspectives. In: M. Salzman, ed. </w:t>
              </w:r>
              <w:r>
                <w:rPr>
                  <w:i/>
                  <w:iCs/>
                  <w:noProof/>
                  <w:lang w:val="en-US"/>
                </w:rPr>
                <w:t xml:space="preserve">A Psychology of Culture. </w:t>
              </w:r>
              <w:r>
                <w:rPr>
                  <w:noProof/>
                  <w:lang w:val="en-US"/>
                </w:rPr>
                <w:t>s.l.:Springer, pp. 1-18.</w:t>
              </w:r>
            </w:p>
            <w:p w14:paraId="0CFD141F" w14:textId="77777777" w:rsidR="007162C4" w:rsidRDefault="007162C4" w:rsidP="007162C4">
              <w:pPr>
                <w:pStyle w:val="Bibliography"/>
                <w:rPr>
                  <w:noProof/>
                  <w:lang w:val="en-US"/>
                </w:rPr>
              </w:pPr>
              <w:r>
                <w:rPr>
                  <w:noProof/>
                  <w:lang w:val="en-US"/>
                </w:rPr>
                <w:t xml:space="preserve">Trevenen, K., 2001. Global Feminism and the "Problem" of Culture. </w:t>
              </w:r>
              <w:r>
                <w:rPr>
                  <w:i/>
                  <w:iCs/>
                  <w:noProof/>
                  <w:lang w:val="en-US"/>
                </w:rPr>
                <w:t xml:space="preserve">Theory and Event, </w:t>
              </w:r>
              <w:r>
                <w:rPr>
                  <w:noProof/>
                  <w:lang w:val="en-US"/>
                </w:rPr>
                <w:t>5(1), p. Project Muse.</w:t>
              </w:r>
            </w:p>
            <w:p w14:paraId="63F99A6A" w14:textId="77777777" w:rsidR="007162C4" w:rsidRDefault="007162C4" w:rsidP="007162C4">
              <w:r>
                <w:rPr>
                  <w:b/>
                  <w:bCs/>
                  <w:noProof/>
                </w:rPr>
                <w:fldChar w:fldCharType="end"/>
              </w:r>
            </w:p>
          </w:sdtContent>
        </w:sdt>
      </w:sdtContent>
    </w:sdt>
    <w:p w14:paraId="79A5B457" w14:textId="77777777" w:rsidR="007162C4" w:rsidRDefault="007162C4" w:rsidP="007162C4">
      <w:pPr>
        <w:rPr>
          <w:rFonts w:ascii="Times New Roman" w:hAnsi="Times New Roman" w:cs="Times New Roman"/>
          <w:sz w:val="24"/>
          <w:szCs w:val="24"/>
          <w:lang w:val="en-US"/>
        </w:rPr>
      </w:pPr>
    </w:p>
    <w:p w14:paraId="650453A8" w14:textId="77777777" w:rsidR="007162C4" w:rsidRPr="00894C83" w:rsidRDefault="007162C4" w:rsidP="007162C4">
      <w:pPr>
        <w:rPr>
          <w:rFonts w:ascii="Times New Roman" w:hAnsi="Times New Roman" w:cs="Times New Roman"/>
          <w:b/>
          <w:bCs/>
          <w:sz w:val="36"/>
          <w:szCs w:val="36"/>
          <w:u w:val="single"/>
          <w:lang w:val="en-US"/>
        </w:rPr>
      </w:pPr>
    </w:p>
    <w:p w14:paraId="25194E91" w14:textId="77777777" w:rsidR="007162C4" w:rsidRDefault="007162C4" w:rsidP="007162C4">
      <w:pPr>
        <w:jc w:val="center"/>
        <w:rPr>
          <w:rFonts w:ascii="Times New Roman" w:hAnsi="Times New Roman" w:cs="Times New Roman"/>
          <w:b/>
          <w:bCs/>
          <w:sz w:val="36"/>
          <w:szCs w:val="36"/>
          <w:u w:val="single"/>
          <w:lang w:val="en-US"/>
        </w:rPr>
      </w:pPr>
      <w:r>
        <w:rPr>
          <w:rFonts w:ascii="Times New Roman" w:hAnsi="Times New Roman" w:cs="Times New Roman"/>
          <w:b/>
          <w:bCs/>
          <w:sz w:val="36"/>
          <w:szCs w:val="36"/>
          <w:u w:val="single"/>
          <w:lang w:val="en-US"/>
        </w:rPr>
        <w:t>LGBQTI and Human Rights</w:t>
      </w:r>
    </w:p>
    <w:p w14:paraId="56E7D9BB" w14:textId="77777777" w:rsidR="007162C4" w:rsidRDefault="007162C4" w:rsidP="007162C4">
      <w:pPr>
        <w:rPr>
          <w:rFonts w:ascii="Times New Roman" w:hAnsi="Times New Roman" w:cs="Times New Roman"/>
          <w:sz w:val="24"/>
          <w:szCs w:val="24"/>
          <w:u w:val="single"/>
          <w:lang w:val="en-US"/>
        </w:rPr>
      </w:pPr>
    </w:p>
    <w:p w14:paraId="1798B899" w14:textId="77777777" w:rsidR="007162C4" w:rsidRDefault="007162C4" w:rsidP="007162C4">
      <w:pPr>
        <w:rPr>
          <w:rFonts w:ascii="Times New Roman" w:hAnsi="Times New Roman" w:cs="Times New Roman"/>
          <w:sz w:val="24"/>
          <w:szCs w:val="24"/>
          <w:lang w:val="en-US"/>
        </w:rPr>
      </w:pPr>
      <w:r>
        <w:rPr>
          <w:rFonts w:ascii="Times New Roman" w:hAnsi="Times New Roman" w:cs="Times New Roman"/>
          <w:sz w:val="24"/>
          <w:szCs w:val="24"/>
          <w:lang w:val="en-US"/>
        </w:rPr>
        <w:t>Question 1</w:t>
      </w:r>
    </w:p>
    <w:p w14:paraId="58EE7B01" w14:textId="77777777" w:rsidR="007162C4" w:rsidRDefault="007162C4" w:rsidP="007162C4">
      <w:pPr>
        <w:rPr>
          <w:rFonts w:ascii="Times New Roman" w:hAnsi="Times New Roman" w:cs="Times New Roman"/>
          <w:b/>
          <w:bCs/>
          <w:sz w:val="24"/>
          <w:szCs w:val="24"/>
          <w:lang w:val="en-US"/>
        </w:rPr>
      </w:pPr>
      <w:r>
        <w:rPr>
          <w:rFonts w:ascii="Times New Roman" w:hAnsi="Times New Roman" w:cs="Times New Roman"/>
          <w:b/>
          <w:bCs/>
          <w:sz w:val="24"/>
          <w:szCs w:val="24"/>
          <w:lang w:val="en-US"/>
        </w:rPr>
        <w:t>Why do you think LGBQTI people are treated differently?</w:t>
      </w:r>
    </w:p>
    <w:p w14:paraId="4FF1C2C2" w14:textId="77777777" w:rsidR="007162C4" w:rsidRDefault="007162C4" w:rsidP="007162C4">
      <w:pPr>
        <w:rPr>
          <w:rFonts w:ascii="Times New Roman" w:hAnsi="Times New Roman" w:cs="Times New Roman"/>
          <w:sz w:val="24"/>
          <w:szCs w:val="24"/>
          <w:lang w:val="en-US"/>
        </w:rPr>
      </w:pPr>
      <w:r>
        <w:rPr>
          <w:rFonts w:ascii="Times New Roman" w:hAnsi="Times New Roman" w:cs="Times New Roman"/>
          <w:sz w:val="24"/>
          <w:szCs w:val="24"/>
          <w:lang w:val="en-US"/>
        </w:rPr>
        <w:t>LGBQTI are treated differently within society for the same reasons that throughout history women are treated differently, that people of colour are treated differently, that people with mental illnesses are treated differently, that people with additional learning needs are treated differently, simply because they are different. Our culture has been raised, through the ages on a patriarchal regime supported by a religion that exemplifies the same values, a regime where white heterosexual males are the standard norm to which we should all aspire. As humans we struggle with change and our culture is so entrenched within this outdated belief system that we ‘other’ anyone who challenges the patriarchal hierarchy, and by ‘othering’ our culture allows us to place these people below us, thus making them unequal, less human, allowing people and society to treat them as such.</w:t>
      </w:r>
    </w:p>
    <w:p w14:paraId="08C96DD0" w14:textId="77777777" w:rsidR="007162C4" w:rsidRDefault="007162C4" w:rsidP="007162C4">
      <w:pPr>
        <w:rPr>
          <w:rFonts w:ascii="Times New Roman" w:hAnsi="Times New Roman" w:cs="Times New Roman"/>
          <w:sz w:val="24"/>
          <w:szCs w:val="24"/>
          <w:lang w:val="en-US"/>
        </w:rPr>
      </w:pPr>
    </w:p>
    <w:p w14:paraId="3286762B" w14:textId="77777777" w:rsidR="007162C4" w:rsidRDefault="007162C4" w:rsidP="007162C4">
      <w:pPr>
        <w:rPr>
          <w:rFonts w:ascii="Times New Roman" w:hAnsi="Times New Roman" w:cs="Times New Roman"/>
          <w:sz w:val="24"/>
          <w:szCs w:val="24"/>
          <w:lang w:val="en-US"/>
        </w:rPr>
      </w:pPr>
    </w:p>
    <w:p w14:paraId="6B700C89" w14:textId="77777777" w:rsidR="007162C4" w:rsidRDefault="007162C4" w:rsidP="007162C4">
      <w:pPr>
        <w:rPr>
          <w:rFonts w:ascii="Times New Roman" w:hAnsi="Times New Roman" w:cs="Times New Roman"/>
          <w:sz w:val="24"/>
          <w:szCs w:val="24"/>
          <w:lang w:val="en-US"/>
        </w:rPr>
      </w:pPr>
      <w:r>
        <w:rPr>
          <w:rFonts w:ascii="Times New Roman" w:hAnsi="Times New Roman" w:cs="Times New Roman"/>
          <w:sz w:val="24"/>
          <w:szCs w:val="24"/>
          <w:lang w:val="en-US"/>
        </w:rPr>
        <w:t>Question 2</w:t>
      </w:r>
    </w:p>
    <w:p w14:paraId="449DD775" w14:textId="77777777" w:rsidR="007162C4" w:rsidRDefault="007162C4" w:rsidP="007162C4">
      <w:pPr>
        <w:rPr>
          <w:rFonts w:ascii="Times New Roman" w:hAnsi="Times New Roman" w:cs="Times New Roman"/>
          <w:b/>
          <w:bCs/>
          <w:sz w:val="24"/>
          <w:szCs w:val="24"/>
          <w:lang w:val="en-US"/>
        </w:rPr>
      </w:pPr>
      <w:r>
        <w:rPr>
          <w:rFonts w:ascii="Times New Roman" w:hAnsi="Times New Roman" w:cs="Times New Roman"/>
          <w:b/>
          <w:bCs/>
          <w:sz w:val="24"/>
          <w:szCs w:val="24"/>
          <w:lang w:val="en-US"/>
        </w:rPr>
        <w:t>Do you believe same-sex marriage is good or bad? Why?</w:t>
      </w:r>
    </w:p>
    <w:p w14:paraId="765F8EB9" w14:textId="77777777" w:rsidR="007162C4" w:rsidRDefault="007162C4" w:rsidP="007162C4">
      <w:pPr>
        <w:rPr>
          <w:rFonts w:ascii="Times New Roman" w:hAnsi="Times New Roman" w:cs="Times New Roman"/>
          <w:sz w:val="24"/>
          <w:szCs w:val="24"/>
          <w:lang w:val="en-US"/>
        </w:rPr>
      </w:pPr>
      <w:r>
        <w:rPr>
          <w:rFonts w:ascii="Times New Roman" w:hAnsi="Times New Roman" w:cs="Times New Roman"/>
          <w:sz w:val="24"/>
          <w:szCs w:val="24"/>
          <w:lang w:val="en-US"/>
        </w:rPr>
        <w:t xml:space="preserve">Yes, I believe that same-sex marriage is a good in the same way that I believe that heterosexual marriage is good. Marriage for any couple has practical legal benefits including those relating to family law, pensions, health, tax, inheritance and power of attorney, and immigration. </w:t>
      </w:r>
      <w:proofErr w:type="gramStart"/>
      <w:r>
        <w:rPr>
          <w:rFonts w:ascii="Times New Roman" w:hAnsi="Times New Roman" w:cs="Times New Roman"/>
          <w:sz w:val="24"/>
          <w:szCs w:val="24"/>
          <w:lang w:val="en-US"/>
        </w:rPr>
        <w:t>All of</w:t>
      </w:r>
      <w:proofErr w:type="gramEnd"/>
      <w:r>
        <w:rPr>
          <w:rFonts w:ascii="Times New Roman" w:hAnsi="Times New Roman" w:cs="Times New Roman"/>
          <w:sz w:val="24"/>
          <w:szCs w:val="24"/>
          <w:lang w:val="en-US"/>
        </w:rPr>
        <w:t xml:space="preserve"> these rights become immediately available to married couples but are often denied to cohabiting couples for a prolonged period of time. By allowing marriage between same-sex couple it also means that they are given the same responsibilities as heterosexual married couples such as being allowed to make medical decisions for their spouses, or legal decisions in emergencies. These rights are important rights and they should not be denied to any person because of who they decide to have a relationship with. Studies have also shown that arguments against same-sex-marriage based upon claims of instability of the relationships are unfounded and have </w:t>
      </w:r>
      <w:proofErr w:type="gramStart"/>
      <w:r>
        <w:rPr>
          <w:rFonts w:ascii="Times New Roman" w:hAnsi="Times New Roman" w:cs="Times New Roman"/>
          <w:sz w:val="24"/>
          <w:szCs w:val="24"/>
          <w:lang w:val="en-US"/>
        </w:rPr>
        <w:t>actually shown</w:t>
      </w:r>
      <w:proofErr w:type="gramEnd"/>
      <w:r>
        <w:rPr>
          <w:rFonts w:ascii="Times New Roman" w:hAnsi="Times New Roman" w:cs="Times New Roman"/>
          <w:sz w:val="24"/>
          <w:szCs w:val="24"/>
          <w:lang w:val="en-US"/>
        </w:rPr>
        <w:t xml:space="preserve"> that same-sex-couples are better at marriage than their heterosexual counterparts. These studies showed that same-sex-couples were more egalitarian where money and housework were concerned than heterosexual married couples (Skinner, et al., 2002; Solomon, et al., 2005; Kurdek, 2005, 2006, 2007).</w:t>
      </w:r>
    </w:p>
    <w:p w14:paraId="4AF34CA3" w14:textId="77777777" w:rsidR="007162C4" w:rsidRDefault="007162C4" w:rsidP="007162C4">
      <w:pPr>
        <w:rPr>
          <w:rFonts w:ascii="Times New Roman" w:hAnsi="Times New Roman" w:cs="Times New Roman"/>
          <w:sz w:val="24"/>
          <w:szCs w:val="24"/>
          <w:lang w:val="en-US"/>
        </w:rPr>
      </w:pPr>
    </w:p>
    <w:p w14:paraId="72CFE5C0" w14:textId="77777777" w:rsidR="007162C4" w:rsidRDefault="007162C4" w:rsidP="007162C4">
      <w:pPr>
        <w:rPr>
          <w:rFonts w:ascii="Times New Roman" w:hAnsi="Times New Roman" w:cs="Times New Roman"/>
          <w:sz w:val="24"/>
          <w:szCs w:val="24"/>
          <w:lang w:val="en-US"/>
        </w:rPr>
      </w:pPr>
    </w:p>
    <w:p w14:paraId="2CADDD1B" w14:textId="77777777" w:rsidR="007162C4" w:rsidRDefault="007162C4" w:rsidP="007162C4">
      <w:pPr>
        <w:jc w:val="center"/>
        <w:rPr>
          <w:rFonts w:ascii="Times New Roman" w:hAnsi="Times New Roman" w:cs="Times New Roman"/>
          <w:b/>
          <w:bCs/>
          <w:sz w:val="32"/>
          <w:szCs w:val="32"/>
          <w:u w:val="single"/>
          <w:lang w:val="en-US"/>
        </w:rPr>
      </w:pPr>
    </w:p>
    <w:p w14:paraId="25080D15" w14:textId="77777777" w:rsidR="007162C4" w:rsidRDefault="007162C4" w:rsidP="007162C4">
      <w:pPr>
        <w:jc w:val="center"/>
        <w:rPr>
          <w:rFonts w:ascii="Times New Roman" w:hAnsi="Times New Roman" w:cs="Times New Roman"/>
          <w:b/>
          <w:bCs/>
          <w:sz w:val="32"/>
          <w:szCs w:val="32"/>
          <w:u w:val="single"/>
          <w:lang w:val="en-US"/>
        </w:rPr>
      </w:pPr>
    </w:p>
    <w:p w14:paraId="40EAA1EA" w14:textId="77777777" w:rsidR="007162C4" w:rsidRDefault="007162C4" w:rsidP="007162C4">
      <w:pPr>
        <w:jc w:val="center"/>
        <w:rPr>
          <w:rFonts w:ascii="Times New Roman" w:hAnsi="Times New Roman" w:cs="Times New Roman"/>
          <w:b/>
          <w:bCs/>
          <w:sz w:val="32"/>
          <w:szCs w:val="32"/>
          <w:u w:val="single"/>
          <w:lang w:val="en-US"/>
        </w:rPr>
      </w:pPr>
    </w:p>
    <w:p w14:paraId="04526C32" w14:textId="77777777" w:rsidR="007162C4" w:rsidRDefault="007162C4" w:rsidP="007162C4">
      <w:pPr>
        <w:jc w:val="center"/>
        <w:rPr>
          <w:rFonts w:ascii="Times New Roman" w:hAnsi="Times New Roman" w:cs="Times New Roman"/>
          <w:sz w:val="24"/>
          <w:szCs w:val="24"/>
          <w:lang w:val="en-US"/>
        </w:rPr>
      </w:pPr>
      <w:r>
        <w:rPr>
          <w:rFonts w:ascii="Times New Roman" w:hAnsi="Times New Roman" w:cs="Times New Roman"/>
          <w:b/>
          <w:bCs/>
          <w:sz w:val="32"/>
          <w:szCs w:val="32"/>
          <w:u w:val="single"/>
          <w:lang w:val="en-US"/>
        </w:rPr>
        <w:t>‘Gender-Neutral Toilets’</w:t>
      </w:r>
    </w:p>
    <w:p w14:paraId="690D7A00" w14:textId="77777777" w:rsidR="007162C4" w:rsidRDefault="007162C4" w:rsidP="007162C4">
      <w:pPr>
        <w:rPr>
          <w:rFonts w:ascii="Times New Roman" w:hAnsi="Times New Roman" w:cs="Times New Roman"/>
          <w:sz w:val="24"/>
          <w:szCs w:val="24"/>
          <w:lang w:val="en-US"/>
        </w:rPr>
      </w:pPr>
    </w:p>
    <w:p w14:paraId="450E48E9" w14:textId="77777777" w:rsidR="007162C4" w:rsidRDefault="007162C4" w:rsidP="007162C4">
      <w:pPr>
        <w:jc w:val="center"/>
        <w:rPr>
          <w:rFonts w:ascii="Times New Roman" w:hAnsi="Times New Roman" w:cs="Times New Roman"/>
          <w:sz w:val="24"/>
          <w:szCs w:val="24"/>
          <w:lang w:val="en-US"/>
        </w:rPr>
      </w:pPr>
      <w:r>
        <w:rPr>
          <w:rFonts w:ascii="Times New Roman" w:hAnsi="Times New Roman" w:cs="Times New Roman"/>
          <w:sz w:val="24"/>
          <w:szCs w:val="24"/>
          <w:lang w:val="en-US"/>
        </w:rPr>
        <w:t>“It is easier to split an atom than a prejudice”</w:t>
      </w:r>
    </w:p>
    <w:p w14:paraId="500FF699" w14:textId="77777777" w:rsidR="007162C4" w:rsidRDefault="007162C4" w:rsidP="007162C4">
      <w:pPr>
        <w:jc w:val="center"/>
        <w:rPr>
          <w:rFonts w:ascii="Times New Roman" w:hAnsi="Times New Roman" w:cs="Times New Roman"/>
          <w:sz w:val="24"/>
          <w:szCs w:val="24"/>
          <w:lang w:val="en-US"/>
        </w:rPr>
      </w:pPr>
      <w:r>
        <w:rPr>
          <w:rFonts w:ascii="Times New Roman" w:hAnsi="Times New Roman" w:cs="Times New Roman"/>
          <w:sz w:val="24"/>
          <w:szCs w:val="24"/>
          <w:lang w:val="en-US"/>
        </w:rPr>
        <w:t>Albert Einstein</w:t>
      </w:r>
    </w:p>
    <w:p w14:paraId="0F743143" w14:textId="77777777" w:rsidR="007162C4" w:rsidRDefault="007162C4" w:rsidP="007162C4">
      <w:pPr>
        <w:jc w:val="center"/>
        <w:rPr>
          <w:rFonts w:ascii="Times New Roman" w:hAnsi="Times New Roman" w:cs="Times New Roman"/>
          <w:sz w:val="24"/>
          <w:szCs w:val="24"/>
          <w:lang w:val="en-US"/>
        </w:rPr>
      </w:pPr>
    </w:p>
    <w:p w14:paraId="77929D78" w14:textId="77777777" w:rsidR="007162C4" w:rsidRDefault="007162C4" w:rsidP="007162C4">
      <w:pPr>
        <w:rPr>
          <w:rFonts w:ascii="Times New Roman" w:hAnsi="Times New Roman" w:cs="Times New Roman"/>
          <w:sz w:val="24"/>
          <w:szCs w:val="24"/>
          <w:lang w:val="en-US"/>
        </w:rPr>
      </w:pPr>
      <w:r>
        <w:rPr>
          <w:rFonts w:ascii="Times New Roman" w:hAnsi="Times New Roman" w:cs="Times New Roman"/>
          <w:sz w:val="24"/>
          <w:szCs w:val="24"/>
          <w:lang w:val="en-US"/>
        </w:rPr>
        <w:t xml:space="preserve">Moral panic over the use of public toilets by transgender people has reached a frenzied peak in the past few years. Highly publicized cases throughout the United States and the United Kingdom have brought transgender and non-binary issues to the forefront of cultural visibility. Three main points have appeared consistently throughout discursive analysis of the issue of gender-neutral toilets: ‘Gender-neutral toilets are sites of sexual danger’, ‘Gender-neutral toilets are undermining the rights of cisgender people’, and ‘the delegitimization and othering of transgender people’ </w:t>
      </w:r>
      <w:sdt>
        <w:sdtPr>
          <w:rPr>
            <w:rFonts w:ascii="Times New Roman" w:hAnsi="Times New Roman" w:cs="Times New Roman"/>
            <w:sz w:val="24"/>
            <w:szCs w:val="24"/>
            <w:lang w:val="en-US"/>
          </w:rPr>
          <w:id w:val="-568502184"/>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Col19 \l 1033 </w:instrText>
          </w:r>
          <w:r>
            <w:rPr>
              <w:rFonts w:ascii="Times New Roman" w:hAnsi="Times New Roman" w:cs="Times New Roman"/>
              <w:sz w:val="24"/>
              <w:szCs w:val="24"/>
              <w:lang w:val="en-US"/>
            </w:rPr>
            <w:fldChar w:fldCharType="separate"/>
          </w:r>
          <w:r w:rsidRPr="00FB7D7A">
            <w:rPr>
              <w:rFonts w:ascii="Times New Roman" w:hAnsi="Times New Roman" w:cs="Times New Roman"/>
              <w:noProof/>
              <w:sz w:val="24"/>
              <w:szCs w:val="24"/>
              <w:lang w:val="en-US"/>
            </w:rPr>
            <w:t>(Colliver, et al., 2019)</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This current battle about the use of public toilets reflects longer standing issues of marginalized groups throughout history </w:t>
      </w:r>
      <w:sdt>
        <w:sdtPr>
          <w:rPr>
            <w:rFonts w:ascii="Times New Roman" w:hAnsi="Times New Roman" w:cs="Times New Roman"/>
            <w:sz w:val="24"/>
            <w:szCs w:val="24"/>
            <w:lang w:val="en-US"/>
          </w:rPr>
          <w:id w:val="1227501934"/>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Cav10 \l 1033 </w:instrText>
          </w:r>
          <w:r>
            <w:rPr>
              <w:rFonts w:ascii="Times New Roman" w:hAnsi="Times New Roman" w:cs="Times New Roman"/>
              <w:sz w:val="24"/>
              <w:szCs w:val="24"/>
              <w:lang w:val="en-US"/>
            </w:rPr>
            <w:fldChar w:fldCharType="separate"/>
          </w:r>
          <w:r w:rsidRPr="00AF4549">
            <w:rPr>
              <w:rFonts w:ascii="Times New Roman" w:hAnsi="Times New Roman" w:cs="Times New Roman"/>
              <w:noProof/>
              <w:sz w:val="24"/>
              <w:szCs w:val="24"/>
              <w:lang w:val="en-US"/>
            </w:rPr>
            <w:t>(Cavanagh, 2010)</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and triggers social anxieties of these marginalized groups crossing over into normative society </w:t>
      </w:r>
      <w:sdt>
        <w:sdtPr>
          <w:rPr>
            <w:rFonts w:ascii="Times New Roman" w:hAnsi="Times New Roman" w:cs="Times New Roman"/>
            <w:sz w:val="24"/>
            <w:szCs w:val="24"/>
            <w:lang w:val="en-US"/>
          </w:rPr>
          <w:id w:val="-1616747646"/>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San16 \l 1033 </w:instrText>
          </w:r>
          <w:r>
            <w:rPr>
              <w:rFonts w:ascii="Times New Roman" w:hAnsi="Times New Roman" w:cs="Times New Roman"/>
              <w:sz w:val="24"/>
              <w:szCs w:val="24"/>
              <w:lang w:val="en-US"/>
            </w:rPr>
            <w:fldChar w:fldCharType="separate"/>
          </w:r>
          <w:r w:rsidRPr="00067014">
            <w:rPr>
              <w:rFonts w:ascii="Times New Roman" w:hAnsi="Times New Roman" w:cs="Times New Roman"/>
              <w:noProof/>
              <w:sz w:val="24"/>
              <w:szCs w:val="24"/>
              <w:lang w:val="en-US"/>
            </w:rPr>
            <w:t>(Sanders &amp; Stryker, 2016)</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The public restroom becomes a stage which allows abstract concerns to become ‘real’ threats by which cisgender invoke nature and biology as constructs against those who are challenging social norms </w:t>
      </w:r>
      <w:sdt>
        <w:sdtPr>
          <w:rPr>
            <w:rFonts w:ascii="Times New Roman" w:hAnsi="Times New Roman" w:cs="Times New Roman"/>
            <w:sz w:val="24"/>
            <w:szCs w:val="24"/>
            <w:lang w:val="en-US"/>
          </w:rPr>
          <w:id w:val="-2107491972"/>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Bei17 \l 1033 </w:instrText>
          </w:r>
          <w:r>
            <w:rPr>
              <w:rFonts w:ascii="Times New Roman" w:hAnsi="Times New Roman" w:cs="Times New Roman"/>
              <w:sz w:val="24"/>
              <w:szCs w:val="24"/>
              <w:lang w:val="en-US"/>
            </w:rPr>
            <w:fldChar w:fldCharType="separate"/>
          </w:r>
          <w:r w:rsidRPr="008D5699">
            <w:rPr>
              <w:rFonts w:ascii="Times New Roman" w:hAnsi="Times New Roman" w:cs="Times New Roman"/>
              <w:noProof/>
              <w:sz w:val="24"/>
              <w:szCs w:val="24"/>
              <w:lang w:val="en-US"/>
            </w:rPr>
            <w:t>(Beirl, et al., 2017)</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transgender and non-binary people are often constructed as psychopathological and viewed as a part of a modern trend created by the media </w:t>
      </w:r>
      <w:sdt>
        <w:sdtPr>
          <w:rPr>
            <w:rFonts w:ascii="Times New Roman" w:hAnsi="Times New Roman" w:cs="Times New Roman"/>
            <w:sz w:val="24"/>
            <w:szCs w:val="24"/>
            <w:lang w:val="en-US"/>
          </w:rPr>
          <w:id w:val="2083637927"/>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Cav18 \l 1033 </w:instrText>
          </w:r>
          <w:r>
            <w:rPr>
              <w:rFonts w:ascii="Times New Roman" w:hAnsi="Times New Roman" w:cs="Times New Roman"/>
              <w:sz w:val="24"/>
              <w:szCs w:val="24"/>
              <w:lang w:val="en-US"/>
            </w:rPr>
            <w:fldChar w:fldCharType="separate"/>
          </w:r>
          <w:r w:rsidRPr="0076549B">
            <w:rPr>
              <w:rFonts w:ascii="Times New Roman" w:hAnsi="Times New Roman" w:cs="Times New Roman"/>
              <w:noProof/>
              <w:sz w:val="24"/>
              <w:szCs w:val="24"/>
              <w:lang w:val="en-US"/>
            </w:rPr>
            <w:t>(Cavalcante, 2018)</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Throughout history the public toilet had become a place that is distinct in its explicit social norms and expectations of the human body, by virtue of being a shared place it becomes an area where we are expected to conform to the expectations placed upon us by a symbol on the door </w:t>
      </w:r>
      <w:sdt>
        <w:sdtPr>
          <w:rPr>
            <w:rFonts w:ascii="Times New Roman" w:hAnsi="Times New Roman" w:cs="Times New Roman"/>
            <w:sz w:val="24"/>
            <w:szCs w:val="24"/>
            <w:lang w:val="en-US"/>
          </w:rPr>
          <w:id w:val="1551342637"/>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Sma17 \l 1033 </w:instrText>
          </w:r>
          <w:r>
            <w:rPr>
              <w:rFonts w:ascii="Times New Roman" w:hAnsi="Times New Roman" w:cs="Times New Roman"/>
              <w:sz w:val="24"/>
              <w:szCs w:val="24"/>
              <w:lang w:val="en-US"/>
            </w:rPr>
            <w:fldChar w:fldCharType="separate"/>
          </w:r>
          <w:r w:rsidRPr="00B979DE">
            <w:rPr>
              <w:rFonts w:ascii="Times New Roman" w:hAnsi="Times New Roman" w:cs="Times New Roman"/>
              <w:noProof/>
              <w:sz w:val="24"/>
              <w:szCs w:val="24"/>
              <w:lang w:val="en-US"/>
            </w:rPr>
            <w:t>(Smart, 2017)</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w:t>
      </w:r>
    </w:p>
    <w:p w14:paraId="4EB00565" w14:textId="77777777" w:rsidR="007162C4" w:rsidRDefault="007162C4" w:rsidP="007162C4">
      <w:pPr>
        <w:rPr>
          <w:rFonts w:ascii="Times New Roman" w:hAnsi="Times New Roman" w:cs="Times New Roman"/>
          <w:sz w:val="24"/>
          <w:szCs w:val="24"/>
          <w:lang w:val="en-US"/>
        </w:rPr>
      </w:pPr>
    </w:p>
    <w:sdt>
      <w:sdtPr>
        <w:id w:val="-5894545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1CBD6D2" w14:textId="77777777" w:rsidR="007162C4" w:rsidRDefault="007162C4" w:rsidP="007162C4">
          <w:pPr>
            <w:pStyle w:val="Heading1"/>
          </w:pPr>
          <w:r>
            <w:t>References</w:t>
          </w:r>
        </w:p>
        <w:sdt>
          <w:sdtPr>
            <w:id w:val="342356133"/>
            <w:bibliography/>
          </w:sdtPr>
          <w:sdtContent>
            <w:p w14:paraId="13FD1C0B" w14:textId="77777777" w:rsidR="007162C4" w:rsidRDefault="007162C4" w:rsidP="007162C4">
              <w:pPr>
                <w:pStyle w:val="Bibliography"/>
                <w:rPr>
                  <w:noProof/>
                  <w:sz w:val="24"/>
                  <w:szCs w:val="24"/>
                  <w:lang w:val="en-US"/>
                </w:rPr>
              </w:pPr>
              <w:r>
                <w:fldChar w:fldCharType="begin"/>
              </w:r>
              <w:r>
                <w:instrText xml:space="preserve"> BIBLIOGRAPHY </w:instrText>
              </w:r>
              <w:r>
                <w:fldChar w:fldCharType="separate"/>
              </w:r>
              <w:r>
                <w:rPr>
                  <w:noProof/>
                  <w:lang w:val="en-US"/>
                </w:rPr>
                <w:t xml:space="preserve">Beirl, D. et al., 2017. </w:t>
              </w:r>
              <w:r>
                <w:rPr>
                  <w:i/>
                  <w:iCs/>
                  <w:noProof/>
                  <w:lang w:val="en-US"/>
                </w:rPr>
                <w:t xml:space="preserve">Got Your Back: An Internet of Toilets for the Trans* Community. </w:t>
              </w:r>
              <w:r>
                <w:rPr>
                  <w:noProof/>
                  <w:lang w:val="en-US"/>
                </w:rPr>
                <w:t>s.l., ACM.</w:t>
              </w:r>
            </w:p>
            <w:p w14:paraId="70299F18" w14:textId="77777777" w:rsidR="007162C4" w:rsidRDefault="007162C4" w:rsidP="007162C4">
              <w:pPr>
                <w:pStyle w:val="Bibliography"/>
                <w:rPr>
                  <w:noProof/>
                  <w:lang w:val="en-US"/>
                </w:rPr>
              </w:pPr>
              <w:r>
                <w:rPr>
                  <w:noProof/>
                  <w:lang w:val="en-US"/>
                </w:rPr>
                <w:t xml:space="preserve">Cavalcante, A., 2018. </w:t>
              </w:r>
              <w:r>
                <w:rPr>
                  <w:i/>
                  <w:iCs/>
                  <w:noProof/>
                  <w:lang w:val="en-US"/>
                </w:rPr>
                <w:t xml:space="preserve">Struggling for ordinary: Media and transgender belonging in everyday life.. </w:t>
              </w:r>
              <w:r>
                <w:rPr>
                  <w:noProof/>
                  <w:lang w:val="en-US"/>
                </w:rPr>
                <w:t>New York: NYU Press.</w:t>
              </w:r>
            </w:p>
            <w:p w14:paraId="07C95867" w14:textId="77777777" w:rsidR="007162C4" w:rsidRDefault="007162C4" w:rsidP="007162C4">
              <w:pPr>
                <w:pStyle w:val="Bibliography"/>
                <w:rPr>
                  <w:noProof/>
                  <w:lang w:val="en-US"/>
                </w:rPr>
              </w:pPr>
              <w:r>
                <w:rPr>
                  <w:noProof/>
                  <w:lang w:val="en-US"/>
                </w:rPr>
                <w:t xml:space="preserve">Cavanagh, S., 2010. </w:t>
              </w:r>
              <w:r>
                <w:rPr>
                  <w:i/>
                  <w:iCs/>
                  <w:noProof/>
                  <w:lang w:val="en-US"/>
                </w:rPr>
                <w:t xml:space="preserve">Queering Bathrooms: Gender, Sexuality, and the Hygienic Imagination. </w:t>
              </w:r>
              <w:r>
                <w:rPr>
                  <w:noProof/>
                  <w:lang w:val="en-US"/>
                </w:rPr>
                <w:t>Toronto: University of Toronto Press.</w:t>
              </w:r>
            </w:p>
            <w:p w14:paraId="5251247C" w14:textId="77777777" w:rsidR="007162C4" w:rsidRDefault="007162C4" w:rsidP="007162C4">
              <w:pPr>
                <w:pStyle w:val="Bibliography"/>
                <w:rPr>
                  <w:noProof/>
                  <w:lang w:val="en-US"/>
                </w:rPr>
              </w:pPr>
              <w:r>
                <w:rPr>
                  <w:noProof/>
                  <w:lang w:val="en-US"/>
                </w:rPr>
                <w:t xml:space="preserve">Colliver, B., Coyle, A. &amp; Silvestri, M., 2019. The online 'othering' of transgendering and non-binary people.. In: K. Lumsden &amp; E. Harmer, eds. </w:t>
              </w:r>
              <w:r>
                <w:rPr>
                  <w:i/>
                  <w:iCs/>
                  <w:noProof/>
                  <w:lang w:val="en-US"/>
                </w:rPr>
                <w:t xml:space="preserve">Online Othering: exploring the dark side of the web. </w:t>
              </w:r>
              <w:r>
                <w:rPr>
                  <w:noProof/>
                  <w:lang w:val="en-US"/>
                </w:rPr>
                <w:t>s.l.:Palgrave, Macmillan.</w:t>
              </w:r>
            </w:p>
            <w:p w14:paraId="0DF18450" w14:textId="77777777" w:rsidR="007162C4" w:rsidRDefault="007162C4" w:rsidP="007162C4">
              <w:pPr>
                <w:pStyle w:val="Bibliography"/>
                <w:rPr>
                  <w:noProof/>
                  <w:lang w:val="en-US"/>
                </w:rPr>
              </w:pPr>
              <w:r>
                <w:rPr>
                  <w:noProof/>
                  <w:lang w:val="en-US"/>
                </w:rPr>
                <w:t xml:space="preserve">Kurdek, L., 2005. What do we know about gay and lesbian couples?. </w:t>
              </w:r>
              <w:r>
                <w:rPr>
                  <w:i/>
                  <w:iCs/>
                  <w:noProof/>
                  <w:lang w:val="en-US"/>
                </w:rPr>
                <w:t xml:space="preserve">Current Directions in Psychological Science, </w:t>
              </w:r>
              <w:r>
                <w:rPr>
                  <w:noProof/>
                  <w:lang w:val="en-US"/>
                </w:rPr>
                <w:t>Volume 14, pp. 251-254.</w:t>
              </w:r>
            </w:p>
            <w:p w14:paraId="056DADAF" w14:textId="77777777" w:rsidR="007162C4" w:rsidRDefault="007162C4" w:rsidP="007162C4">
              <w:pPr>
                <w:pStyle w:val="Bibliography"/>
                <w:rPr>
                  <w:noProof/>
                  <w:lang w:val="en-US"/>
                </w:rPr>
              </w:pPr>
              <w:r>
                <w:rPr>
                  <w:noProof/>
                  <w:lang w:val="en-US"/>
                </w:rPr>
                <w:t xml:space="preserve">Kurdek, L., 2006. Differences between partners from heterosexual, gay, and lesbian cohabiting couples.. </w:t>
              </w:r>
              <w:r>
                <w:rPr>
                  <w:i/>
                  <w:iCs/>
                  <w:noProof/>
                  <w:lang w:val="en-US"/>
                </w:rPr>
                <w:t xml:space="preserve">Journal of Marriage and Family, </w:t>
              </w:r>
              <w:r>
                <w:rPr>
                  <w:noProof/>
                  <w:lang w:val="en-US"/>
                </w:rPr>
                <w:t>Volume 68, pp. 509-528.</w:t>
              </w:r>
            </w:p>
            <w:p w14:paraId="5BACC407" w14:textId="77777777" w:rsidR="007162C4" w:rsidRDefault="007162C4" w:rsidP="007162C4">
              <w:pPr>
                <w:pStyle w:val="Bibliography"/>
                <w:rPr>
                  <w:noProof/>
                  <w:lang w:val="en-US"/>
                </w:rPr>
              </w:pPr>
              <w:r>
                <w:rPr>
                  <w:noProof/>
                  <w:lang w:val="en-US"/>
                </w:rPr>
                <w:t xml:space="preserve">Kurdek, L., 2007. The allocation of houshold labor by partners in gay and lesbian couples.. </w:t>
              </w:r>
              <w:r>
                <w:rPr>
                  <w:i/>
                  <w:iCs/>
                  <w:noProof/>
                  <w:lang w:val="en-US"/>
                </w:rPr>
                <w:t xml:space="preserve">Journal of Family Issues, </w:t>
              </w:r>
              <w:r>
                <w:rPr>
                  <w:noProof/>
                  <w:lang w:val="en-US"/>
                </w:rPr>
                <w:t>Volume 28, pp. 132-48.</w:t>
              </w:r>
            </w:p>
            <w:p w14:paraId="0DE915E4" w14:textId="77777777" w:rsidR="007162C4" w:rsidRDefault="007162C4" w:rsidP="007162C4">
              <w:pPr>
                <w:pStyle w:val="Bibliography"/>
                <w:rPr>
                  <w:noProof/>
                  <w:lang w:val="en-US"/>
                </w:rPr>
              </w:pPr>
              <w:r>
                <w:rPr>
                  <w:noProof/>
                  <w:lang w:val="en-US"/>
                </w:rPr>
                <w:t xml:space="preserve">Sanders, J. &amp; Stryker, S., 2016. Stalled: Gender-neutral public bathrooms.. </w:t>
              </w:r>
              <w:r>
                <w:rPr>
                  <w:i/>
                  <w:iCs/>
                  <w:noProof/>
                  <w:lang w:val="en-US"/>
                </w:rPr>
                <w:t xml:space="preserve">South Atlantic Quarterly, </w:t>
              </w:r>
              <w:r>
                <w:rPr>
                  <w:noProof/>
                  <w:lang w:val="en-US"/>
                </w:rPr>
                <w:t>115(4), pp. 779-788.</w:t>
              </w:r>
            </w:p>
            <w:p w14:paraId="41F97B08" w14:textId="77777777" w:rsidR="007162C4" w:rsidRDefault="007162C4" w:rsidP="007162C4">
              <w:pPr>
                <w:pStyle w:val="Bibliography"/>
                <w:rPr>
                  <w:noProof/>
                  <w:lang w:val="en-US"/>
                </w:rPr>
              </w:pPr>
              <w:r>
                <w:rPr>
                  <w:noProof/>
                  <w:lang w:val="en-US"/>
                </w:rPr>
                <w:lastRenderedPageBreak/>
                <w:t xml:space="preserve">Skinner, K., Bahr, S., Crane, R. &amp; Call, V., 2002. Cohabitation, marriage, and remarriage: A comparison of relationship quality over time.. </w:t>
              </w:r>
              <w:r>
                <w:rPr>
                  <w:i/>
                  <w:iCs/>
                  <w:noProof/>
                  <w:lang w:val="en-US"/>
                </w:rPr>
                <w:t xml:space="preserve">Journal of Family, </w:t>
              </w:r>
              <w:r>
                <w:rPr>
                  <w:noProof/>
                  <w:lang w:val="en-US"/>
                </w:rPr>
                <w:t>Volume 2, pp. 74-90.</w:t>
              </w:r>
            </w:p>
            <w:p w14:paraId="1AF1CC62" w14:textId="77777777" w:rsidR="007162C4" w:rsidRDefault="007162C4" w:rsidP="007162C4">
              <w:pPr>
                <w:pStyle w:val="Bibliography"/>
                <w:rPr>
                  <w:noProof/>
                  <w:lang w:val="en-US"/>
                </w:rPr>
              </w:pPr>
              <w:r>
                <w:rPr>
                  <w:noProof/>
                  <w:lang w:val="en-US"/>
                </w:rPr>
                <w:t xml:space="preserve">Smart, M., 2017. Insights into gender from the male public toilet.. </w:t>
              </w:r>
              <w:r>
                <w:rPr>
                  <w:i/>
                  <w:iCs/>
                  <w:noProof/>
                  <w:lang w:val="en-US"/>
                </w:rPr>
                <w:t xml:space="preserve">Ethnographic Encounters, </w:t>
              </w:r>
              <w:r>
                <w:rPr>
                  <w:noProof/>
                  <w:lang w:val="en-US"/>
                </w:rPr>
                <w:t>8(1), pp. 1-9.</w:t>
              </w:r>
            </w:p>
            <w:p w14:paraId="493A8359" w14:textId="77777777" w:rsidR="007162C4" w:rsidRDefault="007162C4" w:rsidP="007162C4">
              <w:pPr>
                <w:pStyle w:val="Bibliography"/>
                <w:rPr>
                  <w:noProof/>
                  <w:lang w:val="en-US"/>
                </w:rPr>
              </w:pPr>
              <w:r>
                <w:rPr>
                  <w:noProof/>
                  <w:lang w:val="en-US"/>
                </w:rPr>
                <w:t xml:space="preserve">Solomon, S., Rothblum, E. &amp; Balsam, K., 2005. Money, housework, sex, and conflict: Same-sex couples in civil unions, those not in civil unions, and heterosexual married siblings.. </w:t>
              </w:r>
              <w:r>
                <w:rPr>
                  <w:i/>
                  <w:iCs/>
                  <w:noProof/>
                  <w:lang w:val="en-US"/>
                </w:rPr>
                <w:t xml:space="preserve">Sex Roles, </w:t>
              </w:r>
              <w:r>
                <w:rPr>
                  <w:noProof/>
                  <w:lang w:val="en-US"/>
                </w:rPr>
                <w:t>Volume 52, pp. 561-575.</w:t>
              </w:r>
            </w:p>
            <w:p w14:paraId="64CDCC90" w14:textId="77777777" w:rsidR="007162C4" w:rsidRDefault="007162C4" w:rsidP="007162C4">
              <w:r>
                <w:rPr>
                  <w:b/>
                  <w:bCs/>
                  <w:noProof/>
                </w:rPr>
                <w:fldChar w:fldCharType="end"/>
              </w:r>
            </w:p>
          </w:sdtContent>
        </w:sdt>
      </w:sdtContent>
    </w:sdt>
    <w:p w14:paraId="462DAB58" w14:textId="77777777" w:rsidR="007162C4" w:rsidRDefault="007162C4" w:rsidP="007162C4">
      <w:pPr>
        <w:rPr>
          <w:rFonts w:ascii="Times New Roman" w:hAnsi="Times New Roman" w:cs="Times New Roman"/>
          <w:sz w:val="24"/>
          <w:szCs w:val="24"/>
          <w:lang w:val="en-US"/>
        </w:rPr>
      </w:pPr>
    </w:p>
    <w:p w14:paraId="6113328C" w14:textId="77777777" w:rsidR="007162C4" w:rsidRDefault="007162C4" w:rsidP="007162C4">
      <w:pPr>
        <w:rPr>
          <w:rFonts w:ascii="Times New Roman" w:hAnsi="Times New Roman" w:cs="Times New Roman"/>
          <w:sz w:val="24"/>
          <w:szCs w:val="24"/>
          <w:lang w:val="en-US"/>
        </w:rPr>
      </w:pPr>
    </w:p>
    <w:p w14:paraId="38870E0F" w14:textId="77777777" w:rsidR="007162C4" w:rsidRPr="00E073F7" w:rsidRDefault="007162C4" w:rsidP="007162C4">
      <w:pPr>
        <w:jc w:val="center"/>
        <w:rPr>
          <w:rFonts w:ascii="Times New Roman" w:hAnsi="Times New Roman" w:cs="Times New Roman"/>
          <w:sz w:val="24"/>
          <w:szCs w:val="24"/>
          <w:lang w:val="en-US"/>
        </w:rPr>
      </w:pPr>
    </w:p>
    <w:p w14:paraId="45C27288" w14:textId="77777777" w:rsidR="0073242C" w:rsidRDefault="007162C4">
      <w:bookmarkStart w:id="0" w:name="_GoBack"/>
      <w:bookmarkEnd w:id="0"/>
    </w:p>
    <w:sectPr w:rsidR="007324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2C4"/>
    <w:rsid w:val="006445B8"/>
    <w:rsid w:val="007162C4"/>
    <w:rsid w:val="00B838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DB51C"/>
  <w15:chartTrackingRefBased/>
  <w15:docId w15:val="{2FB964BF-22F8-4877-9164-3A1841078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162C4"/>
  </w:style>
  <w:style w:type="paragraph" w:styleId="Heading1">
    <w:name w:val="heading 1"/>
    <w:basedOn w:val="Normal"/>
    <w:next w:val="Normal"/>
    <w:link w:val="Heading1Char"/>
    <w:uiPriority w:val="9"/>
    <w:qFormat/>
    <w:rsid w:val="007162C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2C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162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Don07</b:Tag>
    <b:SourceType>JournalArticle</b:SourceType>
    <b:Guid>{002EB219-495A-457E-8116-094E15380D62}</b:Guid>
    <b:Author>
      <b:Author>
        <b:NameList>
          <b:Person>
            <b:Last>Donnelly</b:Last>
            <b:First>J.</b:First>
          </b:Person>
        </b:NameList>
      </b:Author>
    </b:Author>
    <b:Title>The Relative Universality of Human Rights</b:Title>
    <b:JournalName>Human Rights Quarterly</b:JournalName>
    <b:Year>2007</b:Year>
    <b:Pages>281-306</b:Pages>
    <b:Volume>29</b:Volume>
    <b:Issue>2</b:Issue>
    <b:RefOrder>1</b:RefOrder>
  </b:Source>
  <b:Source>
    <b:Tag>Sha18</b:Tag>
    <b:SourceType>ConferenceProceedings</b:SourceType>
    <b:Guid>{46AE6311-6FC8-4814-944B-35BD3FBC1ACA}</b:Guid>
    <b:Title>The Universality of Human Rights: Pragmatism Meets Idealism</b:Title>
    <b:Year>2018</b:Year>
    <b:City>New York</b:City>
    <b:Publisher>Jacob Blaustein Institute for the Advancement of Human Rights</b:Publisher>
    <b:Author>
      <b:Author>
        <b:NameList>
          <b:Person>
            <b:Last>Shany</b:Last>
            <b:First>Y.</b:First>
          </b:Person>
        </b:NameList>
      </b:Author>
    </b:Author>
    <b:RefOrder>2</b:RefOrder>
  </b:Source>
  <b:Source>
    <b:Tag>Qua09</b:Tag>
    <b:SourceType>Book</b:SourceType>
    <b:Guid>{BD6498B8-750C-4A9A-BE28-94E8D5327DAB}</b:Guid>
    <b:Title>Advocating Dignity: Human Rights Mobilizations in Global Politics</b:Title>
    <b:Year>2009</b:Year>
    <b:City>Philadelphia</b:City>
    <b:Publisher>University of Pennsylvania Press</b:Publisher>
    <b:Author>
      <b:Author>
        <b:NameList>
          <b:Person>
            <b:Last>Quataert</b:Last>
            <b:First>J.H.</b:First>
          </b:Person>
        </b:NameList>
      </b:Author>
    </b:Author>
    <b:RefOrder>3</b:RefOrder>
  </b:Source>
  <b:Source>
    <b:Tag>Sho19</b:Tag>
    <b:SourceType>BookSection</b:SourceType>
    <b:Guid>{56969A99-0DC0-4C4B-B2D1-05EA3E4C82B4}</b:Guid>
    <b:Title>Counterterrorist Legislation Effects on Human Rights and Civil Liberties: A Global Perspective.</b:Title>
    <b:Year>2019</b:Year>
    <b:City>Singapore</b:City>
    <b:Publisher>Springer</b:Publisher>
    <b:Author>
      <b:Author>
        <b:NameList>
          <b:Person>
            <b:Last>Shor</b:Last>
            <b:First>E.</b:First>
          </b:Person>
        </b:NameList>
      </b:Author>
      <b:Editor>
        <b:NameList>
          <b:Person>
            <b:Last>Shore</b:Last>
            <b:First>E.</b:First>
          </b:Person>
          <b:Person>
            <b:Last>Hoadley</b:Last>
            <b:First>S.</b:First>
          </b:Person>
        </b:NameList>
      </b:Editor>
    </b:Author>
    <b:BookTitle>International Human Rights and Terrorism</b:BookTitle>
    <b:Pages>978-981</b:Pages>
    <b:RefOrder>4</b:RefOrder>
  </b:Source>
  <b:Source>
    <b:Tag>Woo16</b:Tag>
    <b:SourceType>BookSection</b:SourceType>
    <b:Guid>{B4E40322-29B0-425E-BBEC-89E575E908BD}</b:Guid>
    <b:Author>
      <b:Author>
        <b:NameList>
          <b:Person>
            <b:Last>Wood</b:Last>
            <b:First>R.M.</b:First>
          </b:Person>
          <b:Person>
            <b:Last>Gibney</b:Last>
            <b:First>M.</b:First>
          </b:Person>
          <b:Person>
            <b:Last>Haschke</b:Last>
            <b:First>P.</b:First>
          </b:Person>
        </b:NameList>
      </b:Author>
      <b:Editor>
        <b:NameList>
          <b:Person>
            <b:Last>Backer</b:Last>
            <b:First>D.</b:First>
          </b:Person>
          <b:Person>
            <b:Last>Bhavnani</b:Last>
            <b:First>R.</b:First>
          </b:Person>
          <b:Person>
            <b:Last>Huth</b:Last>
            <b:First>P.</b:First>
          </b:Person>
        </b:NameList>
      </b:Editor>
    </b:Author>
    <b:Title>Why States Repress: Evaluating Global Patterns of Abuse with the Political Terror Scale</b:Title>
    <b:BookTitle>Peace and Conflict</b:BookTitle>
    <b:Year>2016</b:Year>
    <b:Pages>105-1919</b:Pages>
    <b:City>New York</b:City>
    <b:Publisher>Routledge</b:Publisher>
    <b:RefOrder>5</b:RefOrder>
  </b:Source>
  <b:Source>
    <b:Tag>Sri18</b:Tag>
    <b:SourceType>Book</b:SourceType>
    <b:Guid>{125F87B8-C5E0-4E22-A1EE-5E9E39A106EE}</b:Guid>
    <b:Title>War, Conflict, and Human Rights: Theory and Practice</b:Title>
    <b:Year>2018</b:Year>
    <b:City>Oxon</b:City>
    <b:Publisher>Routledge</b:Publisher>
    <b:Edition>3rd</b:Edition>
    <b:Author>
      <b:Author>
        <b:NameList>
          <b:Person>
            <b:Last>Sriram</b:Last>
            <b:First>C.L.</b:First>
          </b:Person>
          <b:Person>
            <b:Last>Martin-Ortega</b:Last>
            <b:First>O.</b:First>
          </b:Person>
          <b:Person>
            <b:Last>Herman</b:Last>
            <b:First>J.</b:First>
          </b:Person>
        </b:NameList>
      </b:Author>
    </b:Author>
    <b:RefOrder>6</b:RefOrder>
  </b:Source>
  <b:Source>
    <b:Tag>Goo18</b:Tag>
    <b:SourceType>JournalArticle</b:SourceType>
    <b:Guid>{71F0046C-A025-4DC7-8F24-6D9E3F1CE35D}</b:Guid>
    <b:Author>
      <b:Author>
        <b:NameList>
          <b:Person>
            <b:Last>Goodale</b:Last>
            <b:First>M.</b:First>
          </b:Person>
        </b:NameList>
      </b:Author>
    </b:Author>
    <b:Title>The Myth of Universality: The UNESCO "Philosophers' Committee" and the Making of Human Rights</b:Title>
    <b:JournalName>Law &amp; Social Inquiry</b:JournalName>
    <b:Year>2018</b:Year>
    <b:Pages>596-617</b:Pages>
    <b:Volume>43</b:Volume>
    <b:Issue>3</b:Issue>
    <b:RefOrder>7</b:RefOrder>
  </b:Source>
  <b:Source>
    <b:Tag>Gea16</b:Tag>
    <b:SourceType>BookSection</b:SourceType>
    <b:Guid>{13C132E9-883A-45A0-A2F1-4DD865E3AF1D}</b:Guid>
    <b:Title>Global Human Rights</b:Title>
    <b:Year>2016</b:Year>
    <b:Pages>205-228</b:Pages>
    <b:Author>
      <b:Author>
        <b:NameList>
          <b:Person>
            <b:Last>Gearon</b:Last>
            <b:First>L.</b:First>
          </b:Person>
        </b:NameList>
      </b:Author>
      <b:Editor>
        <b:NameList>
          <b:Person>
            <b:Last>Peterson</b:Last>
            <b:First>A.</b:First>
          </b:Person>
          <b:Person>
            <b:Last>Hattam</b:Last>
            <b:First>R.</b:First>
          </b:Person>
          <b:Person>
            <b:Last>Zembylas</b:Last>
            <b:First>M.</b:First>
          </b:Person>
          <b:Person>
            <b:Last>Arthur</b:Last>
            <b:First>J.</b:First>
          </b:Person>
        </b:NameList>
      </b:Editor>
    </b:Author>
    <b:BookTitle>The Palgrave International Handbook of Education for Citizenship and Social Justice</b:BookTitle>
    <b:City>London</b:City>
    <b:Publisher>Palgrave Macmillan</b:Publisher>
    <b:RefOrder>8</b:RefOrder>
  </b:Source>
  <b:Source>
    <b:Tag>Ray03</b:Tag>
    <b:SourceType>JournalArticle</b:SourceType>
    <b:Guid>{63DA5789-0532-4E93-8A7F-E2DF854B043D}</b:Guid>
    <b:Author>
      <b:Author>
        <b:NameList>
          <b:Person>
            <b:Last>Rayday</b:Last>
            <b:First>F.</b:First>
          </b:Person>
        </b:NameList>
      </b:Author>
    </b:Author>
    <b:Title>Culture, religion, and gender.</b:Title>
    <b:JournalName>International Journal of Constitutional Law</b:JournalName>
    <b:Year>2003</b:Year>
    <b:Pages>663-715</b:Pages>
    <b:Volume>1</b:Volume>
    <b:Issue>4</b:Issue>
    <b:RefOrder>1</b:RefOrder>
  </b:Source>
  <b:Source>
    <b:Tag>Sal18</b:Tag>
    <b:SourceType>BookSection</b:SourceType>
    <b:Guid>{64152B8B-FBEA-42DD-A3BB-FA680D806A43}</b:Guid>
    <b:Title>Definitions and Perspectives</b:Title>
    <b:Year>2018</b:Year>
    <b:Publisher>Springer</b:Publisher>
    <b:Author>
      <b:Author>
        <b:NameList>
          <b:Person>
            <b:Last>Salzman</b:Last>
            <b:First>M.B.</b:First>
          </b:Person>
        </b:NameList>
      </b:Author>
      <b:Editor>
        <b:NameList>
          <b:Person>
            <b:Last>Salzman</b:Last>
            <b:First>M.B.</b:First>
          </b:Person>
        </b:NameList>
      </b:Editor>
    </b:Author>
    <b:BookTitle>A Psychology of Culture</b:BookTitle>
    <b:Pages>1-18</b:Pages>
    <b:RefOrder>2</b:RefOrder>
  </b:Source>
  <b:Source>
    <b:Tag>McC09</b:Tag>
    <b:SourceType>BookSection</b:SourceType>
    <b:Guid>{BFB1AA37-A1ED-490D-A509-62CFFA26C122}</b:Guid>
    <b:Author>
      <b:Author>
        <b:NameList>
          <b:Person>
            <b:Last>McClain</b:Last>
            <b:First>L.C.</b:First>
          </b:Person>
        </b:NameList>
      </b:Author>
      <b:Editor>
        <b:NameList>
          <b:Person>
            <b:Last>Fineman</b:Last>
            <b:First>M.A.</b:First>
          </b:Person>
          <b:Person>
            <b:Last>K.</b:Last>
            <b:First>Worthington</b:First>
          </b:Person>
        </b:NameList>
      </b:Editor>
    </b:Author>
    <b:Title>Child, Family, State, and Gender Equality in Religious Stances and Human Rights Instruments: A Preliminary Comparison</b:Title>
    <b:BookTitle>What is Right for Children? The Competing Paradigms of Human Rights Instruments: A Prelimianry Comparison</b:BookTitle>
    <b:Year>2009</b:Year>
    <b:Pages>19-44</b:Pages>
    <b:City>Boston</b:City>
    <b:Publisher>Ashgate</b:Publisher>
    <b:RefOrder>3</b:RefOrder>
  </b:Source>
  <b:Source>
    <b:Tag>Tre01</b:Tag>
    <b:SourceType>JournalArticle</b:SourceType>
    <b:Guid>{EA4F0B98-3544-4A90-AF5B-01723EEC257E}</b:Guid>
    <b:Title>Global Feminism and the "Problem" of Culture</b:Title>
    <b:Year>2001</b:Year>
    <b:Pages>Project Muse</b:Pages>
    <b:Author>
      <b:Author>
        <b:NameList>
          <b:Person>
            <b:Last>Trevenen</b:Last>
            <b:First>K.</b:First>
          </b:Person>
        </b:NameList>
      </b:Author>
    </b:Author>
    <b:JournalName>Theory and Event</b:JournalName>
    <b:Volume>5</b:Volume>
    <b:Issue>1</b:Issue>
    <b:RefOrder>4</b:RefOrder>
  </b:Source>
  <b:Source>
    <b:Tag>Cer99</b:Tag>
    <b:SourceType>BookSection</b:SourceType>
    <b:Guid>{8920EF62-DBE0-4B1A-B05B-E774DB2CAC1D}</b:Guid>
    <b:Author>
      <b:Author>
        <b:NameList>
          <b:Person>
            <b:Last>Cerna</b:Last>
            <b:First>C.M.</b:First>
          </b:Person>
          <b:Person>
            <b:Last>Wallace</b:Last>
            <b:First>J.C.</b:First>
          </b:Person>
        </b:NameList>
      </b:Author>
      <b:Editor>
        <b:NameList>
          <b:Person>
            <b:Last>Askin</b:Last>
            <b:First>K.D.</b:First>
          </b:Person>
          <b:Person>
            <b:Last>Koenig</b:Last>
            <b:First>D.M.</b:First>
          </b:Person>
        </b:NameList>
      </b:Editor>
    </b:Author>
    <b:Title>Women and Culture</b:Title>
    <b:Year>1999</b:Year>
    <b:Pages>630-640</b:Pages>
    <b:BookTitle>Women and International Human Rights</b:BookTitle>
    <b:Publisher>Transnational</b:Publisher>
    <b:RefOrder>5</b:RefOrder>
  </b:Source>
  <b:Source>
    <b:Tag>Ber96</b:Tag>
    <b:SourceType>BookSection</b:SourceType>
    <b:Guid>{0E505A76-29FB-4B06-8890-A98AC96FB728}</b:Guid>
    <b:Author>
      <b:Author>
        <b:NameList>
          <b:Person>
            <b:Last>Berger</b:Last>
            <b:First>M.S.</b:First>
          </b:Person>
          <b:Person>
            <b:Last>Lipstadt</b:Last>
            <b:First>D.E.</b:First>
          </b:Person>
        </b:NameList>
      </b:Author>
      <b:Editor>
        <b:NameList>
          <b:Person>
            <b:Last>Witte Jr</b:Last>
            <b:First>J.</b:First>
          </b:Person>
          <b:Person>
            <b:Last>van der Vyver</b:Last>
            <b:First>J.D.</b:First>
          </b:Person>
        </b:NameList>
      </b:Editor>
    </b:Author>
    <b:Title>Women in Judaism from the Perspective of Human Rights</b:Title>
    <b:BookTitle>Religious Human Rights in Global Perspective: Religious Perspectives</b:BookTitle>
    <b:Year>1996</b:Year>
    <b:Pages>295-321</b:Pages>
    <b:City>The Hague</b:City>
    <b:Publisher>Martinus Nijhoff</b:Publisher>
    <b:RefOrder>6</b:RefOrder>
  </b:Source>
  <b:Source>
    <b:Tag>Com91</b:Tag>
    <b:SourceType>Book</b:SourceType>
    <b:Guid>{649325C7-1395-4284-94D7-FE356BAC7FC8}</b:Guid>
    <b:Title>Of Revelation and Revolution: Christianity, Colonialism, and Consciousness in South Africa. Volume 1</b:Title>
    <b:Year>1991</b:Year>
    <b:Author>
      <b:Author>
        <b:NameList>
          <b:Person>
            <b:Last>Comaroff</b:Last>
            <b:First>J.</b:First>
          </b:Person>
          <b:Person>
            <b:Last>Comaroff</b:Last>
            <b:First>J.</b:First>
          </b:Person>
        </b:NameList>
      </b:Author>
    </b:Author>
    <b:City>Chicago</b:City>
    <b:Publisher>The University of Chicago</b:Publisher>
    <b:RefOrder>7</b:RefOrder>
  </b:Source>
  <b:Source>
    <b:Tag>Com97</b:Tag>
    <b:SourceType>Book</b:SourceType>
    <b:Guid>{3BD0E0EF-5FD6-4B11-96B9-724AC764B793}</b:Guid>
    <b:Author>
      <b:Author>
        <b:NameList>
          <b:Person>
            <b:Last>Comaroff</b:Last>
            <b:First>J.</b:First>
          </b:Person>
          <b:Person>
            <b:Last>Comaroff</b:Last>
            <b:First>J.</b:First>
          </b:Person>
        </b:NameList>
      </b:Author>
    </b:Author>
    <b:Title>Of Revelation and Revolution, Volume 2: The Dialects of Modernity on a South African Frontier</b:Title>
    <b:Year>1997</b:Year>
    <b:City>Chicago</b:City>
    <b:Publisher>The University of Chicago</b:Publisher>
    <b:RefOrder>8</b:RefOrder>
  </b:Source>
  <b:Source>
    <b:Tag>Pan82</b:Tag>
    <b:SourceType>JournalArticle</b:SourceType>
    <b:Guid>{211CFF8C-CA1E-44C9-8E6F-7B144C0A2E4E}</b:Guid>
    <b:Title>Is the Notion of Human Rights a Western Concept?</b:Title>
    <b:Year>1982</b:Year>
    <b:Author>
      <b:Author>
        <b:NameList>
          <b:Person>
            <b:Last>Panikkar</b:Last>
            <b:First>R.</b:First>
          </b:Person>
        </b:NameList>
      </b:Author>
    </b:Author>
    <b:JournalName>Diogenes</b:JournalName>
    <b:Pages>75-102</b:Pages>
    <b:Volume>30</b:Volume>
    <b:Issue>120</b:Issue>
    <b:RefOrder>9</b:RefOrder>
  </b:Source>
  <b:Source>
    <b:Tag>For17</b:Tag>
    <b:SourceType>Book</b:SourceType>
    <b:Guid>{201FF3D3-3723-4351-B5A0-4A80DEE61581}</b:Guid>
    <b:Title>Human Rights in International Relations</b:Title>
    <b:Year>2017</b:Year>
    <b:Author>
      <b:Author>
        <b:NameList>
          <b:Person>
            <b:Last>Forsythe</b:Last>
            <b:First>D.P.</b:First>
          </b:Person>
        </b:NameList>
      </b:Author>
    </b:Author>
    <b:City>Cambridge</b:City>
    <b:Publisher>Cambridge University Press</b:Publisher>
    <b:Edition>3rd</b:Edition>
    <b:RefOrder>10</b:RefOrder>
  </b:Source>
  <b:Source>
    <b:Tag>Gor17</b:Tag>
    <b:SourceType>BookSection</b:SourceType>
    <b:Guid>{7F55ADAF-23BC-40C2-9368-4AA8D1B16247}</b:Guid>
    <b:Author>
      <b:Author>
        <b:NameList>
          <b:Person>
            <b:Last>Gordon</b:Last>
            <b:First>J.</b:First>
          </b:Person>
        </b:NameList>
      </b:Author>
      <b:Editor>
        <b:NameList>
          <b:Person>
            <b:Last>McCorquodale</b:Last>
            <b:First>R.</b:First>
          </b:Person>
        </b:NameList>
      </b:Editor>
    </b:Author>
    <b:Title>The Concept of Human Rights: The History and Meaning of its Politiziation</b:Title>
    <b:Year>2017</b:Year>
    <b:City>New York</b:City>
    <b:Publisher>Routledge</b:Publisher>
    <b:BookTitle>Human Rights</b:BookTitle>
    <b:RefOrder>11</b:RefOrder>
  </b:Source>
  <b:Source>
    <b:Tag>Col19</b:Tag>
    <b:SourceType>BookSection</b:SourceType>
    <b:Guid>{6C448A70-56C3-478F-AFF3-84E47C654A47}</b:Guid>
    <b:Author>
      <b:Author>
        <b:NameList>
          <b:Person>
            <b:Last>Colliver</b:Last>
            <b:First>B.</b:First>
          </b:Person>
          <b:Person>
            <b:Last>Coyle</b:Last>
            <b:First>A.</b:First>
          </b:Person>
          <b:Person>
            <b:Last>Silvestri</b:Last>
            <b:First>M.</b:First>
          </b:Person>
        </b:NameList>
      </b:Author>
      <b:Editor>
        <b:NameList>
          <b:Person>
            <b:Last>Lumsden</b:Last>
            <b:First>K.</b:First>
          </b:Person>
          <b:Person>
            <b:Last>Harmer</b:Last>
            <b:First>E.</b:First>
          </b:Person>
        </b:NameList>
      </b:Editor>
    </b:Author>
    <b:Title>The online 'othering' of transgendering and non-binary people.</b:Title>
    <b:Year>2019</b:Year>
    <b:Publisher>Palgrave, Macmillan</b:Publisher>
    <b:BookTitle>Online Othering: exploring the dark side of the web</b:BookTitle>
    <b:RefOrder>1</b:RefOrder>
  </b:Source>
  <b:Source>
    <b:Tag>Cav10</b:Tag>
    <b:SourceType>Book</b:SourceType>
    <b:Guid>{3D119BE8-31B9-40BB-8AD9-FBA50FD5BE01}</b:Guid>
    <b:Title>Queering Bathrooms: Gender, Sexuality, and the Hygienic Imagination</b:Title>
    <b:Year>2010</b:Year>
    <b:City>Toronto</b:City>
    <b:Publisher>University of Toronto Press</b:Publisher>
    <b:Author>
      <b:Author>
        <b:NameList>
          <b:Person>
            <b:Last>Cavanagh</b:Last>
            <b:First>S.</b:First>
          </b:Person>
        </b:NameList>
      </b:Author>
    </b:Author>
    <b:RefOrder>2</b:RefOrder>
  </b:Source>
  <b:Source>
    <b:Tag>San16</b:Tag>
    <b:SourceType>JournalArticle</b:SourceType>
    <b:Guid>{B0C937FA-443C-40C1-A924-92D3A1F7E53E}</b:Guid>
    <b:Title>Stalled: Gender-neutral public bathrooms.</b:Title>
    <b:Year>2016</b:Year>
    <b:Author>
      <b:Author>
        <b:NameList>
          <b:Person>
            <b:Last>Sanders</b:Last>
            <b:First>J.</b:First>
          </b:Person>
          <b:Person>
            <b:Last>Stryker</b:Last>
            <b:First>S.</b:First>
          </b:Person>
        </b:NameList>
      </b:Author>
    </b:Author>
    <b:JournalName>South Atlantic Quarterly</b:JournalName>
    <b:Pages>779-788</b:Pages>
    <b:Volume>115</b:Volume>
    <b:Issue>4</b:Issue>
    <b:RefOrder>3</b:RefOrder>
  </b:Source>
  <b:Source>
    <b:Tag>Bei17</b:Tag>
    <b:SourceType>ConferenceProceedings</b:SourceType>
    <b:Guid>{4537C887-C758-4923-8A47-5A411CC51279}</b:Guid>
    <b:Title>Got Your Back: An Internet of Toilets for the Trans* Community</b:Title>
    <b:Year>2017</b:Year>
    <b:Publisher>ACM</b:Publisher>
    <b:Author>
      <b:Author>
        <b:NameList>
          <b:Person>
            <b:Last>Beirl</b:Last>
            <b:First>D.</b:First>
          </b:Person>
          <b:Person>
            <b:Last>Zeitlin</b:Last>
            <b:First>A.</b:First>
          </b:Person>
          <b:Person>
            <b:Last>Chan</b:Last>
            <b:First>J.</b:First>
          </b:Person>
          <b:Person>
            <b:Last>Loh</b:Last>
            <b:First>K.I.A.</b:First>
          </b:Person>
          <b:Person>
            <b:Last>Zhong</b:Last>
            <b:First>X.</b:First>
          </b:Person>
        </b:NameList>
      </b:Author>
    </b:Author>
    <b:RefOrder>4</b:RefOrder>
  </b:Source>
  <b:Source>
    <b:Tag>Cav18</b:Tag>
    <b:SourceType>Book</b:SourceType>
    <b:Guid>{D6283CE5-696E-4C2C-8CFF-0DA46E591F82}</b:Guid>
    <b:Title>Struggling for ordinary: Media and transgender belonging in everyday life.</b:Title>
    <b:Year>2018</b:Year>
    <b:City>New York</b:City>
    <b:Publisher>NYU Press</b:Publisher>
    <b:Author>
      <b:Author>
        <b:NameList>
          <b:Person>
            <b:Last>Cavalcante</b:Last>
            <b:First>A.</b:First>
          </b:Person>
        </b:NameList>
      </b:Author>
    </b:Author>
    <b:RefOrder>5</b:RefOrder>
  </b:Source>
  <b:Source>
    <b:Tag>Sma17</b:Tag>
    <b:SourceType>JournalArticle</b:SourceType>
    <b:Guid>{8778468B-59CA-4893-BF4D-B7B5A4515B6E}</b:Guid>
    <b:Title>Insights into gender from the male public toilet.</b:Title>
    <b:Year>2017</b:Year>
    <b:Author>
      <b:Author>
        <b:NameList>
          <b:Person>
            <b:Last>Smart</b:Last>
            <b:First>M.</b:First>
          </b:Person>
        </b:NameList>
      </b:Author>
    </b:Author>
    <b:JournalName>Ethnographic Encounters</b:JournalName>
    <b:Pages>1-9</b:Pages>
    <b:Volume>8</b:Volume>
    <b:Issue>1</b:Issue>
    <b:RefOrder>6</b:RefOrder>
  </b:Source>
  <b:Source>
    <b:Tag>Sol05</b:Tag>
    <b:SourceType>JournalArticle</b:SourceType>
    <b:Guid>{C41C53D5-CAD7-4A3D-A499-D3D8D5EDADE7}</b:Guid>
    <b:Author>
      <b:Author>
        <b:NameList>
          <b:Person>
            <b:Last>Solomon</b:Last>
            <b:First>S.E.</b:First>
          </b:Person>
          <b:Person>
            <b:Last>Rothblum</b:Last>
            <b:First>E.D.</b:First>
          </b:Person>
          <b:Person>
            <b:Last>Balsam</b:Last>
            <b:First>K.F.</b:First>
          </b:Person>
        </b:NameList>
      </b:Author>
    </b:Author>
    <b:Title>Money, housework, sex, and conflict: Same-sex couples in civil unions, those not in civil unions, and heterosexual married siblings.</b:Title>
    <b:JournalName>Sex Roles</b:JournalName>
    <b:Year>2005</b:Year>
    <b:Pages>561-575</b:Pages>
    <b:Volume>52</b:Volume>
    <b:RefOrder>7</b:RefOrder>
  </b:Source>
  <b:Source>
    <b:Tag>Ski02</b:Tag>
    <b:SourceType>JournalArticle</b:SourceType>
    <b:Guid>{0F57C83D-F1A5-450A-A12E-D7FA0A7AECF9}</b:Guid>
    <b:Author>
      <b:Author>
        <b:NameList>
          <b:Person>
            <b:Last>Skinner</b:Last>
            <b:First>K.B.</b:First>
          </b:Person>
          <b:Person>
            <b:Last>Bahr</b:Last>
            <b:First>S.J.</b:First>
          </b:Person>
          <b:Person>
            <b:Last>Crane</b:Last>
            <b:First>R.D.</b:First>
          </b:Person>
          <b:Person>
            <b:Last>Call</b:Last>
            <b:First>V.R.</b:First>
          </b:Person>
        </b:NameList>
      </b:Author>
    </b:Author>
    <b:Title>Cohabitation, marriage, and remarriage: A comparison of relationship quality over time. </b:Title>
    <b:JournalName>Journal of Family</b:JournalName>
    <b:Year>2002</b:Year>
    <b:Pages>74-90</b:Pages>
    <b:Volume>2</b:Volume>
    <b:RefOrder>8</b:RefOrder>
  </b:Source>
  <b:Source>
    <b:Tag>Kur05</b:Tag>
    <b:SourceType>JournalArticle</b:SourceType>
    <b:Guid>{B16A2EE9-825B-465D-AE5C-07217BBB5AA0}</b:Guid>
    <b:Author>
      <b:Author>
        <b:NameList>
          <b:Person>
            <b:Last>Kurdek</b:Last>
            <b:First>L.A.</b:First>
          </b:Person>
        </b:NameList>
      </b:Author>
    </b:Author>
    <b:Title>What do we know about gay and lesbian couples?</b:Title>
    <b:JournalName>Current Directions in Psychological Science</b:JournalName>
    <b:Year>2005</b:Year>
    <b:Pages>251-254</b:Pages>
    <b:Volume>14</b:Volume>
    <b:RefOrder>9</b:RefOrder>
  </b:Source>
  <b:Source>
    <b:Tag>Kur06</b:Tag>
    <b:SourceType>JournalArticle</b:SourceType>
    <b:Guid>{EEDDA804-F387-47C2-A694-EFFB2F85373B}</b:Guid>
    <b:Author>
      <b:Author>
        <b:NameList>
          <b:Person>
            <b:Last>Kurdek</b:Last>
            <b:First>L.A.</b:First>
          </b:Person>
        </b:NameList>
      </b:Author>
    </b:Author>
    <b:Title>Differences between partners from heterosexual, gay, and lesbian cohabiting couples. </b:Title>
    <b:JournalName>Journal of Marriage and Family</b:JournalName>
    <b:Year>2006</b:Year>
    <b:Pages>509-528</b:Pages>
    <b:Volume>68</b:Volume>
    <b:RefOrder>10</b:RefOrder>
  </b:Source>
  <b:Source>
    <b:Tag>Kur07</b:Tag>
    <b:SourceType>JournalArticle</b:SourceType>
    <b:Guid>{8AC522FD-5DC0-4D6D-A8FB-CF9FF79D1F82}</b:Guid>
    <b:Author>
      <b:Author>
        <b:NameList>
          <b:Person>
            <b:Last>Kurdek</b:Last>
            <b:First>L.A.</b:First>
          </b:Person>
        </b:NameList>
      </b:Author>
    </b:Author>
    <b:Title>The allocation of houshold labor by partners in gay and lesbian couples.</b:Title>
    <b:JournalName>Journal of Family Issues</b:JournalName>
    <b:Year>2007</b:Year>
    <b:Pages>132-48</b:Pages>
    <b:Volume>28</b:Volume>
    <b:RefOrder>11</b:RefOrder>
  </b:Source>
</b:Sources>
</file>

<file path=customXml/itemProps1.xml><?xml version="1.0" encoding="utf-8"?>
<ds:datastoreItem xmlns:ds="http://schemas.openxmlformats.org/officeDocument/2006/customXml" ds:itemID="{6530CAFC-E992-45A7-887E-ED9D9DC784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2849</Words>
  <Characters>16244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Jackie Burke</dc:creator>
  <cp:keywords/>
  <dc:description/>
  <cp:lastModifiedBy>Jackie Burke</cp:lastModifiedBy>
  <cp:revision>1</cp:revision>
  <dcterms:created xsi:type="dcterms:W3CDTF">2020-01-07T15:40:00Z</dcterms:created>
  <dcterms:modified xsi:type="dcterms:W3CDTF">2020-01-07T15:42:00Z</dcterms:modified>
</cp:coreProperties>
</file>