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9FD7A" w14:textId="06EFA0A0" w:rsidR="001977BD" w:rsidRDefault="001A4819">
      <w:pPr>
        <w:rPr>
          <w:b/>
          <w:bCs/>
        </w:rPr>
      </w:pPr>
      <w:r>
        <w:rPr>
          <w:b/>
          <w:bCs/>
        </w:rPr>
        <w:t>NAME: MARSYA DAMIA BINTI MOHAMMAD RAZWI</w:t>
      </w:r>
    </w:p>
    <w:p w14:paraId="67405407" w14:textId="077F6061" w:rsidR="00877071" w:rsidRDefault="00BD50EE">
      <w:pPr>
        <w:rPr>
          <w:b/>
          <w:bCs/>
        </w:rPr>
      </w:pPr>
      <w:r>
        <w:rPr>
          <w:b/>
          <w:bCs/>
        </w:rPr>
        <w:t>STUDENT ID: 2118691</w:t>
      </w:r>
    </w:p>
    <w:p w14:paraId="3CA1240F" w14:textId="77777777" w:rsidR="00BD50EE" w:rsidRPr="00BD50EE" w:rsidRDefault="00BD50EE">
      <w:pPr>
        <w:rPr>
          <w:b/>
          <w:bCs/>
        </w:rPr>
      </w:pPr>
    </w:p>
    <w:p w14:paraId="13A45719" w14:textId="6BE103E5" w:rsidR="00877071" w:rsidRDefault="00877071">
      <w:r>
        <w:rPr>
          <w:b/>
          <w:bCs/>
        </w:rPr>
        <w:t>A)</w:t>
      </w:r>
    </w:p>
    <w:p w14:paraId="74A9DDD8" w14:textId="6C6AC090" w:rsidR="00877071" w:rsidRDefault="00A47F51" w:rsidP="0079687D">
      <w:pPr>
        <w:jc w:val="both"/>
      </w:pPr>
      <w:r>
        <w:tab/>
      </w:r>
      <w:r w:rsidR="000860B6">
        <w:t>A contract establishes rights and obligations exclusively between the parties to the contract, according to the basic rule of common law.</w:t>
      </w:r>
      <w:r w:rsidR="000860B6">
        <w:t xml:space="preserve"> </w:t>
      </w:r>
      <w:r w:rsidR="0046640B">
        <w:t>As a result, a third party does not acquire any rights or obligations as a result of such a contract.</w:t>
      </w:r>
      <w:r w:rsidR="0046640B">
        <w:t xml:space="preserve"> </w:t>
      </w:r>
      <w:r>
        <w:t>According the UK Contracts which refers to Rights of</w:t>
      </w:r>
      <w:r w:rsidR="004C6BBB">
        <w:t xml:space="preserve"> </w:t>
      </w:r>
      <w:r>
        <w:t xml:space="preserve">Third Parties Act 1999, privity contract </w:t>
      </w:r>
      <w:r w:rsidR="001D2ABB">
        <w:t>is where the rule is to allow a person that is not in the party to a contract</w:t>
      </w:r>
      <w:r w:rsidR="0079687D">
        <w:t xml:space="preserve"> to litigate a contract provision in certain situations</w:t>
      </w:r>
      <w:r w:rsidR="0046640B">
        <w:t xml:space="preserve">. </w:t>
      </w:r>
      <w:r w:rsidR="00437394">
        <w:t xml:space="preserve">This can relate to </w:t>
      </w:r>
      <w:r w:rsidR="003E0067">
        <w:t>the</w:t>
      </w:r>
      <w:r w:rsidR="00437394">
        <w:t xml:space="preserve"> case of</w:t>
      </w:r>
      <w:r w:rsidR="00B13947">
        <w:t xml:space="preserve"> </w:t>
      </w:r>
      <w:r w:rsidR="00437394" w:rsidRPr="00F80C1F">
        <w:rPr>
          <w:i/>
          <w:iCs/>
        </w:rPr>
        <w:t>Tweddle v Atkinson</w:t>
      </w:r>
      <w:r w:rsidR="00F80C1F">
        <w:rPr>
          <w:i/>
          <w:iCs/>
        </w:rPr>
        <w:t xml:space="preserve"> (1861)</w:t>
      </w:r>
      <w:r w:rsidR="00437394">
        <w:t xml:space="preserve"> where it was involved </w:t>
      </w:r>
      <w:r w:rsidR="00334965">
        <w:t xml:space="preserve">an agreement in between Guy and John to pay specified amount to William Tweddle. The contract was permitted </w:t>
      </w:r>
      <w:r w:rsidR="0096324D">
        <w:t>in conclude to sue any of them if they did not pay, the action was disallowed by the court</w:t>
      </w:r>
      <w:r w:rsidR="00142284">
        <w:t xml:space="preserve"> since </w:t>
      </w:r>
      <w:r w:rsidR="00ED7557">
        <w:t>William Tweddle was not a party to the particular contract (Teacher Law, 2018).</w:t>
      </w:r>
      <w:r w:rsidR="008B78F1">
        <w:t xml:space="preserve"> In conclusion, the idea of privity of contract is clearly established</w:t>
      </w:r>
      <w:r w:rsidR="0013755C">
        <w:t xml:space="preserve"> and third party action or the ability to enforce a contract to which he is not a party is </w:t>
      </w:r>
      <w:r w:rsidR="00CD29EE">
        <w:t>clearly</w:t>
      </w:r>
      <w:r w:rsidR="0013755C">
        <w:t xml:space="preserve"> </w:t>
      </w:r>
      <w:r w:rsidR="00CD29EE">
        <w:t>an anomaly to the general rule.</w:t>
      </w:r>
    </w:p>
    <w:p w14:paraId="0628595C" w14:textId="54F8C17D" w:rsidR="000860B6" w:rsidRDefault="000860B6" w:rsidP="0079687D">
      <w:pPr>
        <w:jc w:val="both"/>
      </w:pPr>
    </w:p>
    <w:p w14:paraId="6623BE0B" w14:textId="24964ADE" w:rsidR="000860B6" w:rsidRDefault="000860B6" w:rsidP="0079687D">
      <w:pPr>
        <w:jc w:val="both"/>
      </w:pPr>
      <w:r>
        <w:rPr>
          <w:b/>
          <w:bCs/>
        </w:rPr>
        <w:t>B)</w:t>
      </w:r>
    </w:p>
    <w:p w14:paraId="1B710FF9" w14:textId="60FB5E68" w:rsidR="00B550B5" w:rsidRDefault="000860B6" w:rsidP="00325799">
      <w:pPr>
        <w:jc w:val="both"/>
      </w:pPr>
      <w:r>
        <w:tab/>
      </w:r>
      <w:r w:rsidR="00CD558F">
        <w:t>In the context of a contract, past consideration refers to a promise or an act done prior to the contract.</w:t>
      </w:r>
      <w:r w:rsidR="00CE2291">
        <w:t xml:space="preserve"> For instance, when someone is attempting to enforce a new pledge or promise, past consideration usually comes into</w:t>
      </w:r>
      <w:r w:rsidR="00871549">
        <w:t xml:space="preserve"> the picture. Past consideration will not be counted as consideration </w:t>
      </w:r>
      <w:r w:rsidR="0003631F">
        <w:t>if the purpose</w:t>
      </w:r>
      <w:r w:rsidR="00733A0C">
        <w:t>s of the new contract has been written. To justify this matter it is because</w:t>
      </w:r>
      <w:r w:rsidR="00CD558F">
        <w:t xml:space="preserve"> the past consideration happened before the new contract was signed, this could not have been offered as the new contract</w:t>
      </w:r>
      <w:r w:rsidR="009B0C08">
        <w:t>.</w:t>
      </w:r>
      <w:r w:rsidR="00801695">
        <w:t xml:space="preserve"> </w:t>
      </w:r>
      <w:r w:rsidR="00CD558F">
        <w:t xml:space="preserve">To put in another way, past consideration is not relevant. </w:t>
      </w:r>
      <w:r w:rsidR="00CD558F">
        <w:rPr>
          <w:i/>
          <w:iCs/>
        </w:rPr>
        <w:t>Re McArdle (1951)</w:t>
      </w:r>
      <w:r w:rsidR="00CD558F">
        <w:t>, a case in which a wife and three adult children shared a home, is connected to past consideration</w:t>
      </w:r>
      <w:r w:rsidR="00CF7D4F">
        <w:t>.</w:t>
      </w:r>
      <w:r w:rsidR="00CD558F">
        <w:t xml:space="preserve"> </w:t>
      </w:r>
      <w:r w:rsidR="00CF7D4F">
        <w:t>One of the children performed</w:t>
      </w:r>
      <w:r w:rsidR="002F57B0">
        <w:t xml:space="preserve"> some decorating and he or she subsequently agreed to pay</w:t>
      </w:r>
      <w:r w:rsidR="007F0D48">
        <w:t xml:space="preserve"> </w:t>
      </w:r>
      <w:r w:rsidR="002F57B0">
        <w:t xml:space="preserve">and </w:t>
      </w:r>
      <w:r w:rsidR="0046310B">
        <w:t>signed the document. The promise was found to be enforceable since all of the work</w:t>
      </w:r>
      <w:r w:rsidR="007042EA">
        <w:t xml:space="preserve"> completed before the commitment was made</w:t>
      </w:r>
      <w:r w:rsidR="007F0D48">
        <w:t xml:space="preserve"> (</w:t>
      </w:r>
      <w:r w:rsidR="00F04B65">
        <w:t xml:space="preserve">Teacher Law, 2013). </w:t>
      </w:r>
      <w:r w:rsidR="00C85103">
        <w:t>Th</w:t>
      </w:r>
      <w:r w:rsidR="007F0D48">
        <w:t>ings done ahead of time cannot be taken as good consideration. Therefore, past consideration is not</w:t>
      </w:r>
      <w:r w:rsidR="00F04B65">
        <w:t xml:space="preserve"> consider as</w:t>
      </w:r>
      <w:r w:rsidR="007F0D48">
        <w:t xml:space="preserve"> good consideration.</w:t>
      </w:r>
      <w:r w:rsidR="00EC18ED">
        <w:t xml:space="preserve"> But there is also an exception in past consideration where it is applied to some activity</w:t>
      </w:r>
      <w:r w:rsidR="003E034B">
        <w:t xml:space="preserve"> and it is known as doctrine of implied assumpsit.</w:t>
      </w:r>
      <w:r w:rsidR="00B1625C">
        <w:t xml:space="preserve"> </w:t>
      </w:r>
      <w:r w:rsidR="00642500">
        <w:t xml:space="preserve">Example of the case is </w:t>
      </w:r>
      <w:proofErr w:type="spellStart"/>
      <w:r w:rsidR="00642500" w:rsidRPr="00F80C1F">
        <w:rPr>
          <w:i/>
          <w:iCs/>
        </w:rPr>
        <w:t>Lampleigh</w:t>
      </w:r>
      <w:proofErr w:type="spellEnd"/>
      <w:r w:rsidR="00642500" w:rsidRPr="00F80C1F">
        <w:rPr>
          <w:i/>
          <w:iCs/>
        </w:rPr>
        <w:t xml:space="preserve"> v </w:t>
      </w:r>
      <w:proofErr w:type="spellStart"/>
      <w:r w:rsidR="00642500" w:rsidRPr="00F80C1F">
        <w:rPr>
          <w:i/>
          <w:iCs/>
        </w:rPr>
        <w:t>Braithwait</w:t>
      </w:r>
      <w:proofErr w:type="spellEnd"/>
      <w:r w:rsidR="00642500" w:rsidRPr="00F80C1F">
        <w:rPr>
          <w:i/>
          <w:iCs/>
        </w:rPr>
        <w:t xml:space="preserve"> (1915)</w:t>
      </w:r>
      <w:r w:rsidR="00A7711B">
        <w:t xml:space="preserve">. In this case </w:t>
      </w:r>
      <w:proofErr w:type="spellStart"/>
      <w:r w:rsidR="00A7711B">
        <w:t>Braithwait</w:t>
      </w:r>
      <w:proofErr w:type="spellEnd"/>
      <w:r w:rsidR="00A7711B">
        <w:t xml:space="preserve"> had killed someone and begged </w:t>
      </w:r>
      <w:proofErr w:type="spellStart"/>
      <w:r w:rsidR="00A7711B">
        <w:t>Lampleigh</w:t>
      </w:r>
      <w:proofErr w:type="spellEnd"/>
      <w:r w:rsidR="00A7711B">
        <w:t xml:space="preserve"> to secure a forgiveness from the King on his behalf. </w:t>
      </w:r>
      <w:proofErr w:type="spellStart"/>
      <w:r w:rsidR="00A7711B">
        <w:t>Lampleigh</w:t>
      </w:r>
      <w:proofErr w:type="spellEnd"/>
      <w:r w:rsidR="00A7711B">
        <w:t xml:space="preserve"> did so at much expense</w:t>
      </w:r>
      <w:r w:rsidR="006A6CD1">
        <w:t xml:space="preserve"> and </w:t>
      </w:r>
      <w:proofErr w:type="spellStart"/>
      <w:r w:rsidR="006A6CD1">
        <w:t>Braihwait</w:t>
      </w:r>
      <w:proofErr w:type="spellEnd"/>
      <w:r w:rsidR="006A6CD1">
        <w:t xml:space="preserve"> then pledged to pay him £100.</w:t>
      </w:r>
    </w:p>
    <w:p w14:paraId="51321618" w14:textId="77777777" w:rsidR="001B148F" w:rsidRDefault="001B148F"/>
    <w:p w14:paraId="6E799C05" w14:textId="3389C0EB" w:rsidR="0098498C" w:rsidRDefault="0098498C">
      <w:r>
        <w:rPr>
          <w:b/>
          <w:bCs/>
        </w:rPr>
        <w:lastRenderedPageBreak/>
        <w:t>C)</w:t>
      </w:r>
    </w:p>
    <w:p w14:paraId="46BAD601" w14:textId="1B8A7CFD" w:rsidR="008377C6" w:rsidRDefault="008377C6" w:rsidP="008377C6">
      <w:pPr>
        <w:jc w:val="both"/>
      </w:pPr>
      <w:r>
        <w:tab/>
        <w:t xml:space="preserve">When both of the parties have fulfilled their contractual obligations, it can be discharged by performance. If one of the party fails to complete the deal, it will be considered a breach of contract and the other party may well be entitled to the damages except if the contract was already terminated. The opposite party will be freed from the duties if the non-performance corresponds to a breach of condition. When the price of a contracts is paid upon completion, it is usually necessary to complete the contract so it can be discharge. This is frequently articulated in terms of being a prerequisite. </w:t>
      </w:r>
      <w:r w:rsidRPr="00F80C1F">
        <w:rPr>
          <w:i/>
          <w:iCs/>
        </w:rPr>
        <w:t>Cutter v Powell (1795)</w:t>
      </w:r>
      <w:r>
        <w:t xml:space="preserve"> created the basic norm, which is clearly capable of creating injustice. </w:t>
      </w:r>
      <w:r w:rsidR="004173BB">
        <w:t>the harshness of the performance based discharge rule has been mitigated by the inclusion of a list of exceptions</w:t>
      </w:r>
      <w:r>
        <w:t>.</w:t>
      </w:r>
    </w:p>
    <w:p w14:paraId="142F5E98" w14:textId="784C9FCB" w:rsidR="008377C6" w:rsidRDefault="008377C6" w:rsidP="008377C6">
      <w:pPr>
        <w:jc w:val="both"/>
      </w:pPr>
    </w:p>
    <w:p w14:paraId="59126B29" w14:textId="3C2505D8" w:rsidR="008377C6" w:rsidRDefault="008377C6" w:rsidP="00257668">
      <w:pPr>
        <w:ind w:firstLine="720"/>
        <w:jc w:val="both"/>
      </w:pPr>
      <w:r w:rsidRPr="00257668">
        <w:t>Divisible Contracts</w:t>
      </w:r>
      <w:r w:rsidR="00257668">
        <w:t xml:space="preserve">. </w:t>
      </w:r>
      <w:r>
        <w:t xml:space="preserve">Whenever there is a complete contract, the rule that is relate to discharge full performance will be apply. When a contract may be divided into discrete sections, for instance, if an amount is already agreed to be due either per week or hour, a sum of fulfilled or complete parts of the contracts may be imposed by the courts. The case relates to this is </w:t>
      </w:r>
      <w:r w:rsidRPr="00F80C1F">
        <w:rPr>
          <w:i/>
          <w:iCs/>
        </w:rPr>
        <w:t>Ritchie v Atkinson (1808)</w:t>
      </w:r>
      <w:r>
        <w:t xml:space="preserve"> where the defendant claimed that because the contract had not been fully fulfilled and no payment was owed.</w:t>
      </w:r>
    </w:p>
    <w:p w14:paraId="073C05F2" w14:textId="24BCDBE0" w:rsidR="008377C6" w:rsidRDefault="008377C6" w:rsidP="008377C6">
      <w:pPr>
        <w:pStyle w:val="ListParagraph"/>
        <w:ind w:left="1440"/>
        <w:jc w:val="both"/>
      </w:pPr>
    </w:p>
    <w:p w14:paraId="5C6DE57C" w14:textId="0935C180" w:rsidR="008377C6" w:rsidRDefault="008377C6" w:rsidP="00257668">
      <w:pPr>
        <w:ind w:firstLine="720"/>
        <w:jc w:val="both"/>
      </w:pPr>
      <w:r w:rsidRPr="00257668">
        <w:t>Substantial Performance</w:t>
      </w:r>
      <w:r w:rsidR="00257668">
        <w:t xml:space="preserve">. </w:t>
      </w:r>
      <w:r>
        <w:t xml:space="preserve">A court may also grant an exemption if it is satisfied that significant performance has occurred. The court might also award the contractually agreed payment, with the amount that have not been deducted yet. The plaintiff, on the other hand, is eligible to nothing unless the performance is not deemed substantial. What constitutes considerable performance is a bit ambiguous. </w:t>
      </w:r>
      <w:r w:rsidR="004173BB">
        <w:t>there is no set limit nonetheless, it must be determined depending on the facts of each case</w:t>
      </w:r>
      <w:r>
        <w:t xml:space="preserve">. Instance cases is </w:t>
      </w:r>
      <w:r w:rsidRPr="00F80C1F">
        <w:rPr>
          <w:i/>
          <w:iCs/>
        </w:rPr>
        <w:t>Bolton v Mahadeva (1972)</w:t>
      </w:r>
      <w:r>
        <w:t>.</w:t>
      </w:r>
    </w:p>
    <w:p w14:paraId="5E952746" w14:textId="1B1084AB" w:rsidR="008377C6" w:rsidRDefault="008377C6" w:rsidP="008377C6">
      <w:pPr>
        <w:pStyle w:val="ListParagraph"/>
        <w:ind w:left="1440"/>
        <w:jc w:val="both"/>
      </w:pPr>
    </w:p>
    <w:p w14:paraId="6C970EC1" w14:textId="155B772B" w:rsidR="008377C6" w:rsidRPr="00257668" w:rsidRDefault="008377C6" w:rsidP="00257668">
      <w:pPr>
        <w:ind w:firstLine="720"/>
        <w:jc w:val="both"/>
      </w:pPr>
      <w:r w:rsidRPr="00257668">
        <w:t>Acceptance of Partial Performance</w:t>
      </w:r>
      <w:r w:rsidR="00257668">
        <w:t xml:space="preserve">. </w:t>
      </w:r>
      <w:r>
        <w:t xml:space="preserve">When a party agrees partial performance, it may not enough to fulfil the other party’s continuing responsibilities under the contract and enable that party to sue on the damages for the work that has been completed in certain situations. The related case is </w:t>
      </w:r>
      <w:r w:rsidRPr="00F80C1F">
        <w:rPr>
          <w:i/>
          <w:iCs/>
        </w:rPr>
        <w:t>Sumpter v Hedges (1898)</w:t>
      </w:r>
      <w:r>
        <w:t xml:space="preserve"> where the job has not completed the job, so the builders are unable to recoup any of </w:t>
      </w:r>
      <w:r w:rsidR="00257668">
        <w:t>the</w:t>
      </w:r>
      <w:r>
        <w:t xml:space="preserve"> money.</w:t>
      </w:r>
    </w:p>
    <w:p w14:paraId="3A59EE90" w14:textId="77777777" w:rsidR="008377C6" w:rsidRPr="008377C6" w:rsidRDefault="008377C6" w:rsidP="008377C6">
      <w:pPr>
        <w:pStyle w:val="ListParagraph"/>
        <w:ind w:left="1440"/>
        <w:jc w:val="both"/>
        <w:rPr>
          <w:u w:val="single"/>
        </w:rPr>
      </w:pPr>
    </w:p>
    <w:p w14:paraId="24DF0CA8" w14:textId="1BF55623" w:rsidR="008377C6" w:rsidRDefault="008377C6" w:rsidP="008377C6">
      <w:pPr>
        <w:jc w:val="both"/>
      </w:pPr>
    </w:p>
    <w:p w14:paraId="2DF62CAC" w14:textId="0BF38BB6" w:rsidR="008377C6" w:rsidRPr="008377C6" w:rsidRDefault="008377C6" w:rsidP="008377C6">
      <w:pPr>
        <w:jc w:val="both"/>
      </w:pPr>
      <w:r>
        <w:tab/>
      </w:r>
    </w:p>
    <w:p w14:paraId="5B009489" w14:textId="6125231A" w:rsidR="0098498C" w:rsidRDefault="0098498C"/>
    <w:p w14:paraId="68C078FB" w14:textId="1F3EDA54" w:rsidR="00257668" w:rsidRDefault="00257668">
      <w:r>
        <w:rPr>
          <w:b/>
          <w:bCs/>
        </w:rPr>
        <w:lastRenderedPageBreak/>
        <w:t>D)</w:t>
      </w:r>
    </w:p>
    <w:p w14:paraId="494A8894" w14:textId="7137BDA9" w:rsidR="00257668" w:rsidRDefault="00257668" w:rsidP="006A4898">
      <w:pPr>
        <w:jc w:val="both"/>
      </w:pPr>
      <w:r>
        <w:tab/>
      </w:r>
      <w:r w:rsidR="006A4898">
        <w:t xml:space="preserve">In its most basic form, a contract is a legally binding promise. It might be a promise to do something or a pledge to avoid from doing anything. To form a valid contract, it must consists of offer, acceptance, consideration, capacity and legality. A contract involves the consent between two or more people, with one of them usually making an offer and accepting it. The agreement will break if one of the party does not respond to the offer. An offer is a declaration of intention to enter into a contract on specific condition, given with the purpose of becoming legally enforceable once recognized by the recipient. </w:t>
      </w:r>
      <w:r w:rsidR="00BB0E9F">
        <w:t>A</w:t>
      </w:r>
      <w:r w:rsidR="006A4898">
        <w:t xml:space="preserve">n acceptance is a definite and unequivocal statement of agreement with the conditions of an offer. However, a promise is not enforceable as a contract under common law only if it is accompanied with consideration. In a simple word, consideration is an exchange of promises. </w:t>
      </w:r>
      <w:r w:rsidR="004173BB">
        <w:t>Every contract must have this provision. Despite the fact that it is not included as one of the conditions of a valid contract in the Contracts Act of 1950, it is a requirement of the willingness to create legal relations</w:t>
      </w:r>
      <w:r w:rsidR="006A4898">
        <w:t xml:space="preserve"> (Law Teacher, 2013).</w:t>
      </w:r>
    </w:p>
    <w:p w14:paraId="143D9D05" w14:textId="1ABD9565" w:rsidR="006A4898" w:rsidRDefault="006A4898" w:rsidP="006A4898">
      <w:pPr>
        <w:jc w:val="both"/>
      </w:pPr>
    </w:p>
    <w:p w14:paraId="76190F97" w14:textId="5414B30D" w:rsidR="006A4898" w:rsidRDefault="00BB0E9F" w:rsidP="006A4898">
      <w:pPr>
        <w:jc w:val="both"/>
      </w:pPr>
      <w:r>
        <w:tab/>
        <w:t xml:space="preserve">Based on the scenario given, </w:t>
      </w:r>
      <w:r w:rsidR="00892DC6">
        <w:t xml:space="preserve">it is stated that Arthur wanted to sell his watch. This scenario consist of an advertisement. But a concept of the scenario is either bilateral or unilateral. An advertisement of bilateral contract is an invitation to treat, meanwhile unilateral is an offer. From this scenario the advertisement of bilateral contract is being made. It is bilateral contract because it is an agreement between two people such as Arthur and his buyer. Moreover, an invitation to treat denotes a willingness of people to accept an offer.  There are three types of invitation to treat these include advertisements, auctions and  display of goods. In this scenario the type of invitation to treat is an advertisement where Arthur advertise his watch in the magazine. The related to this case is </w:t>
      </w:r>
      <w:r w:rsidR="00892DC6" w:rsidRPr="00F80C1F">
        <w:rPr>
          <w:i/>
          <w:iCs/>
        </w:rPr>
        <w:t>Partridge v Crittenden (1968)</w:t>
      </w:r>
      <w:r w:rsidR="00892DC6">
        <w:t xml:space="preserve"> where the court was held because the advertising was an invitation to treat rather than an offer and the defendant was found not guilty (Law Teacher, 2013).</w:t>
      </w:r>
    </w:p>
    <w:p w14:paraId="3925DBBB" w14:textId="7C6B5EE2" w:rsidR="00BE3733" w:rsidRDefault="00BE3733" w:rsidP="006A4898">
      <w:pPr>
        <w:jc w:val="both"/>
      </w:pPr>
    </w:p>
    <w:p w14:paraId="35DEFBAA" w14:textId="77777777" w:rsidR="00BE3733" w:rsidRDefault="00BE3733" w:rsidP="006A4898">
      <w:pPr>
        <w:jc w:val="both"/>
      </w:pPr>
      <w:r>
        <w:tab/>
        <w:t xml:space="preserve">Next, the situation is where Ben is a collector of antique watches and he wants to purchase a watch from Arthur but he use a letter as his way to communicate with Arthur about the watch. The rule that involve in this scenario is known as postal rule. Postal rules was created to solve on how to communicate with the other party this include mailing. Post or mailing might take a longer time than usual to reach the receiver. This might pose some issues in terms of contract formation and revocation. Instance case for postal rule is </w:t>
      </w:r>
      <w:r w:rsidRPr="00F80C1F">
        <w:rPr>
          <w:i/>
          <w:iCs/>
        </w:rPr>
        <w:t>Adam v Lindsell (1818)</w:t>
      </w:r>
      <w:r>
        <w:t xml:space="preserve">, where the specific moment of acceptance could not be ascertained since two parties </w:t>
      </w:r>
      <w:r>
        <w:lastRenderedPageBreak/>
        <w:t>communicate by post. Mailing takes time to arrive and neither party is aware of the message at the same time. This resulted in a slew of issues, prompting the adoption of the postal rule.</w:t>
      </w:r>
    </w:p>
    <w:p w14:paraId="55CA3B86" w14:textId="77777777" w:rsidR="00BE3733" w:rsidRDefault="00BE3733" w:rsidP="006A4898">
      <w:pPr>
        <w:jc w:val="both"/>
      </w:pPr>
    </w:p>
    <w:p w14:paraId="02917215" w14:textId="4DD3F1E1" w:rsidR="00BE3733" w:rsidRDefault="00BE3733" w:rsidP="006A4898">
      <w:pPr>
        <w:jc w:val="both"/>
      </w:pPr>
      <w:r>
        <w:tab/>
        <w:t xml:space="preserve">However, Christine saw the advertisement before Dennis does. Christine using the modern way of communicate with Arthur. She emailed Arthur asking whether the watch is still available and she ask whether Arthur would accept £11,000 for the watch. But in the scenario, Christine able to pay £11,000 and £2,000 later. Meanwhile the next day, Dennis emailed Arthur that he interested with the watch and wanted to purchase it £13,000 for it, but on the same day Christine replied Arthur that she managed to pay £13,000. Both Dennis and Christine are using the postal rule but in modern way where they used email to communicate with Arthur. This stated that both of their offers are accepted by Arthur because Arthur received both emails and agree to accept with their offer. This scenario also shows that there is a counteroffer involve, between Arthur and his two clients. </w:t>
      </w:r>
      <w:r>
        <w:t>The prove of the counteroffer happen is where Arthur respond to both emails.</w:t>
      </w:r>
      <w:r w:rsidR="00F80C1F">
        <w:t xml:space="preserve"> Related case to this scenario is </w:t>
      </w:r>
      <w:r w:rsidR="00F80C1F" w:rsidRPr="00F80C1F">
        <w:rPr>
          <w:i/>
          <w:iCs/>
        </w:rPr>
        <w:t>Hyde v Wrench (1840)</w:t>
      </w:r>
      <w:r w:rsidR="00F80C1F">
        <w:t>.</w:t>
      </w:r>
      <w:r>
        <w:t xml:space="preserve"> There is also a mirror image rule in the scenario. Mirror image rule states that when a client accept an agreement and it is based on the exact of the original offer. This refers, when Dennis wanted to purchase the exact of the original offer of the watch which is £13,000. </w:t>
      </w:r>
      <w:r>
        <w:t>This states that the contract is valid</w:t>
      </w:r>
      <w:r>
        <w:t xml:space="preserve"> for both Dennis and Christine.</w:t>
      </w:r>
      <w:r w:rsidR="00F80C1F">
        <w:t xml:space="preserve"> </w:t>
      </w:r>
    </w:p>
    <w:p w14:paraId="6841F381" w14:textId="452782AA" w:rsidR="00BE3733" w:rsidRDefault="00BE3733" w:rsidP="006A4898">
      <w:pPr>
        <w:jc w:val="both"/>
      </w:pPr>
    </w:p>
    <w:p w14:paraId="17CC95B1" w14:textId="53E5A07D" w:rsidR="00BE3733" w:rsidRDefault="00BE3733" w:rsidP="006A4898">
      <w:pPr>
        <w:jc w:val="both"/>
      </w:pPr>
      <w:r>
        <w:tab/>
      </w:r>
      <w:r w:rsidR="00CB694F">
        <w:t>there are valid contracts between Dennis and Arthur, as well as Christine and Arthur, where both of them use the postal rule in a modern way so that Arthur may correspond with them and where Dennis uses the mirror image rule to accept Arthur’s exact offer.</w:t>
      </w:r>
    </w:p>
    <w:p w14:paraId="3D7393D6" w14:textId="77777777" w:rsidR="00BE3733" w:rsidRDefault="00BE3733" w:rsidP="006A4898">
      <w:pPr>
        <w:jc w:val="both"/>
      </w:pPr>
    </w:p>
    <w:p w14:paraId="2C0A8B60" w14:textId="2B91BD5D" w:rsidR="00BE3733" w:rsidRDefault="00BE3733" w:rsidP="006A4898">
      <w:pPr>
        <w:jc w:val="both"/>
      </w:pPr>
    </w:p>
    <w:p w14:paraId="111A6A4F" w14:textId="3D4FC354" w:rsidR="00BE3733" w:rsidRDefault="00BE3733" w:rsidP="006A4898">
      <w:pPr>
        <w:jc w:val="both"/>
      </w:pPr>
    </w:p>
    <w:p w14:paraId="38053167" w14:textId="3A4505A0" w:rsidR="008D0552" w:rsidRDefault="008D0552" w:rsidP="006A4898">
      <w:pPr>
        <w:jc w:val="both"/>
      </w:pPr>
    </w:p>
    <w:p w14:paraId="04F5905D" w14:textId="5BAFECF7" w:rsidR="008D0552" w:rsidRDefault="008D0552" w:rsidP="006A4898">
      <w:pPr>
        <w:jc w:val="both"/>
      </w:pPr>
    </w:p>
    <w:p w14:paraId="0722ADE1" w14:textId="587544AA" w:rsidR="008D0552" w:rsidRDefault="008D0552" w:rsidP="006A4898">
      <w:pPr>
        <w:jc w:val="both"/>
      </w:pPr>
    </w:p>
    <w:p w14:paraId="25D802E1" w14:textId="77777777" w:rsidR="008D0552" w:rsidRDefault="008D0552" w:rsidP="006A4898">
      <w:pPr>
        <w:jc w:val="both"/>
      </w:pPr>
    </w:p>
    <w:p w14:paraId="5C98075C" w14:textId="77777777" w:rsidR="00BE3733" w:rsidRDefault="00BE3733" w:rsidP="006A4898">
      <w:pPr>
        <w:jc w:val="both"/>
      </w:pPr>
    </w:p>
    <w:p w14:paraId="74ABEE1C" w14:textId="77777777" w:rsidR="00CC49CC" w:rsidRDefault="00CC49CC" w:rsidP="006A4898">
      <w:pPr>
        <w:jc w:val="both"/>
      </w:pPr>
    </w:p>
    <w:p w14:paraId="3E240F05" w14:textId="609CA67D" w:rsidR="00BE3733" w:rsidRPr="00257668" w:rsidRDefault="00BE3733" w:rsidP="006A4898">
      <w:pPr>
        <w:jc w:val="both"/>
      </w:pPr>
      <w:r>
        <w:t xml:space="preserve">  </w:t>
      </w:r>
    </w:p>
    <w:sdt>
      <w:sdtPr>
        <w:id w:val="1935779917"/>
        <w:docPartObj>
          <w:docPartGallery w:val="Bibliographies"/>
          <w:docPartUnique/>
        </w:docPartObj>
      </w:sdtPr>
      <w:sdtEndPr>
        <w:rPr>
          <w:rFonts w:eastAsiaTheme="minorHAnsi" w:cstheme="minorBidi"/>
          <w:b w:val="0"/>
          <w:color w:val="auto"/>
          <w:sz w:val="24"/>
          <w:szCs w:val="24"/>
        </w:rPr>
      </w:sdtEndPr>
      <w:sdtContent>
        <w:p w14:paraId="75276D1D" w14:textId="1F5AB226" w:rsidR="00CC4ECA" w:rsidRPr="004C6BBB" w:rsidRDefault="00CC4ECA">
          <w:pPr>
            <w:pStyle w:val="Heading1"/>
            <w:rPr>
              <w:sz w:val="24"/>
              <w:szCs w:val="28"/>
            </w:rPr>
          </w:pPr>
          <w:r w:rsidRPr="004C6BBB">
            <w:rPr>
              <w:sz w:val="24"/>
              <w:szCs w:val="28"/>
            </w:rPr>
            <w:t>REFERENCES</w:t>
          </w:r>
        </w:p>
        <w:p w14:paraId="7571295A" w14:textId="77777777" w:rsidR="008D0552" w:rsidRPr="008D0552" w:rsidRDefault="008D0552" w:rsidP="008D0552"/>
        <w:p w14:paraId="0583AB48" w14:textId="7EA87342" w:rsidR="00922477" w:rsidRDefault="008D0552" w:rsidP="008D0552">
          <w:pPr>
            <w:jc w:val="both"/>
          </w:pPr>
          <w:r>
            <w:t xml:space="preserve">LawTeacher.net. November 2018. Privity of Contract Lecture. [Online]. Available from: </w:t>
          </w:r>
          <w:hyperlink r:id="rId6" w:history="1">
            <w:r w:rsidRPr="004E0FE3">
              <w:rPr>
                <w:rStyle w:val="Hyperlink"/>
              </w:rPr>
              <w:t>https://www.lawteacher.net/lectures/contract-law/privity-of-contract/</w:t>
            </w:r>
          </w:hyperlink>
          <w:r>
            <w:t xml:space="preserve"> [Accessed 20 February 2022].</w:t>
          </w:r>
        </w:p>
        <w:p w14:paraId="7F1E9D35" w14:textId="0A44832E" w:rsidR="00922477" w:rsidRDefault="00922477" w:rsidP="008D0552">
          <w:pPr>
            <w:jc w:val="both"/>
          </w:pPr>
        </w:p>
        <w:p w14:paraId="2B6949C8" w14:textId="42602CEE" w:rsidR="00D948EA" w:rsidRDefault="008D0552" w:rsidP="008D0552">
          <w:pPr>
            <w:jc w:val="both"/>
          </w:pPr>
          <w:proofErr w:type="spellStart"/>
          <w:r>
            <w:t>LawTeacher</w:t>
          </w:r>
          <w:proofErr w:type="spellEnd"/>
          <w:r>
            <w:t xml:space="preserve">. November 2013. Consideration Case Summaries. [Online]. Available from: </w:t>
          </w:r>
          <w:hyperlink r:id="rId7" w:history="1">
            <w:r w:rsidRPr="004E0FE3">
              <w:rPr>
                <w:rStyle w:val="Hyperlink"/>
              </w:rPr>
              <w:t>https://www.lawteacher.net/cases/consideration-cases.php</w:t>
            </w:r>
          </w:hyperlink>
          <w:r>
            <w:t xml:space="preserve"> [Accessed 4 March 2022].</w:t>
          </w:r>
        </w:p>
        <w:p w14:paraId="4578A736" w14:textId="77777777" w:rsidR="00D948EA" w:rsidRDefault="00D948EA" w:rsidP="008D0552">
          <w:pPr>
            <w:jc w:val="both"/>
          </w:pPr>
        </w:p>
        <w:p w14:paraId="0833FA8A" w14:textId="77777777" w:rsidR="00892DC6" w:rsidRDefault="006A4898" w:rsidP="008D0552">
          <w:pPr>
            <w:jc w:val="both"/>
          </w:pPr>
          <w:r>
            <w:t xml:space="preserve">Law Teacher. November 13. Main Elements Constituting a Valid Contract. [Online]. Available from: </w:t>
          </w:r>
          <w:hyperlink r:id="rId8" w:history="1">
            <w:r w:rsidRPr="004E0FE3">
              <w:rPr>
                <w:rStyle w:val="Hyperlink"/>
              </w:rPr>
              <w:t>https://www.lawteacher.net/free-law-essays/contract-law/main-elements-constituting-a-valid-contract-contract-law-essay.php</w:t>
            </w:r>
          </w:hyperlink>
          <w:r>
            <w:t xml:space="preserve"> [Accessed 4 March 2022].</w:t>
          </w:r>
        </w:p>
        <w:p w14:paraId="427BA8CA" w14:textId="77777777" w:rsidR="00892DC6" w:rsidRDefault="00892DC6" w:rsidP="008D0552">
          <w:pPr>
            <w:jc w:val="both"/>
          </w:pPr>
        </w:p>
        <w:p w14:paraId="0491E66D" w14:textId="79B5D67D" w:rsidR="00CC4ECA" w:rsidRDefault="00892DC6" w:rsidP="008D0552">
          <w:pPr>
            <w:jc w:val="both"/>
          </w:pPr>
          <w:r>
            <w:t xml:space="preserve">Law Teacher. November 2013. Partridge v Crittenden – 1968. [Online]. Available from: </w:t>
          </w:r>
          <w:hyperlink r:id="rId9" w:history="1">
            <w:r w:rsidRPr="004E0FE3">
              <w:rPr>
                <w:rStyle w:val="Hyperlink"/>
              </w:rPr>
              <w:t>https://www.lawteacher.net/cases/partridge-v-crittenden.php</w:t>
            </w:r>
          </w:hyperlink>
          <w:r>
            <w:t xml:space="preserve"> [Accessed 4 March 2022].</w:t>
          </w:r>
        </w:p>
      </w:sdtContent>
    </w:sdt>
    <w:p w14:paraId="7635F2DA" w14:textId="64B8C3AD" w:rsidR="00CC4ECA" w:rsidRDefault="00CC4ECA" w:rsidP="004C6BBB"/>
    <w:p w14:paraId="1F37BDE8" w14:textId="387D4300" w:rsidR="004C6BBB" w:rsidRDefault="004C6BBB" w:rsidP="004C6BBB"/>
    <w:p w14:paraId="3880290C" w14:textId="27B3873B" w:rsidR="004C6BBB" w:rsidRDefault="004C6BBB" w:rsidP="004C6BBB"/>
    <w:p w14:paraId="2D579C0E" w14:textId="150A92B7" w:rsidR="004C6BBB" w:rsidRDefault="004C6BBB" w:rsidP="004C6BBB"/>
    <w:p w14:paraId="51AB30D9" w14:textId="2F7DE1C7" w:rsidR="004C6BBB" w:rsidRDefault="004C6BBB" w:rsidP="004C6BBB"/>
    <w:p w14:paraId="0B4B6D2F" w14:textId="67A8480A" w:rsidR="004C6BBB" w:rsidRDefault="004C6BBB" w:rsidP="004C6BBB"/>
    <w:p w14:paraId="3DE088AA" w14:textId="69E7C436" w:rsidR="004C6BBB" w:rsidRDefault="004C6BBB" w:rsidP="004C6BBB"/>
    <w:p w14:paraId="7B5F3F61" w14:textId="100F5E6F" w:rsidR="004C6BBB" w:rsidRDefault="004C6BBB" w:rsidP="004C6BBB"/>
    <w:p w14:paraId="38A674E8" w14:textId="64DFC50A" w:rsidR="004C6BBB" w:rsidRDefault="004C6BBB" w:rsidP="004C6BBB"/>
    <w:p w14:paraId="77970BE3" w14:textId="78AFFBF2" w:rsidR="004C6BBB" w:rsidRDefault="004C6BBB" w:rsidP="004C6BBB"/>
    <w:p w14:paraId="1261761E" w14:textId="3FFD1279" w:rsidR="004C6BBB" w:rsidRDefault="004C6BBB" w:rsidP="004C6BBB"/>
    <w:p w14:paraId="6ABA80EC" w14:textId="0FF0DD31" w:rsidR="004C6BBB" w:rsidRDefault="004C6BBB" w:rsidP="004C6BBB"/>
    <w:p w14:paraId="26625328" w14:textId="251CDB68" w:rsidR="004C6BBB" w:rsidRDefault="004C6BBB" w:rsidP="004C6BBB"/>
    <w:p w14:paraId="5F19EF42" w14:textId="00FCA5F3" w:rsidR="004C6BBB" w:rsidRDefault="004C6BBB" w:rsidP="004C6BBB"/>
    <w:p w14:paraId="77770F20" w14:textId="2D8C3324" w:rsidR="004C6BBB" w:rsidRDefault="004C6BBB" w:rsidP="004C6BBB"/>
    <w:p w14:paraId="7692BC79" w14:textId="76556A56" w:rsidR="004C6BBB" w:rsidRDefault="004C6BBB" w:rsidP="004C6BBB"/>
    <w:p w14:paraId="45DD5329" w14:textId="56CC37B7" w:rsidR="004C6BBB" w:rsidRDefault="004C6BBB" w:rsidP="004C6BBB"/>
    <w:p w14:paraId="07240904" w14:textId="0C7A899E" w:rsidR="004C6BBB" w:rsidRDefault="004C6BBB" w:rsidP="004C6BBB"/>
    <w:sdt>
      <w:sdtPr>
        <w:id w:val="1601137682"/>
        <w:docPartObj>
          <w:docPartGallery w:val="Bibliographies"/>
          <w:docPartUnique/>
        </w:docPartObj>
      </w:sdtPr>
      <w:sdtEndPr>
        <w:rPr>
          <w:rFonts w:eastAsiaTheme="minorHAnsi" w:cstheme="minorBidi"/>
          <w:b w:val="0"/>
          <w:color w:val="auto"/>
          <w:sz w:val="24"/>
          <w:szCs w:val="24"/>
        </w:rPr>
      </w:sdtEndPr>
      <w:sdtContent>
        <w:p w14:paraId="55D7ECE0" w14:textId="5BB51BBB" w:rsidR="004C6BBB" w:rsidRPr="004C6BBB" w:rsidRDefault="004C6BBB">
          <w:pPr>
            <w:pStyle w:val="Heading1"/>
            <w:rPr>
              <w:sz w:val="24"/>
              <w:szCs w:val="28"/>
            </w:rPr>
          </w:pPr>
          <w:r w:rsidRPr="004C6BBB">
            <w:rPr>
              <w:sz w:val="24"/>
              <w:szCs w:val="28"/>
            </w:rPr>
            <w:t>TABLE OF CASES</w:t>
          </w:r>
        </w:p>
        <w:p w14:paraId="2847C43E" w14:textId="77777777" w:rsidR="004C6BBB" w:rsidRDefault="004C6BBB"/>
        <w:p w14:paraId="680721CF" w14:textId="77777777" w:rsidR="004C6BBB" w:rsidRDefault="004C6BBB" w:rsidP="004C6BBB">
          <w:pPr>
            <w:spacing w:line="480" w:lineRule="auto"/>
          </w:pPr>
          <w:r>
            <w:t>Tweddle v Atkinson [1861] EWHC QB J57, 1 B&amp;S 393</w:t>
          </w:r>
        </w:p>
        <w:p w14:paraId="686509EB" w14:textId="77777777" w:rsidR="004C6BBB" w:rsidRDefault="004C6BBB" w:rsidP="004C6BBB">
          <w:pPr>
            <w:spacing w:line="480" w:lineRule="auto"/>
          </w:pPr>
          <w:r>
            <w:t>Re McArdle [1951] CH 669</w:t>
          </w:r>
        </w:p>
        <w:p w14:paraId="6E3366AD" w14:textId="77777777" w:rsidR="004C6BBB" w:rsidRDefault="004C6BBB" w:rsidP="004C6BBB">
          <w:pPr>
            <w:spacing w:line="480" w:lineRule="auto"/>
          </w:pPr>
          <w:proofErr w:type="spellStart"/>
          <w:r>
            <w:t>Lampleigh</w:t>
          </w:r>
          <w:proofErr w:type="spellEnd"/>
          <w:r>
            <w:t xml:space="preserve"> v </w:t>
          </w:r>
          <w:proofErr w:type="spellStart"/>
          <w:r>
            <w:t>Braithwait</w:t>
          </w:r>
          <w:proofErr w:type="spellEnd"/>
          <w:r>
            <w:t xml:space="preserve"> [1615] EWHC KB J 17 Hobart 105, 80 ER 255</w:t>
          </w:r>
        </w:p>
        <w:p w14:paraId="61ACE974" w14:textId="77777777" w:rsidR="004C6BBB" w:rsidRDefault="004C6BBB" w:rsidP="004C6BBB">
          <w:pPr>
            <w:spacing w:line="480" w:lineRule="auto"/>
          </w:pPr>
          <w:r>
            <w:t>Cutter v Powell [1795] 101 ER 573</w:t>
          </w:r>
        </w:p>
        <w:p w14:paraId="54EEAD33" w14:textId="77777777" w:rsidR="004C6BBB" w:rsidRDefault="004C6BBB" w:rsidP="004C6BBB">
          <w:pPr>
            <w:spacing w:line="480" w:lineRule="auto"/>
          </w:pPr>
          <w:r>
            <w:t>Ritchie v Atkinson [1808] 103 ER 877</w:t>
          </w:r>
        </w:p>
        <w:p w14:paraId="0091A485" w14:textId="77777777" w:rsidR="004C6BBB" w:rsidRDefault="004C6BBB" w:rsidP="004C6BBB">
          <w:pPr>
            <w:spacing w:line="480" w:lineRule="auto"/>
          </w:pPr>
          <w:r>
            <w:t>Bolton v Mahadeva [1972] 2 All ER 1322</w:t>
          </w:r>
        </w:p>
        <w:p w14:paraId="1142C6C7" w14:textId="77777777" w:rsidR="004C6BBB" w:rsidRDefault="004C6BBB" w:rsidP="004C6BBB">
          <w:pPr>
            <w:spacing w:line="480" w:lineRule="auto"/>
          </w:pPr>
          <w:r>
            <w:t>Sumpter v Hedges [1898] 1 QB 673</w:t>
          </w:r>
        </w:p>
        <w:p w14:paraId="07E4F873" w14:textId="77777777" w:rsidR="004C6BBB" w:rsidRDefault="004C6BBB" w:rsidP="004C6BBB">
          <w:pPr>
            <w:spacing w:line="480" w:lineRule="auto"/>
          </w:pPr>
          <w:r>
            <w:t>Partridge v Crittenden [1968] 2 All ER 421</w:t>
          </w:r>
        </w:p>
        <w:p w14:paraId="3BF4AC19" w14:textId="77777777" w:rsidR="004C6BBB" w:rsidRDefault="004C6BBB" w:rsidP="004C6BBB">
          <w:pPr>
            <w:spacing w:line="480" w:lineRule="auto"/>
          </w:pPr>
          <w:r>
            <w:t xml:space="preserve">Adam v Lindsell [1818] 1 B &amp; </w:t>
          </w:r>
          <w:proofErr w:type="spellStart"/>
          <w:r>
            <w:t>Ald</w:t>
          </w:r>
          <w:proofErr w:type="spellEnd"/>
          <w:r>
            <w:t xml:space="preserve"> 681</w:t>
          </w:r>
        </w:p>
        <w:p w14:paraId="57A73EBE" w14:textId="3B0FA230" w:rsidR="004C6BBB" w:rsidRDefault="004C6BBB" w:rsidP="004C6BBB">
          <w:pPr>
            <w:spacing w:line="480" w:lineRule="auto"/>
          </w:pPr>
          <w:r>
            <w:t>Hyde v Wrench [1840] 49 ER 132</w:t>
          </w:r>
        </w:p>
      </w:sdtContent>
    </w:sdt>
    <w:p w14:paraId="53FE177D" w14:textId="312AF6EB" w:rsidR="004C6BBB" w:rsidRDefault="004C6BBB" w:rsidP="004C6BBB">
      <w:pPr>
        <w:jc w:val="center"/>
        <w:rPr>
          <w:b/>
          <w:bCs/>
        </w:rPr>
      </w:pPr>
    </w:p>
    <w:p w14:paraId="584F591B" w14:textId="771A4270" w:rsidR="004C6BBB" w:rsidRDefault="004C6BBB" w:rsidP="004C6BBB">
      <w:pPr>
        <w:jc w:val="center"/>
        <w:rPr>
          <w:b/>
          <w:bCs/>
        </w:rPr>
      </w:pPr>
    </w:p>
    <w:p w14:paraId="4573B687" w14:textId="032E2BFE" w:rsidR="004C6BBB" w:rsidRDefault="004C6BBB" w:rsidP="004C6BBB">
      <w:pPr>
        <w:jc w:val="center"/>
        <w:rPr>
          <w:b/>
          <w:bCs/>
        </w:rPr>
      </w:pPr>
    </w:p>
    <w:p w14:paraId="1D5A65AC" w14:textId="2FFB4C62" w:rsidR="004C6BBB" w:rsidRDefault="004C6BBB" w:rsidP="004C6BBB">
      <w:pPr>
        <w:jc w:val="center"/>
        <w:rPr>
          <w:b/>
          <w:bCs/>
        </w:rPr>
      </w:pPr>
    </w:p>
    <w:p w14:paraId="56AE0E5D" w14:textId="6E69D98D" w:rsidR="004C6BBB" w:rsidRDefault="004C6BBB" w:rsidP="004C6BBB">
      <w:pPr>
        <w:jc w:val="center"/>
        <w:rPr>
          <w:b/>
          <w:bCs/>
        </w:rPr>
      </w:pPr>
    </w:p>
    <w:p w14:paraId="6DCBF945" w14:textId="4526C06E" w:rsidR="004C6BBB" w:rsidRDefault="004C6BBB" w:rsidP="004C6BBB">
      <w:pPr>
        <w:jc w:val="center"/>
        <w:rPr>
          <w:b/>
          <w:bCs/>
        </w:rPr>
      </w:pPr>
    </w:p>
    <w:p w14:paraId="7AB1193E" w14:textId="77226531" w:rsidR="004C6BBB" w:rsidRDefault="004C6BBB" w:rsidP="004C6BBB">
      <w:pPr>
        <w:jc w:val="center"/>
        <w:rPr>
          <w:b/>
          <w:bCs/>
        </w:rPr>
      </w:pPr>
    </w:p>
    <w:p w14:paraId="7D910ACC" w14:textId="40583A02" w:rsidR="004C6BBB" w:rsidRDefault="004C6BBB" w:rsidP="004C6BBB">
      <w:pPr>
        <w:jc w:val="center"/>
        <w:rPr>
          <w:b/>
          <w:bCs/>
        </w:rPr>
      </w:pPr>
    </w:p>
    <w:p w14:paraId="13B628FC" w14:textId="4E4EFF3F" w:rsidR="004C6BBB" w:rsidRDefault="004C6BBB" w:rsidP="004C6BBB">
      <w:pPr>
        <w:jc w:val="center"/>
        <w:rPr>
          <w:b/>
          <w:bCs/>
        </w:rPr>
      </w:pPr>
    </w:p>
    <w:p w14:paraId="47A2FA77" w14:textId="526F7442" w:rsidR="004C6BBB" w:rsidRDefault="004C6BBB" w:rsidP="004C6BBB">
      <w:pPr>
        <w:jc w:val="center"/>
        <w:rPr>
          <w:b/>
          <w:bCs/>
        </w:rPr>
      </w:pPr>
    </w:p>
    <w:p w14:paraId="18CBD754" w14:textId="5F1072B4" w:rsidR="004C6BBB" w:rsidRDefault="004C6BBB" w:rsidP="004C6BBB">
      <w:pPr>
        <w:jc w:val="center"/>
        <w:rPr>
          <w:b/>
          <w:bCs/>
        </w:rPr>
      </w:pPr>
    </w:p>
    <w:p w14:paraId="150D3E48" w14:textId="381B104C" w:rsidR="004C6BBB" w:rsidRDefault="004C6BBB" w:rsidP="004C6BBB">
      <w:pPr>
        <w:jc w:val="center"/>
        <w:rPr>
          <w:b/>
          <w:bCs/>
        </w:rPr>
      </w:pPr>
    </w:p>
    <w:p w14:paraId="014CF9AC" w14:textId="0112E898" w:rsidR="004C6BBB" w:rsidRDefault="004C6BBB" w:rsidP="004C6BBB">
      <w:pPr>
        <w:jc w:val="center"/>
        <w:rPr>
          <w:b/>
          <w:bCs/>
        </w:rPr>
      </w:pPr>
    </w:p>
    <w:p w14:paraId="4D71D008" w14:textId="2246ACD1" w:rsidR="004C6BBB" w:rsidRDefault="004C6BBB" w:rsidP="004C6BBB">
      <w:pPr>
        <w:jc w:val="center"/>
        <w:rPr>
          <w:b/>
          <w:bCs/>
        </w:rPr>
      </w:pPr>
    </w:p>
    <w:p w14:paraId="0C609A5B" w14:textId="710E5306" w:rsidR="004C6BBB" w:rsidRDefault="004C6BBB" w:rsidP="004C6BBB">
      <w:pPr>
        <w:jc w:val="center"/>
        <w:rPr>
          <w:b/>
          <w:bCs/>
        </w:rPr>
      </w:pPr>
    </w:p>
    <w:p w14:paraId="4D93EF56" w14:textId="3F518E49" w:rsidR="004C6BBB" w:rsidRDefault="004C6BBB" w:rsidP="004C6BBB">
      <w:pPr>
        <w:jc w:val="center"/>
        <w:rPr>
          <w:b/>
          <w:bCs/>
        </w:rPr>
      </w:pPr>
    </w:p>
    <w:p w14:paraId="36CC4A68" w14:textId="564F40FC" w:rsidR="004C6BBB" w:rsidRDefault="004C6BBB" w:rsidP="004C6BBB">
      <w:pPr>
        <w:jc w:val="center"/>
        <w:rPr>
          <w:b/>
          <w:bCs/>
        </w:rPr>
      </w:pPr>
    </w:p>
    <w:p w14:paraId="397CEF25" w14:textId="08EF31FD" w:rsidR="004C6BBB" w:rsidRDefault="004C6BBB" w:rsidP="004C6BBB">
      <w:pPr>
        <w:jc w:val="center"/>
        <w:rPr>
          <w:b/>
          <w:bCs/>
        </w:rPr>
      </w:pPr>
    </w:p>
    <w:sdt>
      <w:sdtPr>
        <w:id w:val="371654609"/>
        <w:docPartObj>
          <w:docPartGallery w:val="Bibliographies"/>
          <w:docPartUnique/>
        </w:docPartObj>
      </w:sdtPr>
      <w:sdtEndPr>
        <w:rPr>
          <w:rFonts w:eastAsiaTheme="minorHAnsi" w:cstheme="minorBidi"/>
          <w:b w:val="0"/>
          <w:color w:val="auto"/>
          <w:sz w:val="24"/>
          <w:szCs w:val="24"/>
        </w:rPr>
      </w:sdtEndPr>
      <w:sdtContent>
        <w:p w14:paraId="2CD22697" w14:textId="03CB15E1" w:rsidR="004C6BBB" w:rsidRDefault="004C6BBB">
          <w:pPr>
            <w:pStyle w:val="Heading1"/>
            <w:rPr>
              <w:sz w:val="24"/>
              <w:szCs w:val="28"/>
            </w:rPr>
          </w:pPr>
          <w:r w:rsidRPr="004C6BBB">
            <w:rPr>
              <w:sz w:val="24"/>
              <w:szCs w:val="28"/>
            </w:rPr>
            <w:t>TABLE OF LEGISLATION</w:t>
          </w:r>
        </w:p>
        <w:p w14:paraId="2112FBA8" w14:textId="77777777" w:rsidR="004C6BBB" w:rsidRPr="004C6BBB" w:rsidRDefault="004C6BBB" w:rsidP="004C6BBB"/>
        <w:sdt>
          <w:sdtPr>
            <w:id w:val="111145805"/>
            <w:bibliography/>
          </w:sdtPr>
          <w:sdtContent>
            <w:p w14:paraId="263D8BEB" w14:textId="4472D10F" w:rsidR="004C6BBB" w:rsidRDefault="004C6BBB" w:rsidP="004C6BBB">
              <w:r>
                <w:t>Contract (Rights of Third Parties) Act 1999</w:t>
              </w:r>
            </w:p>
            <w:p w14:paraId="151F43FA" w14:textId="4C57F007" w:rsidR="004C6BBB" w:rsidRDefault="004C6BBB" w:rsidP="004C6BBB">
              <w:pPr>
                <w:spacing w:line="480" w:lineRule="auto"/>
              </w:pPr>
              <w:r>
                <w:t>Contract Act of 1950</w:t>
              </w:r>
            </w:p>
          </w:sdtContent>
        </w:sdt>
      </w:sdtContent>
    </w:sdt>
    <w:p w14:paraId="5B5D7EB1" w14:textId="77777777" w:rsidR="004C6BBB" w:rsidRPr="004C6BBB" w:rsidRDefault="004C6BBB" w:rsidP="004C6BBB">
      <w:pPr>
        <w:jc w:val="center"/>
        <w:rPr>
          <w:b/>
          <w:bCs/>
        </w:rPr>
      </w:pPr>
    </w:p>
    <w:sectPr w:rsidR="004C6BBB" w:rsidRPr="004C6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1246"/>
    <w:multiLevelType w:val="hybridMultilevel"/>
    <w:tmpl w:val="327E8F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7CD0F18"/>
    <w:multiLevelType w:val="hybridMultilevel"/>
    <w:tmpl w:val="954289C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5E0"/>
    <w:rsid w:val="00017B20"/>
    <w:rsid w:val="0003631F"/>
    <w:rsid w:val="000860B6"/>
    <w:rsid w:val="0010336D"/>
    <w:rsid w:val="0013755C"/>
    <w:rsid w:val="00142284"/>
    <w:rsid w:val="001977BD"/>
    <w:rsid w:val="001A4819"/>
    <w:rsid w:val="001B148F"/>
    <w:rsid w:val="001B2879"/>
    <w:rsid w:val="001D2ABB"/>
    <w:rsid w:val="00201424"/>
    <w:rsid w:val="00215BE7"/>
    <w:rsid w:val="0023162A"/>
    <w:rsid w:val="00257668"/>
    <w:rsid w:val="00297DCF"/>
    <w:rsid w:val="002F57B0"/>
    <w:rsid w:val="00325799"/>
    <w:rsid w:val="00334965"/>
    <w:rsid w:val="003E0067"/>
    <w:rsid w:val="003E034B"/>
    <w:rsid w:val="004173BB"/>
    <w:rsid w:val="00437394"/>
    <w:rsid w:val="0046310B"/>
    <w:rsid w:val="0046640B"/>
    <w:rsid w:val="00477722"/>
    <w:rsid w:val="00483337"/>
    <w:rsid w:val="004C6BBB"/>
    <w:rsid w:val="00553778"/>
    <w:rsid w:val="00585531"/>
    <w:rsid w:val="00642500"/>
    <w:rsid w:val="006757BA"/>
    <w:rsid w:val="006A4898"/>
    <w:rsid w:val="006A6CD1"/>
    <w:rsid w:val="006B4DED"/>
    <w:rsid w:val="007042EA"/>
    <w:rsid w:val="00733A0C"/>
    <w:rsid w:val="0074510A"/>
    <w:rsid w:val="0079687D"/>
    <w:rsid w:val="007D5D9B"/>
    <w:rsid w:val="007F0D48"/>
    <w:rsid w:val="00801695"/>
    <w:rsid w:val="008377C6"/>
    <w:rsid w:val="008566B0"/>
    <w:rsid w:val="00871549"/>
    <w:rsid w:val="00877071"/>
    <w:rsid w:val="00892DC6"/>
    <w:rsid w:val="008B5F34"/>
    <w:rsid w:val="008B78F1"/>
    <w:rsid w:val="008D0552"/>
    <w:rsid w:val="00922477"/>
    <w:rsid w:val="0092614D"/>
    <w:rsid w:val="0096324D"/>
    <w:rsid w:val="0098498C"/>
    <w:rsid w:val="009B0C08"/>
    <w:rsid w:val="00A0665B"/>
    <w:rsid w:val="00A123E3"/>
    <w:rsid w:val="00A47F51"/>
    <w:rsid w:val="00A7711B"/>
    <w:rsid w:val="00B112FF"/>
    <w:rsid w:val="00B13947"/>
    <w:rsid w:val="00B1625C"/>
    <w:rsid w:val="00B550B5"/>
    <w:rsid w:val="00BB0E9F"/>
    <w:rsid w:val="00BD50EE"/>
    <w:rsid w:val="00BE3733"/>
    <w:rsid w:val="00C524F0"/>
    <w:rsid w:val="00C85103"/>
    <w:rsid w:val="00CB694F"/>
    <w:rsid w:val="00CC49CC"/>
    <w:rsid w:val="00CC4ECA"/>
    <w:rsid w:val="00CD29EE"/>
    <w:rsid w:val="00CD558F"/>
    <w:rsid w:val="00CE2291"/>
    <w:rsid w:val="00CF7D4F"/>
    <w:rsid w:val="00D40237"/>
    <w:rsid w:val="00D825E0"/>
    <w:rsid w:val="00D900C4"/>
    <w:rsid w:val="00D948EA"/>
    <w:rsid w:val="00DE2B2C"/>
    <w:rsid w:val="00EC18ED"/>
    <w:rsid w:val="00ED7557"/>
    <w:rsid w:val="00F04B65"/>
    <w:rsid w:val="00F240A5"/>
    <w:rsid w:val="00F34CB0"/>
    <w:rsid w:val="00F765D5"/>
    <w:rsid w:val="00F80C1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25BCB32F"/>
  <w15:chartTrackingRefBased/>
  <w15:docId w15:val="{7351407B-DF9B-9C41-9ED5-0B4F6D7E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31"/>
    <w:pPr>
      <w:spacing w:line="360" w:lineRule="auto"/>
    </w:pPr>
    <w:rPr>
      <w:rFonts w:ascii="Times New Roman" w:hAnsi="Times New Roman"/>
    </w:rPr>
  </w:style>
  <w:style w:type="paragraph" w:styleId="Heading1">
    <w:name w:val="heading 1"/>
    <w:basedOn w:val="Normal"/>
    <w:next w:val="Normal"/>
    <w:link w:val="Heading1Char"/>
    <w:uiPriority w:val="9"/>
    <w:qFormat/>
    <w:rsid w:val="00585531"/>
    <w:pPr>
      <w:keepNext/>
      <w:keepLines/>
      <w:spacing w:before="24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585531"/>
    <w:pPr>
      <w:keepNext/>
      <w:keepLines/>
      <w:spacing w:before="4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53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85531"/>
    <w:rPr>
      <w:rFonts w:ascii="Times New Roman" w:eastAsiaTheme="majorEastAsia" w:hAnsi="Times New Roman" w:cstheme="majorBidi"/>
      <w:b/>
      <w:color w:val="000000" w:themeColor="text1"/>
      <w:sz w:val="28"/>
      <w:szCs w:val="26"/>
    </w:rPr>
  </w:style>
  <w:style w:type="character" w:styleId="Hyperlink">
    <w:name w:val="Hyperlink"/>
    <w:basedOn w:val="DefaultParagraphFont"/>
    <w:uiPriority w:val="99"/>
    <w:unhideWhenUsed/>
    <w:rsid w:val="00922477"/>
    <w:rPr>
      <w:color w:val="0563C1" w:themeColor="hyperlink"/>
      <w:u w:val="single"/>
    </w:rPr>
  </w:style>
  <w:style w:type="character" w:styleId="UnresolvedMention">
    <w:name w:val="Unresolved Mention"/>
    <w:basedOn w:val="DefaultParagraphFont"/>
    <w:uiPriority w:val="99"/>
    <w:semiHidden/>
    <w:unhideWhenUsed/>
    <w:rsid w:val="00922477"/>
    <w:rPr>
      <w:color w:val="605E5C"/>
      <w:shd w:val="clear" w:color="auto" w:fill="E1DFDD"/>
    </w:rPr>
  </w:style>
  <w:style w:type="paragraph" w:styleId="ListParagraph">
    <w:name w:val="List Paragraph"/>
    <w:basedOn w:val="Normal"/>
    <w:uiPriority w:val="34"/>
    <w:qFormat/>
    <w:rsid w:val="008377C6"/>
    <w:pPr>
      <w:ind w:left="720"/>
      <w:contextualSpacing/>
    </w:pPr>
  </w:style>
  <w:style w:type="character" w:styleId="FollowedHyperlink">
    <w:name w:val="FollowedHyperlink"/>
    <w:basedOn w:val="DefaultParagraphFont"/>
    <w:uiPriority w:val="99"/>
    <w:semiHidden/>
    <w:unhideWhenUsed/>
    <w:rsid w:val="008D0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free-law-essays/contract-law/main-elements-constituting-a-valid-contract-contract-law-essay.php" TargetMode="External"/><Relationship Id="rId3" Type="http://schemas.openxmlformats.org/officeDocument/2006/relationships/styles" Target="styles.xml"/><Relationship Id="rId7" Type="http://schemas.openxmlformats.org/officeDocument/2006/relationships/hyperlink" Target="https://www.lawteacher.net/cases/consideration-cases.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awteacher.net/lectures/contract-law/privity-of-contrac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awteacher.net/cases/partridge-v-crittende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606E8-684C-734C-9251-944861A91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7</Pages>
  <Words>1658</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Marsya Damia Razwi</dc:creator>
  <cp:keywords/>
  <dc:description/>
  <cp:lastModifiedBy>Marsya Damia Razwi</cp:lastModifiedBy>
  <cp:revision>36</cp:revision>
  <dcterms:created xsi:type="dcterms:W3CDTF">2022-02-20T22:23:00Z</dcterms:created>
  <dcterms:modified xsi:type="dcterms:W3CDTF">2022-03-04T07:14:00Z</dcterms:modified>
</cp:coreProperties>
</file>