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Effective Communication, Administration and Collaborative Practice in the Care of Mr Ahmed</w:t>
      </w:r>
    </w:p>
    <w:p>
      <w:pPr>
        <w:jc w:val="center"/>
      </w:pPr>
      <w:r>
        <w:br/>
        <w:t>Student Name: Imrich Makula</w:t>
      </w:r>
    </w:p>
    <w:p>
      <w:pPr>
        <w:jc w:val="center"/>
      </w:pPr>
      <w:r>
        <w:t>Student ID: 2516455</w:t>
      </w:r>
    </w:p>
    <w:p>
      <w:pPr>
        <w:jc w:val="center"/>
      </w:pPr>
      <w:r>
        <w:t>Module Code: LCHS4003</w:t>
      </w:r>
    </w:p>
    <w:p>
      <w:pPr>
        <w:jc w:val="center"/>
      </w:pPr>
      <w:r>
        <w:t>Module Name: Introduction to Health and Social Care</w:t>
      </w:r>
    </w:p>
    <w:p>
      <w:pPr>
        <w:jc w:val="center"/>
      </w:pPr>
      <w:r>
        <w:t>Lecturer: Muhammad Aliyu</w:t>
      </w:r>
    </w:p>
    <w:p>
      <w:r>
        <w:br w:type="page"/>
      </w:r>
    </w:p>
    <w:p>
      <w:pPr>
        <w:spacing w:after="120" w:line="360" w:lineRule="auto"/>
      </w:pPr>
      <w:r>
        <w:rPr>
          <w:b/>
        </w:rPr>
        <w:t>Introduction</w:t>
      </w:r>
    </w:p>
    <w:p>
      <w:pPr>
        <w:spacing w:after="160" w:line="360" w:lineRule="auto"/>
      </w:pPr>
      <w:r>
        <w:t>This report focuses on the care of Mr Ahmed, a 68-year-old man recovering from a stroke. His situation is complex due to communication difficulties, language barriers, and reliance on multiple healthcare professionals. The report will examine three key areas: effective communication, administrative skills including record keeping, and collaborative working. These aspects are essential in ensuring safe, person-centred care and reducing risks such as missed medication.</w:t>
      </w:r>
    </w:p>
    <w:p>
      <w:pPr>
        <w:spacing w:after="120" w:line="360" w:lineRule="auto"/>
      </w:pPr>
      <w:r>
        <w:rPr>
          <w:b/>
        </w:rPr>
        <w:t>1. Effective Communication in Practice</w:t>
      </w:r>
    </w:p>
    <w:p>
      <w:pPr>
        <w:spacing w:after="160" w:line="360" w:lineRule="auto"/>
      </w:pPr>
      <w:r>
        <w:t>Effective communication plays a central role in ensuring Mr Ahmed receives safe and appropriate care. Due to his limited English and post-stroke communication difficulties, there is a higher risk of misunderstandings. This can lead to serious issues, as seen in the missed medication incident.</w:t>
      </w:r>
    </w:p>
    <w:p>
      <w:pPr>
        <w:spacing w:after="160" w:line="360" w:lineRule="auto"/>
      </w:pPr>
      <w:r>
        <w:t>In practice, communication should be adapted to meet Mr Ahmed’s needs. This may involve using simple language, visual aids, or professional interpreters. While his wife helps with communication, relying only on family members is not always appropriate due to potential issues with accuracy and confidentiality (NHS England, 2019).</w:t>
      </w:r>
    </w:p>
    <w:p>
      <w:pPr>
        <w:spacing w:after="160" w:line="360" w:lineRule="auto"/>
      </w:pPr>
      <w:r>
        <w:t>The Equality Act (2010) highlights the need for reasonable adjustments. This means healthcare professionals must ensure information is accessible and understandable. In Mr Ahmed’s case, this supports fair and equal treatment.</w:t>
      </w:r>
    </w:p>
    <w:p>
      <w:pPr>
        <w:spacing w:after="160" w:line="360" w:lineRule="auto"/>
      </w:pPr>
      <w:r>
        <w:t>The Shannon and Weaver (1949) model shows how communication can break down due to ‘noise’, such as language barriers. Professionals should check understanding and encourage feedback. Building trust, showing empathy, and using clear body language also improve communication.</w:t>
      </w:r>
    </w:p>
    <w:p>
      <w:pPr>
        <w:spacing w:after="120" w:line="360" w:lineRule="auto"/>
      </w:pPr>
      <w:r>
        <w:rPr>
          <w:b/>
        </w:rPr>
        <w:t>2. Administrative Skills and Record Keeping</w:t>
      </w:r>
    </w:p>
    <w:p>
      <w:pPr>
        <w:spacing w:after="160" w:line="360" w:lineRule="auto"/>
      </w:pPr>
      <w:r>
        <w:t>Administrative skills are essential in maintaining safe and organised care. Accurate record keeping ensures that all professionals involved in Mr Ahmed’s care are informed and up to date.</w:t>
      </w:r>
    </w:p>
    <w:p>
      <w:pPr>
        <w:spacing w:after="160" w:line="360" w:lineRule="auto"/>
      </w:pPr>
      <w:r>
        <w:t>The Data Protection Act (2018) and UK GDPR require that personal information is handled securely and appropriately. Records must be accurate and only shared with those who need access.</w:t>
      </w:r>
    </w:p>
    <w:p>
      <w:pPr>
        <w:spacing w:after="160" w:line="360" w:lineRule="auto"/>
      </w:pPr>
      <w:r>
        <w:t>The Caldicott Principles (Caldicott, 2013) guide how information should be shared in health and social care. In this case, sharing relevant information between the GP, nurse, and care workers is necessary to provide consistent care.</w:t>
      </w:r>
    </w:p>
    <w:p>
      <w:pPr>
        <w:spacing w:after="160" w:line="360" w:lineRule="auto"/>
      </w:pPr>
      <w:r>
        <w:t>The missed home visit suggests a possible failure in administrative systems. Proper scheduling, clear documentation, and regular checks are important to prevent such issues. The Care Act (2014) also supports safeguarding, which relies on clear and accurate records.</w:t>
      </w:r>
    </w:p>
    <w:p>
      <w:pPr>
        <w:spacing w:after="120" w:line="360" w:lineRule="auto"/>
      </w:pPr>
      <w:r>
        <w:rPr>
          <w:b/>
        </w:rPr>
        <w:t>3. Collaborative Working</w:t>
      </w:r>
    </w:p>
    <w:p>
      <w:pPr>
        <w:spacing w:after="160" w:line="360" w:lineRule="auto"/>
      </w:pPr>
      <w:r>
        <w:t>Mr Ahmed’s care involves a range of professionals, making collaborative working essential. Effective teamwork ensures that care is consistent and centred around his needs.</w:t>
      </w:r>
    </w:p>
    <w:p>
      <w:pPr>
        <w:spacing w:after="160" w:line="360" w:lineRule="auto"/>
      </w:pPr>
      <w:r>
        <w:t>Multidisciplinary team (MDT) working allows professionals to share information and plan care together. Clear roles and responsibilities help prevent confusion and reduce the risk of mistakes.</w:t>
      </w:r>
    </w:p>
    <w:p>
      <w:pPr>
        <w:spacing w:after="160" w:line="360" w:lineRule="auto"/>
      </w:pPr>
      <w:r>
        <w:t>However, challenges can arise, such as poor communication between services or time pressures. These can be addressed through regular meetings, shared care plans, and the use of digital systems.</w:t>
      </w:r>
    </w:p>
    <w:p>
      <w:pPr>
        <w:spacing w:after="160" w:line="360" w:lineRule="auto"/>
      </w:pPr>
      <w:r>
        <w:t>It is also important to involve Mr Ahmed and his wife in decisions about his care. This supports a person-centred approach and aligns with the Care Act (2014).</w:t>
      </w:r>
    </w:p>
    <w:p>
      <w:pPr>
        <w:spacing w:after="120" w:line="360" w:lineRule="auto"/>
      </w:pPr>
      <w:r>
        <w:rPr>
          <w:b/>
        </w:rPr>
        <w:t>Conclusion</w:t>
      </w:r>
    </w:p>
    <w:p>
      <w:pPr>
        <w:spacing w:after="160" w:line="360" w:lineRule="auto"/>
      </w:pPr>
      <w:r>
        <w:t>In conclusion, effective communication, strong administrative practices, and collaborative working are all essential in delivering high-quality care. In Mr Ahmed’s case, these areas are particularly important due to his communication needs and reliance on multiple services. Improving these aspects can reduce risks and ensure safer, more coordinated care.</w:t>
      </w:r>
    </w:p>
    <w:p>
      <w:pPr>
        <w:spacing w:after="120" w:line="360" w:lineRule="auto"/>
      </w:pPr>
      <w:r>
        <w:rPr>
          <w:b/>
        </w:rPr>
        <w:t>References</w:t>
      </w:r>
    </w:p>
    <w:p>
      <w:pPr>
        <w:spacing w:after="160" w:line="360" w:lineRule="auto"/>
      </w:pPr>
      <w:r>
        <w:t>Caldicott, F. (2013) Information Governance Review.</w:t>
      </w:r>
    </w:p>
    <w:p>
      <w:pPr>
        <w:spacing w:after="160" w:line="360" w:lineRule="auto"/>
      </w:pPr>
      <w:r>
        <w:t>Department of Health and Social Care (2014) Care Act 2014.</w:t>
      </w:r>
    </w:p>
    <w:p>
      <w:pPr>
        <w:spacing w:after="160" w:line="360" w:lineRule="auto"/>
      </w:pPr>
      <w:r>
        <w:t>Equality Act (2010).</w:t>
      </w:r>
    </w:p>
    <w:p>
      <w:pPr>
        <w:spacing w:after="160" w:line="360" w:lineRule="auto"/>
      </w:pPr>
      <w:r>
        <w:t>NHS England (2019) Accessible Information Standard.</w:t>
      </w:r>
    </w:p>
    <w:p>
      <w:pPr>
        <w:spacing w:after="160" w:line="360" w:lineRule="auto"/>
      </w:pPr>
      <w:r>
        <w:t>Data Protection Act (2018).</w:t>
      </w:r>
    </w:p>
    <w:p>
      <w:pPr>
        <w:spacing w:after="160" w:line="360" w:lineRule="auto"/>
      </w:pPr>
      <w:r>
        <w:t>Shannon, C. and Weaver, W. (1949) The Mathematical Theory of Communication.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