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F34BF" w14:textId="77777777" w:rsidR="00FE34C7" w:rsidRDefault="00FE34C7" w:rsidP="007A5EAA">
      <w:pPr>
        <w:spacing w:line="360" w:lineRule="auto"/>
        <w:jc w:val="both"/>
        <w:rPr>
          <w:rFonts w:ascii="Arial" w:hAnsi="Arial" w:cs="Arial"/>
          <w:b/>
          <w:bCs/>
          <w:sz w:val="22"/>
          <w:szCs w:val="22"/>
        </w:rPr>
      </w:pPr>
    </w:p>
    <w:p w14:paraId="7B5D9E38" w14:textId="77777777" w:rsidR="00FE34C7" w:rsidRDefault="00FE34C7" w:rsidP="00FE34C7">
      <w:pPr>
        <w:jc w:val="center"/>
        <w:rPr>
          <w:rFonts w:ascii="Arial" w:hAnsi="Arial" w:cs="Arial"/>
          <w:b/>
          <w:bCs/>
          <w:sz w:val="22"/>
          <w:szCs w:val="22"/>
        </w:rPr>
      </w:pPr>
      <w:r>
        <w:rPr>
          <w:noProof/>
        </w:rPr>
        <w:drawing>
          <wp:inline distT="0" distB="0" distL="0" distR="0" wp14:anchorId="26F4A83E" wp14:editId="6EAA9BCF">
            <wp:extent cx="4651375" cy="2383790"/>
            <wp:effectExtent l="0" t="0" r="0" b="0"/>
            <wp:docPr id="1482076093" name="Picture 1" descr="A black rectangular sign with yellow and brow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76093" name="Picture 1" descr="A black rectangular sign with yellow and brown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1375" cy="2383790"/>
                    </a:xfrm>
                    <a:prstGeom prst="rect">
                      <a:avLst/>
                    </a:prstGeom>
                    <a:noFill/>
                  </pic:spPr>
                </pic:pic>
              </a:graphicData>
            </a:graphic>
          </wp:inline>
        </w:drawing>
      </w:r>
    </w:p>
    <w:p w14:paraId="7BBF34E0" w14:textId="77777777" w:rsidR="00FE34C7" w:rsidRDefault="00FE34C7" w:rsidP="00FE34C7">
      <w:pPr>
        <w:jc w:val="center"/>
        <w:rPr>
          <w:rFonts w:ascii="Arial" w:hAnsi="Arial" w:cs="Arial"/>
          <w:b/>
          <w:bCs/>
          <w:sz w:val="22"/>
          <w:szCs w:val="22"/>
        </w:rPr>
      </w:pPr>
    </w:p>
    <w:p w14:paraId="03F4D67C" w14:textId="77777777" w:rsidR="00FE34C7" w:rsidRDefault="00FE34C7" w:rsidP="00FE34C7">
      <w:pPr>
        <w:jc w:val="center"/>
        <w:rPr>
          <w:rFonts w:ascii="Arial" w:hAnsi="Arial" w:cs="Arial"/>
          <w:b/>
          <w:bCs/>
          <w:sz w:val="22"/>
          <w:szCs w:val="22"/>
        </w:rPr>
      </w:pPr>
    </w:p>
    <w:p w14:paraId="66726BCB" w14:textId="52AD4955" w:rsidR="00FE34C7" w:rsidRDefault="00FE34C7" w:rsidP="00FE34C7">
      <w:pPr>
        <w:spacing w:line="360" w:lineRule="auto"/>
        <w:rPr>
          <w:rFonts w:ascii="Arial" w:hAnsi="Arial" w:cs="Arial"/>
          <w:b/>
          <w:bCs/>
          <w:sz w:val="28"/>
          <w:szCs w:val="28"/>
        </w:rPr>
      </w:pPr>
      <w:r w:rsidRPr="00FE34C7">
        <w:rPr>
          <w:rFonts w:ascii="Arial" w:hAnsi="Arial" w:cs="Arial"/>
          <w:b/>
          <w:bCs/>
          <w:sz w:val="28"/>
          <w:szCs w:val="28"/>
        </w:rPr>
        <w:t>Programme: BA (Hons) Leadership and Management Skills for the Workplace</w:t>
      </w:r>
      <w:r w:rsidRPr="00FE34C7">
        <w:rPr>
          <w:rFonts w:ascii="Arial" w:hAnsi="Arial" w:cs="Arial"/>
          <w:b/>
          <w:bCs/>
          <w:sz w:val="28"/>
          <w:szCs w:val="28"/>
        </w:rPr>
        <w:br/>
        <w:t>Module code and name: BMSW610</w:t>
      </w:r>
      <w:r>
        <w:rPr>
          <w:rFonts w:ascii="Arial" w:hAnsi="Arial" w:cs="Arial"/>
          <w:b/>
          <w:bCs/>
          <w:sz w:val="28"/>
          <w:szCs w:val="28"/>
        </w:rPr>
        <w:t>5</w:t>
      </w:r>
      <w:r w:rsidRPr="00FE34C7">
        <w:rPr>
          <w:rFonts w:ascii="Arial" w:hAnsi="Arial" w:cs="Arial"/>
          <w:b/>
          <w:bCs/>
          <w:sz w:val="28"/>
          <w:szCs w:val="28"/>
        </w:rPr>
        <w:t>_Coaching and Mentoring Skills for the Workplace</w:t>
      </w:r>
    </w:p>
    <w:p w14:paraId="1BD7E054" w14:textId="77777777" w:rsidR="00FE34C7" w:rsidRPr="00FE34C7" w:rsidRDefault="00FE34C7" w:rsidP="00FE34C7">
      <w:pPr>
        <w:spacing w:line="360" w:lineRule="auto"/>
        <w:rPr>
          <w:rFonts w:ascii="Arial" w:hAnsi="Arial" w:cs="Arial"/>
          <w:b/>
          <w:bCs/>
          <w:sz w:val="28"/>
          <w:szCs w:val="28"/>
        </w:rPr>
      </w:pPr>
      <w:r w:rsidRPr="00FE34C7">
        <w:rPr>
          <w:rFonts w:ascii="Arial" w:hAnsi="Arial" w:cs="Arial"/>
          <w:b/>
          <w:bCs/>
          <w:sz w:val="28"/>
          <w:szCs w:val="28"/>
        </w:rPr>
        <w:t>Lecturer Name: Dennis Pepple</w:t>
      </w:r>
    </w:p>
    <w:p w14:paraId="1FCA26FA" w14:textId="43C5B861" w:rsidR="00FE34C7" w:rsidRPr="00FE34C7" w:rsidRDefault="00FE34C7" w:rsidP="00FE34C7">
      <w:pPr>
        <w:spacing w:line="360" w:lineRule="auto"/>
        <w:rPr>
          <w:rFonts w:ascii="Arial" w:hAnsi="Arial" w:cs="Arial"/>
          <w:b/>
          <w:bCs/>
          <w:sz w:val="28"/>
          <w:szCs w:val="28"/>
        </w:rPr>
      </w:pPr>
      <w:r w:rsidRPr="00FE34C7">
        <w:rPr>
          <w:rFonts w:ascii="Arial" w:hAnsi="Arial" w:cs="Arial"/>
          <w:b/>
          <w:bCs/>
          <w:sz w:val="28"/>
          <w:szCs w:val="28"/>
        </w:rPr>
        <w:br/>
        <w:t>Name of the Student: Aneliya Kirkova-Georgieva</w:t>
      </w:r>
    </w:p>
    <w:p w14:paraId="294609D5" w14:textId="77777777" w:rsidR="00FE34C7" w:rsidRPr="00FE34C7" w:rsidRDefault="00FE34C7" w:rsidP="00FE34C7">
      <w:pPr>
        <w:spacing w:line="360" w:lineRule="auto"/>
        <w:rPr>
          <w:rFonts w:ascii="Arial" w:hAnsi="Arial" w:cs="Arial"/>
          <w:b/>
          <w:bCs/>
          <w:sz w:val="28"/>
          <w:szCs w:val="28"/>
        </w:rPr>
      </w:pPr>
      <w:r w:rsidRPr="00FE34C7">
        <w:rPr>
          <w:rFonts w:ascii="Arial" w:hAnsi="Arial" w:cs="Arial"/>
          <w:b/>
          <w:bCs/>
          <w:sz w:val="28"/>
          <w:szCs w:val="28"/>
        </w:rPr>
        <w:t>ID Number: 2125657</w:t>
      </w:r>
    </w:p>
    <w:p w14:paraId="3D9F0844" w14:textId="172BA444" w:rsidR="002B59E8" w:rsidRDefault="00FE34C7" w:rsidP="00FE34C7">
      <w:pPr>
        <w:spacing w:line="360" w:lineRule="auto"/>
        <w:rPr>
          <w:rFonts w:ascii="Arial" w:hAnsi="Arial" w:cs="Arial"/>
          <w:b/>
          <w:bCs/>
          <w:sz w:val="22"/>
          <w:szCs w:val="22"/>
        </w:rPr>
      </w:pPr>
      <w:r w:rsidRPr="00FE34C7">
        <w:rPr>
          <w:rFonts w:ascii="Arial" w:hAnsi="Arial" w:cs="Arial"/>
          <w:b/>
          <w:bCs/>
          <w:sz w:val="28"/>
          <w:szCs w:val="28"/>
        </w:rPr>
        <w:t>Task 3</w:t>
      </w:r>
      <w:r>
        <w:rPr>
          <w:rFonts w:ascii="Arial" w:hAnsi="Arial" w:cs="Arial"/>
          <w:b/>
          <w:bCs/>
          <w:sz w:val="28"/>
          <w:szCs w:val="28"/>
        </w:rPr>
        <w:t>_</w:t>
      </w:r>
      <w:r w:rsidRPr="00FE34C7">
        <w:rPr>
          <w:rFonts w:ascii="Arial" w:hAnsi="Arial" w:cs="Arial"/>
          <w:b/>
          <w:bCs/>
          <w:sz w:val="28"/>
          <w:szCs w:val="28"/>
        </w:rPr>
        <w:t xml:space="preserve">Written Reflection </w:t>
      </w:r>
      <w:r>
        <w:rPr>
          <w:rFonts w:ascii="Arial" w:hAnsi="Arial" w:cs="Arial"/>
          <w:b/>
          <w:bCs/>
          <w:sz w:val="22"/>
          <w:szCs w:val="22"/>
        </w:rPr>
        <w:br w:type="page"/>
      </w:r>
    </w:p>
    <w:p w14:paraId="14CDEE2B" w14:textId="77777777" w:rsidR="007D12C4" w:rsidRDefault="002B59E8" w:rsidP="007D12C4">
      <w:pPr>
        <w:rPr>
          <w:rFonts w:ascii="Arial" w:hAnsi="Arial" w:cs="Arial"/>
          <w:b/>
          <w:bCs/>
          <w:sz w:val="22"/>
          <w:szCs w:val="22"/>
        </w:rPr>
      </w:pPr>
      <w:r>
        <w:rPr>
          <w:rFonts w:ascii="Arial" w:hAnsi="Arial" w:cs="Arial"/>
          <w:b/>
          <w:bCs/>
          <w:sz w:val="22"/>
          <w:szCs w:val="22"/>
        </w:rPr>
        <w:lastRenderedPageBreak/>
        <w:t>Table of contents:</w:t>
      </w:r>
    </w:p>
    <w:p w14:paraId="5476FA98" w14:textId="13DF96B6" w:rsidR="00FF793E" w:rsidRPr="00396E4E" w:rsidRDefault="00FF793E"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Introduction</w:t>
      </w:r>
      <w:r w:rsidR="00673835">
        <w:rPr>
          <w:rFonts w:ascii="Arial" w:hAnsi="Arial" w:cs="Arial"/>
          <w:sz w:val="22"/>
          <w:szCs w:val="22"/>
        </w:rPr>
        <w:t>…………………………………………………………………………………3</w:t>
      </w:r>
    </w:p>
    <w:p w14:paraId="77A39159" w14:textId="625585EC" w:rsidR="007D12C4" w:rsidRPr="00396E4E" w:rsidRDefault="007D12C4"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Critical evaluation of the purpose of coaching and mentoring within a workplace</w:t>
      </w:r>
      <w:r w:rsidR="00673835">
        <w:rPr>
          <w:rFonts w:ascii="Arial" w:hAnsi="Arial" w:cs="Arial"/>
          <w:sz w:val="22"/>
          <w:szCs w:val="22"/>
        </w:rPr>
        <w:t>….3</w:t>
      </w:r>
    </w:p>
    <w:p w14:paraId="77BF7142" w14:textId="0C2825CC" w:rsidR="007D12C4" w:rsidRPr="00396E4E" w:rsidRDefault="007D12C4"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Critical analysis of the GROW coaching model</w:t>
      </w:r>
      <w:r w:rsidR="00562A1B">
        <w:rPr>
          <w:rFonts w:ascii="Arial" w:hAnsi="Arial" w:cs="Arial"/>
          <w:sz w:val="22"/>
          <w:szCs w:val="22"/>
        </w:rPr>
        <w:t>...………………………………………5</w:t>
      </w:r>
    </w:p>
    <w:p w14:paraId="3E14DB2F" w14:textId="7DDB10DF" w:rsidR="007D12C4" w:rsidRPr="00396E4E" w:rsidRDefault="007D12C4" w:rsidP="00396E4E">
      <w:pPr>
        <w:pStyle w:val="ListParagraph"/>
        <w:numPr>
          <w:ilvl w:val="1"/>
          <w:numId w:val="12"/>
        </w:numPr>
        <w:spacing w:line="360" w:lineRule="auto"/>
        <w:rPr>
          <w:rFonts w:ascii="Arial" w:hAnsi="Arial" w:cs="Arial"/>
          <w:sz w:val="22"/>
          <w:szCs w:val="22"/>
        </w:rPr>
      </w:pPr>
      <w:r w:rsidRPr="00396E4E">
        <w:rPr>
          <w:rFonts w:ascii="Arial" w:hAnsi="Arial" w:cs="Arial"/>
          <w:sz w:val="22"/>
          <w:szCs w:val="22"/>
        </w:rPr>
        <w:t>Advantages and disadvantages of the GROW coaching model</w:t>
      </w:r>
      <w:r w:rsidR="00562A1B">
        <w:rPr>
          <w:rFonts w:ascii="Arial" w:hAnsi="Arial" w:cs="Arial"/>
          <w:sz w:val="22"/>
          <w:szCs w:val="22"/>
        </w:rPr>
        <w:t>……………..5</w:t>
      </w:r>
    </w:p>
    <w:p w14:paraId="57167113" w14:textId="7AB04F30" w:rsidR="007D12C4" w:rsidRPr="00396E4E" w:rsidRDefault="007D12C4" w:rsidP="00396E4E">
      <w:pPr>
        <w:pStyle w:val="ListParagraph"/>
        <w:numPr>
          <w:ilvl w:val="1"/>
          <w:numId w:val="12"/>
        </w:numPr>
        <w:spacing w:line="360" w:lineRule="auto"/>
        <w:rPr>
          <w:rFonts w:ascii="Arial" w:hAnsi="Arial" w:cs="Arial"/>
          <w:sz w:val="22"/>
          <w:szCs w:val="22"/>
        </w:rPr>
      </w:pPr>
      <w:r w:rsidRPr="00396E4E">
        <w:rPr>
          <w:rFonts w:ascii="Arial" w:hAnsi="Arial" w:cs="Arial"/>
          <w:sz w:val="22"/>
          <w:szCs w:val="22"/>
        </w:rPr>
        <w:t>Situational applications of the GROW model</w:t>
      </w:r>
      <w:r w:rsidR="00562A1B">
        <w:rPr>
          <w:rFonts w:ascii="Arial" w:hAnsi="Arial" w:cs="Arial"/>
          <w:sz w:val="22"/>
          <w:szCs w:val="22"/>
        </w:rPr>
        <w:t>…………………………………..6</w:t>
      </w:r>
    </w:p>
    <w:p w14:paraId="5DE897B4" w14:textId="64C46FE7" w:rsidR="00396E4E" w:rsidRPr="00396E4E" w:rsidRDefault="00396E4E"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Reflection on Practical 1</w:t>
      </w:r>
      <w:r w:rsidR="00562A1B">
        <w:rPr>
          <w:rFonts w:ascii="Arial" w:hAnsi="Arial" w:cs="Arial"/>
          <w:sz w:val="22"/>
          <w:szCs w:val="22"/>
        </w:rPr>
        <w:t>.………………………………………………………………….7</w:t>
      </w:r>
    </w:p>
    <w:p w14:paraId="40928F30" w14:textId="46733A89" w:rsidR="00396E4E" w:rsidRPr="00396E4E" w:rsidRDefault="00396E4E"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Reflection on Practical 2</w:t>
      </w:r>
      <w:r w:rsidR="009C0EF1">
        <w:rPr>
          <w:rFonts w:ascii="Arial" w:hAnsi="Arial" w:cs="Arial"/>
          <w:sz w:val="22"/>
          <w:szCs w:val="22"/>
        </w:rPr>
        <w:t>.………………………………………………………………….9</w:t>
      </w:r>
    </w:p>
    <w:p w14:paraId="76C12240" w14:textId="4DA7FC7B" w:rsidR="00396E4E" w:rsidRPr="00396E4E" w:rsidRDefault="00396E4E"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Conclusion</w:t>
      </w:r>
      <w:r w:rsidR="009C0EF1">
        <w:rPr>
          <w:rFonts w:ascii="Arial" w:hAnsi="Arial" w:cs="Arial"/>
          <w:sz w:val="22"/>
          <w:szCs w:val="22"/>
        </w:rPr>
        <w:t>…………………………………………………………………………………11</w:t>
      </w:r>
    </w:p>
    <w:p w14:paraId="7BDDD2F5" w14:textId="3B1361F6" w:rsidR="00396E4E" w:rsidRPr="00396E4E" w:rsidRDefault="00396E4E" w:rsidP="00396E4E">
      <w:pPr>
        <w:pStyle w:val="ListParagraph"/>
        <w:numPr>
          <w:ilvl w:val="0"/>
          <w:numId w:val="12"/>
        </w:numPr>
        <w:spacing w:line="360" w:lineRule="auto"/>
        <w:rPr>
          <w:rFonts w:ascii="Arial" w:hAnsi="Arial" w:cs="Arial"/>
          <w:b/>
          <w:bCs/>
          <w:sz w:val="22"/>
          <w:szCs w:val="22"/>
        </w:rPr>
      </w:pPr>
      <w:r w:rsidRPr="00396E4E">
        <w:rPr>
          <w:rFonts w:ascii="Arial" w:hAnsi="Arial" w:cs="Arial"/>
          <w:sz w:val="22"/>
          <w:szCs w:val="22"/>
        </w:rPr>
        <w:t>References</w:t>
      </w:r>
      <w:r w:rsidR="009C0EF1">
        <w:rPr>
          <w:rFonts w:ascii="Arial" w:hAnsi="Arial" w:cs="Arial"/>
          <w:sz w:val="22"/>
          <w:szCs w:val="22"/>
        </w:rPr>
        <w:t>.………………………………………………………………………………..1</w:t>
      </w:r>
      <w:r w:rsidR="003F5BA5">
        <w:rPr>
          <w:rFonts w:ascii="Arial" w:hAnsi="Arial" w:cs="Arial"/>
          <w:sz w:val="22"/>
          <w:szCs w:val="22"/>
        </w:rPr>
        <w:t>2</w:t>
      </w:r>
    </w:p>
    <w:p w14:paraId="004970FD" w14:textId="7BB80E16" w:rsidR="002B59E8" w:rsidRDefault="002B59E8">
      <w:pPr>
        <w:rPr>
          <w:rFonts w:ascii="Arial" w:hAnsi="Arial" w:cs="Arial"/>
          <w:b/>
          <w:bCs/>
          <w:sz w:val="22"/>
          <w:szCs w:val="22"/>
        </w:rPr>
      </w:pPr>
      <w:r>
        <w:rPr>
          <w:rFonts w:ascii="Arial" w:hAnsi="Arial" w:cs="Arial"/>
          <w:b/>
          <w:bCs/>
          <w:sz w:val="22"/>
          <w:szCs w:val="22"/>
        </w:rPr>
        <w:br w:type="page"/>
      </w:r>
    </w:p>
    <w:p w14:paraId="733349A0" w14:textId="4D973A29" w:rsidR="007A5EAA" w:rsidRPr="007A5EAA" w:rsidRDefault="007A5EAA" w:rsidP="00062A95">
      <w:pPr>
        <w:spacing w:line="360" w:lineRule="auto"/>
        <w:jc w:val="center"/>
        <w:rPr>
          <w:rFonts w:ascii="Arial" w:hAnsi="Arial" w:cs="Arial"/>
          <w:sz w:val="22"/>
          <w:szCs w:val="22"/>
        </w:rPr>
      </w:pPr>
      <w:r w:rsidRPr="007A5EAA">
        <w:rPr>
          <w:rFonts w:ascii="Arial" w:hAnsi="Arial" w:cs="Arial"/>
          <w:b/>
          <w:bCs/>
          <w:sz w:val="22"/>
          <w:szCs w:val="22"/>
        </w:rPr>
        <w:lastRenderedPageBreak/>
        <w:t>Reflective Report on Coaching and Mentoring</w:t>
      </w:r>
    </w:p>
    <w:p w14:paraId="119C82ED" w14:textId="6FBBC887" w:rsidR="007A5EAA" w:rsidRPr="005F19AD" w:rsidRDefault="007A5EAA" w:rsidP="005F19AD">
      <w:pPr>
        <w:pStyle w:val="ListParagraph"/>
        <w:numPr>
          <w:ilvl w:val="0"/>
          <w:numId w:val="3"/>
        </w:numPr>
        <w:spacing w:line="360" w:lineRule="auto"/>
        <w:jc w:val="both"/>
        <w:rPr>
          <w:rFonts w:ascii="Arial" w:hAnsi="Arial" w:cs="Arial"/>
          <w:sz w:val="22"/>
          <w:szCs w:val="22"/>
        </w:rPr>
      </w:pPr>
      <w:r w:rsidRPr="005F19AD">
        <w:rPr>
          <w:rFonts w:ascii="Arial" w:hAnsi="Arial" w:cs="Arial"/>
          <w:b/>
          <w:bCs/>
          <w:sz w:val="22"/>
          <w:szCs w:val="22"/>
        </w:rPr>
        <w:t>Introduction</w:t>
      </w:r>
    </w:p>
    <w:p w14:paraId="3C57850E" w14:textId="1488BF03" w:rsidR="007A5EAA" w:rsidRPr="007A5EAA" w:rsidRDefault="007A5EAA" w:rsidP="007A5EAA">
      <w:pPr>
        <w:spacing w:line="360" w:lineRule="auto"/>
        <w:jc w:val="both"/>
        <w:rPr>
          <w:rFonts w:ascii="Arial" w:hAnsi="Arial" w:cs="Arial"/>
          <w:sz w:val="22"/>
          <w:szCs w:val="22"/>
        </w:rPr>
      </w:pPr>
      <w:r w:rsidRPr="007A5EAA">
        <w:rPr>
          <w:rFonts w:ascii="Arial" w:hAnsi="Arial" w:cs="Arial"/>
          <w:sz w:val="22"/>
          <w:szCs w:val="22"/>
        </w:rPr>
        <w:t>This report provides a reflective analysis of my coaching and mentoring experiences, examining their application in a workplace setting. It will discuss the theoretical foundations of coaching and mentoring, comparing and contrasting their functions. The report adopts a reflective approach, utilizing Gibb's Reflective Cycle (Gibbs, 1988) to analy</w:t>
      </w:r>
      <w:r w:rsidR="005F19AD">
        <w:rPr>
          <w:rFonts w:ascii="Arial" w:hAnsi="Arial" w:cs="Arial"/>
          <w:sz w:val="22"/>
          <w:szCs w:val="22"/>
        </w:rPr>
        <w:t>s</w:t>
      </w:r>
      <w:r w:rsidRPr="007A5EAA">
        <w:rPr>
          <w:rFonts w:ascii="Arial" w:hAnsi="Arial" w:cs="Arial"/>
          <w:sz w:val="22"/>
          <w:szCs w:val="22"/>
        </w:rPr>
        <w:t>e my experiences.</w:t>
      </w:r>
    </w:p>
    <w:p w14:paraId="04984474" w14:textId="1E6E8F7B" w:rsidR="007A5EAA" w:rsidRPr="007A5EAA" w:rsidRDefault="007A5EAA" w:rsidP="007A5EAA">
      <w:pPr>
        <w:spacing w:line="360" w:lineRule="auto"/>
        <w:jc w:val="both"/>
        <w:rPr>
          <w:rFonts w:ascii="Arial" w:hAnsi="Arial" w:cs="Arial"/>
          <w:sz w:val="22"/>
          <w:szCs w:val="22"/>
        </w:rPr>
      </w:pPr>
      <w:r w:rsidRPr="007A5EAA">
        <w:rPr>
          <w:rFonts w:ascii="Arial" w:hAnsi="Arial" w:cs="Arial"/>
          <w:sz w:val="22"/>
          <w:szCs w:val="22"/>
        </w:rPr>
        <w:t>Coaching is defined as a process that supports individuals in achieving specific professional or personal goals through structured conversations and guidance (</w:t>
      </w:r>
      <w:r w:rsidR="00EC1B8F" w:rsidRPr="00EC1B8F">
        <w:rPr>
          <w:rFonts w:ascii="Arial" w:hAnsi="Arial" w:cs="Arial"/>
          <w:sz w:val="22"/>
          <w:szCs w:val="22"/>
        </w:rPr>
        <w:t>Whitmore</w:t>
      </w:r>
      <w:r w:rsidR="00EC1B8F">
        <w:rPr>
          <w:rFonts w:ascii="Arial" w:hAnsi="Arial" w:cs="Arial"/>
          <w:sz w:val="22"/>
          <w:szCs w:val="22"/>
        </w:rPr>
        <w:t xml:space="preserve"> </w:t>
      </w:r>
      <w:r w:rsidR="00EC1B8F" w:rsidRPr="00EC1B8F">
        <w:rPr>
          <w:rFonts w:ascii="Arial" w:hAnsi="Arial" w:cs="Arial"/>
          <w:sz w:val="22"/>
          <w:szCs w:val="22"/>
        </w:rPr>
        <w:t>and McFarlane, 2019</w:t>
      </w:r>
      <w:r w:rsidRPr="007A5EAA">
        <w:rPr>
          <w:rFonts w:ascii="Arial" w:hAnsi="Arial" w:cs="Arial"/>
          <w:sz w:val="22"/>
          <w:szCs w:val="22"/>
        </w:rPr>
        <w:t>). Mentoring, by contrast, involves a longer-term developmental relationship where a more experienced individual provides guidance and knowledge to a less experienced person (</w:t>
      </w:r>
      <w:proofErr w:type="spellStart"/>
      <w:r w:rsidR="004B250C" w:rsidRPr="004B250C">
        <w:rPr>
          <w:rFonts w:ascii="Arial" w:hAnsi="Arial" w:cs="Arial"/>
          <w:sz w:val="22"/>
          <w:szCs w:val="22"/>
        </w:rPr>
        <w:t>Aihevba</w:t>
      </w:r>
      <w:proofErr w:type="spellEnd"/>
      <w:r w:rsidR="004B250C" w:rsidRPr="004B250C">
        <w:rPr>
          <w:rFonts w:ascii="Arial" w:hAnsi="Arial" w:cs="Arial"/>
          <w:sz w:val="22"/>
          <w:szCs w:val="22"/>
        </w:rPr>
        <w:t>,</w:t>
      </w:r>
      <w:r w:rsidR="002B0F42">
        <w:rPr>
          <w:rFonts w:ascii="Arial" w:hAnsi="Arial" w:cs="Arial"/>
          <w:sz w:val="22"/>
          <w:szCs w:val="22"/>
        </w:rPr>
        <w:t xml:space="preserve"> </w:t>
      </w:r>
      <w:r w:rsidR="004B250C" w:rsidRPr="004B250C">
        <w:rPr>
          <w:rFonts w:ascii="Arial" w:hAnsi="Arial" w:cs="Arial"/>
          <w:sz w:val="22"/>
          <w:szCs w:val="22"/>
        </w:rPr>
        <w:t>2022</w:t>
      </w:r>
      <w:r w:rsidRPr="007A5EAA">
        <w:rPr>
          <w:rFonts w:ascii="Arial" w:hAnsi="Arial" w:cs="Arial"/>
          <w:sz w:val="22"/>
          <w:szCs w:val="22"/>
        </w:rPr>
        <w:t>). While coaching is often goal-oriented and performance-driven, mentoring focuses on overall career and personal development. Key attributes of an effective coach include active listening, empathy, goal-setting ability, and effective questioning techniques (</w:t>
      </w:r>
      <w:r w:rsidR="00F322D9" w:rsidRPr="00F322D9">
        <w:rPr>
          <w:rFonts w:ascii="Arial" w:hAnsi="Arial" w:cs="Arial"/>
          <w:sz w:val="22"/>
          <w:szCs w:val="22"/>
        </w:rPr>
        <w:t>Rogers, 2024</w:t>
      </w:r>
      <w:r w:rsidRPr="007A5EAA">
        <w:rPr>
          <w:rFonts w:ascii="Arial" w:hAnsi="Arial" w:cs="Arial"/>
          <w:sz w:val="22"/>
          <w:szCs w:val="22"/>
        </w:rPr>
        <w:t xml:space="preserve">). This report will incorporate theories such as GROW (Whitmore, 2017) and </w:t>
      </w:r>
      <w:r w:rsidR="009C1220" w:rsidRPr="00CF2122">
        <w:rPr>
          <w:rFonts w:ascii="Arial" w:hAnsi="Arial" w:cs="Arial"/>
          <w:sz w:val="22"/>
          <w:szCs w:val="22"/>
        </w:rPr>
        <w:t>Johari Window model</w:t>
      </w:r>
      <w:r w:rsidR="00CF2122" w:rsidRPr="00CF2122">
        <w:rPr>
          <w:rFonts w:ascii="Arial" w:hAnsi="Arial" w:cs="Arial"/>
          <w:sz w:val="22"/>
          <w:szCs w:val="22"/>
        </w:rPr>
        <w:t xml:space="preserve"> (Luft and Ingham, 19</w:t>
      </w:r>
      <w:r w:rsidR="00E67E4F">
        <w:rPr>
          <w:rFonts w:ascii="Arial" w:hAnsi="Arial" w:cs="Arial"/>
          <w:sz w:val="22"/>
          <w:szCs w:val="22"/>
        </w:rPr>
        <w:t>55</w:t>
      </w:r>
      <w:r w:rsidR="00CF2122" w:rsidRPr="00CF2122">
        <w:rPr>
          <w:rFonts w:ascii="Arial" w:hAnsi="Arial" w:cs="Arial"/>
          <w:sz w:val="22"/>
          <w:szCs w:val="22"/>
        </w:rPr>
        <w:t>)</w:t>
      </w:r>
      <w:r w:rsidRPr="00CF2122">
        <w:rPr>
          <w:rFonts w:ascii="Arial" w:hAnsi="Arial" w:cs="Arial"/>
          <w:sz w:val="22"/>
          <w:szCs w:val="22"/>
        </w:rPr>
        <w:t xml:space="preserve"> </w:t>
      </w:r>
      <w:r w:rsidRPr="007A5EAA">
        <w:rPr>
          <w:rFonts w:ascii="Arial" w:hAnsi="Arial" w:cs="Arial"/>
          <w:sz w:val="22"/>
          <w:szCs w:val="22"/>
        </w:rPr>
        <w:t>to analy</w:t>
      </w:r>
      <w:r w:rsidR="00441962">
        <w:rPr>
          <w:rFonts w:ascii="Arial" w:hAnsi="Arial" w:cs="Arial"/>
          <w:sz w:val="22"/>
          <w:szCs w:val="22"/>
        </w:rPr>
        <w:t>s</w:t>
      </w:r>
      <w:r w:rsidRPr="007A5EAA">
        <w:rPr>
          <w:rFonts w:ascii="Arial" w:hAnsi="Arial" w:cs="Arial"/>
          <w:sz w:val="22"/>
          <w:szCs w:val="22"/>
        </w:rPr>
        <w:t>e the effectiveness of coaching and mentoring.</w:t>
      </w:r>
    </w:p>
    <w:p w14:paraId="602141A8" w14:textId="00E4BB19" w:rsidR="007A5EAA" w:rsidRPr="007A5EAA" w:rsidRDefault="007A5EAA" w:rsidP="007A5EAA">
      <w:pPr>
        <w:spacing w:line="360" w:lineRule="auto"/>
        <w:jc w:val="both"/>
        <w:rPr>
          <w:rFonts w:ascii="Arial" w:hAnsi="Arial" w:cs="Arial"/>
          <w:sz w:val="22"/>
          <w:szCs w:val="22"/>
        </w:rPr>
      </w:pPr>
    </w:p>
    <w:p w14:paraId="4D59DB52" w14:textId="64D0B9FE" w:rsidR="007A5EAA" w:rsidRPr="00075368" w:rsidRDefault="007A5EAA" w:rsidP="00804084">
      <w:pPr>
        <w:pStyle w:val="ListParagraph"/>
        <w:numPr>
          <w:ilvl w:val="0"/>
          <w:numId w:val="3"/>
        </w:numPr>
        <w:spacing w:line="360" w:lineRule="auto"/>
        <w:jc w:val="both"/>
        <w:rPr>
          <w:rFonts w:ascii="Arial" w:hAnsi="Arial" w:cs="Arial"/>
          <w:sz w:val="22"/>
          <w:szCs w:val="22"/>
        </w:rPr>
      </w:pPr>
      <w:r w:rsidRPr="00804084">
        <w:rPr>
          <w:rFonts w:ascii="Arial" w:hAnsi="Arial" w:cs="Arial"/>
          <w:b/>
          <w:bCs/>
          <w:sz w:val="22"/>
          <w:szCs w:val="22"/>
        </w:rPr>
        <w:t>C</w:t>
      </w:r>
      <w:r w:rsidR="00804084" w:rsidRPr="00804084">
        <w:rPr>
          <w:rFonts w:ascii="Arial" w:hAnsi="Arial" w:cs="Arial"/>
          <w:b/>
          <w:bCs/>
          <w:sz w:val="22"/>
          <w:szCs w:val="22"/>
        </w:rPr>
        <w:t xml:space="preserve">ritical evaluation of the </w:t>
      </w:r>
      <w:r w:rsidR="00804084">
        <w:rPr>
          <w:rFonts w:ascii="Arial" w:hAnsi="Arial" w:cs="Arial"/>
          <w:b/>
          <w:bCs/>
          <w:sz w:val="22"/>
          <w:szCs w:val="22"/>
        </w:rPr>
        <w:t>p</w:t>
      </w:r>
      <w:r w:rsidR="00804084" w:rsidRPr="00804084">
        <w:rPr>
          <w:rFonts w:ascii="Arial" w:hAnsi="Arial" w:cs="Arial"/>
          <w:b/>
          <w:bCs/>
          <w:sz w:val="22"/>
          <w:szCs w:val="22"/>
        </w:rPr>
        <w:t xml:space="preserve">urpose of </w:t>
      </w:r>
      <w:r w:rsidR="00804084">
        <w:rPr>
          <w:rFonts w:ascii="Arial" w:hAnsi="Arial" w:cs="Arial"/>
          <w:b/>
          <w:bCs/>
          <w:sz w:val="22"/>
          <w:szCs w:val="22"/>
        </w:rPr>
        <w:t>c</w:t>
      </w:r>
      <w:r w:rsidR="00804084" w:rsidRPr="00804084">
        <w:rPr>
          <w:rFonts w:ascii="Arial" w:hAnsi="Arial" w:cs="Arial"/>
          <w:b/>
          <w:bCs/>
          <w:sz w:val="22"/>
          <w:szCs w:val="22"/>
        </w:rPr>
        <w:t>oaching and mentoring within a workplace</w:t>
      </w:r>
    </w:p>
    <w:p w14:paraId="0C6EC1B3" w14:textId="355E8F0A" w:rsidR="001F2763" w:rsidRPr="001F2763" w:rsidRDefault="001F2763" w:rsidP="001F2763">
      <w:pPr>
        <w:spacing w:line="360" w:lineRule="auto"/>
        <w:jc w:val="both"/>
        <w:rPr>
          <w:rFonts w:ascii="Arial" w:hAnsi="Arial" w:cs="Arial"/>
          <w:sz w:val="22"/>
          <w:szCs w:val="22"/>
        </w:rPr>
      </w:pPr>
      <w:r w:rsidRPr="001F2763">
        <w:rPr>
          <w:rFonts w:ascii="Arial" w:hAnsi="Arial" w:cs="Arial"/>
          <w:sz w:val="22"/>
          <w:szCs w:val="22"/>
        </w:rPr>
        <w:t>Coaching and mentoring serve various purposes in the workplace, including leadership development, performance enhancement, and employee engagement (Garvey and Stokes, 2021). Coaching is frequently employed to facilitate professional growth by improving competencies and overcoming performance challenges (</w:t>
      </w:r>
      <w:proofErr w:type="spellStart"/>
      <w:r w:rsidRPr="001F2763">
        <w:rPr>
          <w:rFonts w:ascii="Arial" w:hAnsi="Arial" w:cs="Arial"/>
          <w:sz w:val="22"/>
          <w:szCs w:val="22"/>
        </w:rPr>
        <w:t>Parsloe</w:t>
      </w:r>
      <w:proofErr w:type="spellEnd"/>
      <w:r w:rsidRPr="001F2763">
        <w:rPr>
          <w:rFonts w:ascii="Arial" w:hAnsi="Arial" w:cs="Arial"/>
          <w:sz w:val="22"/>
          <w:szCs w:val="22"/>
        </w:rPr>
        <w:t xml:space="preserve"> and Leedham, 2016). Mentoring, on the other hand, is often used to support career progression, knowledge transfer, and organizational culture adaptation (Nuel, </w:t>
      </w:r>
      <w:proofErr w:type="spellStart"/>
      <w:r w:rsidRPr="001F2763">
        <w:rPr>
          <w:rFonts w:ascii="Arial" w:hAnsi="Arial" w:cs="Arial"/>
          <w:sz w:val="22"/>
          <w:szCs w:val="22"/>
        </w:rPr>
        <w:t>Nwakoby</w:t>
      </w:r>
      <w:proofErr w:type="spellEnd"/>
      <w:r w:rsidRPr="001F2763">
        <w:rPr>
          <w:rFonts w:ascii="Arial" w:hAnsi="Arial" w:cs="Arial"/>
          <w:sz w:val="22"/>
          <w:szCs w:val="22"/>
        </w:rPr>
        <w:t>, and Ifechi, 2021). Both approaches contribute to personal and professional development, creating a supportive work environment that fosters continuous learning and growth.</w:t>
      </w:r>
    </w:p>
    <w:p w14:paraId="5A9C1703" w14:textId="2B95ACFD" w:rsidR="001F2763" w:rsidRDefault="001F2763" w:rsidP="001F2763">
      <w:pPr>
        <w:spacing w:line="360" w:lineRule="auto"/>
        <w:jc w:val="both"/>
        <w:rPr>
          <w:rFonts w:ascii="Arial" w:hAnsi="Arial" w:cs="Arial"/>
          <w:sz w:val="22"/>
          <w:szCs w:val="22"/>
        </w:rPr>
      </w:pPr>
      <w:r w:rsidRPr="004761D8">
        <w:rPr>
          <w:rFonts w:ascii="Arial" w:hAnsi="Arial" w:cs="Arial"/>
          <w:color w:val="000000" w:themeColor="text1"/>
          <w:sz w:val="22"/>
          <w:szCs w:val="22"/>
        </w:rPr>
        <w:t xml:space="preserve">One key difference between coaching </w:t>
      </w:r>
      <w:r w:rsidRPr="001F2763">
        <w:rPr>
          <w:rFonts w:ascii="Arial" w:hAnsi="Arial" w:cs="Arial"/>
          <w:sz w:val="22"/>
          <w:szCs w:val="22"/>
        </w:rPr>
        <w:t xml:space="preserve">and mentoring is their time frame. Coaching tends to be short-term and goal-specific, often focusing on immediate performance improvement or skill acquisition (Garvey, Stokes, and Megginson, 2021). In contrast, mentoring typically involves a longer-term relationship, where an experienced professional guides a less experienced employee through career progression and personal development. Additionally, coaching is usually structured, with formal sessions aimed at achieving specific outcomes, whereas mentoring may be more informal and relational, allowing for organic learning opportunities (Hawkins, 2021). The structured nature of coaching means that it is frequently </w:t>
      </w:r>
      <w:r w:rsidRPr="001F2763">
        <w:rPr>
          <w:rFonts w:ascii="Arial" w:hAnsi="Arial" w:cs="Arial"/>
          <w:sz w:val="22"/>
          <w:szCs w:val="22"/>
        </w:rPr>
        <w:lastRenderedPageBreak/>
        <w:t>used for specific skills training, while mentoring helps employees navigate career challenges and organizational expectations.</w:t>
      </w:r>
    </w:p>
    <w:p w14:paraId="57B77F0A" w14:textId="69425944" w:rsidR="00AA4F0C" w:rsidRDefault="00AA4F0C" w:rsidP="00AA4F0C">
      <w:pPr>
        <w:spacing w:line="360" w:lineRule="auto"/>
        <w:jc w:val="center"/>
        <w:rPr>
          <w:rFonts w:ascii="Arial" w:hAnsi="Arial" w:cs="Arial"/>
          <w:sz w:val="22"/>
          <w:szCs w:val="22"/>
        </w:rPr>
      </w:pPr>
      <w:r w:rsidRPr="00AA4F0C">
        <w:rPr>
          <w:rFonts w:ascii="Arial" w:hAnsi="Arial" w:cs="Arial"/>
          <w:noProof/>
          <w:sz w:val="22"/>
          <w:szCs w:val="22"/>
        </w:rPr>
        <w:drawing>
          <wp:inline distT="0" distB="0" distL="0" distR="0" wp14:anchorId="16291916" wp14:editId="0A977A1D">
            <wp:extent cx="5380990" cy="3048000"/>
            <wp:effectExtent l="19050" t="19050" r="10160" b="19050"/>
            <wp:docPr id="168560725" name="Picture 1" descr="Coaching vs Mentoring: Differences, Benefits &amp; Opport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aching vs Mentoring: Differences, Benefits &amp; Opportunities"/>
                    <pic:cNvPicPr>
                      <a:picLocks noChangeAspect="1" noChangeArrowheads="1"/>
                    </pic:cNvPicPr>
                  </pic:nvPicPr>
                  <pic:blipFill>
                    <a:blip r:embed="rId9">
                      <a:duotone>
                        <a:schemeClr val="accent4">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380990" cy="3048000"/>
                    </a:xfrm>
                    <a:prstGeom prst="rect">
                      <a:avLst/>
                    </a:prstGeom>
                    <a:noFill/>
                    <a:ln>
                      <a:solidFill>
                        <a:schemeClr val="accent1"/>
                      </a:solidFill>
                    </a:ln>
                  </pic:spPr>
                </pic:pic>
              </a:graphicData>
            </a:graphic>
          </wp:inline>
        </w:drawing>
      </w:r>
    </w:p>
    <w:p w14:paraId="5B5C2927" w14:textId="2395020B" w:rsidR="00AA4F0C" w:rsidRPr="001F2763" w:rsidRDefault="00543B4C" w:rsidP="00AA4F0C">
      <w:pPr>
        <w:spacing w:line="360" w:lineRule="auto"/>
        <w:jc w:val="center"/>
        <w:rPr>
          <w:rFonts w:ascii="Arial" w:hAnsi="Arial" w:cs="Arial"/>
          <w:sz w:val="22"/>
          <w:szCs w:val="22"/>
        </w:rPr>
      </w:pPr>
      <w:r>
        <w:rPr>
          <w:rFonts w:ascii="Arial" w:hAnsi="Arial" w:cs="Arial"/>
          <w:sz w:val="22"/>
          <w:szCs w:val="22"/>
        </w:rPr>
        <w:t>(Source: Human focus, 2024)</w:t>
      </w:r>
    </w:p>
    <w:p w14:paraId="73B37D2C" w14:textId="1CA7F221" w:rsidR="001F2763" w:rsidRPr="001F2763" w:rsidRDefault="001F2763" w:rsidP="001F2763">
      <w:pPr>
        <w:spacing w:line="360" w:lineRule="auto"/>
        <w:jc w:val="both"/>
        <w:rPr>
          <w:rFonts w:ascii="Arial" w:hAnsi="Arial" w:cs="Arial"/>
          <w:sz w:val="22"/>
          <w:szCs w:val="22"/>
        </w:rPr>
      </w:pPr>
      <w:r w:rsidRPr="004B3882">
        <w:rPr>
          <w:rFonts w:ascii="Arial" w:hAnsi="Arial" w:cs="Arial"/>
          <w:sz w:val="22"/>
          <w:szCs w:val="22"/>
        </w:rPr>
        <w:t xml:space="preserve">Research suggests </w:t>
      </w:r>
      <w:r w:rsidRPr="001F2763">
        <w:rPr>
          <w:rFonts w:ascii="Arial" w:hAnsi="Arial" w:cs="Arial"/>
          <w:sz w:val="22"/>
          <w:szCs w:val="22"/>
        </w:rPr>
        <w:t xml:space="preserve">that </w:t>
      </w:r>
      <w:r w:rsidR="00C92124">
        <w:rPr>
          <w:rFonts w:ascii="Arial" w:hAnsi="Arial" w:cs="Arial"/>
          <w:sz w:val="22"/>
          <w:szCs w:val="22"/>
        </w:rPr>
        <w:t>organisations</w:t>
      </w:r>
      <w:r w:rsidRPr="001F2763">
        <w:rPr>
          <w:rFonts w:ascii="Arial" w:hAnsi="Arial" w:cs="Arial"/>
          <w:sz w:val="22"/>
          <w:szCs w:val="22"/>
        </w:rPr>
        <w:t xml:space="preserve"> implementing coaching programs experience improved employee performance and job satisfaction (Ribeiro et al., 2021). Employees who receive coaching are more likely to develop critical thinking skills, adaptability, and resilience, which are essential in today’s dynamic business environment. Coaching also helps employees set clear goals, receive constructive feedback, and develop the necessary skills to achieve their professional objectives. Similarly, mentoring contributes to retention and leadership development by creating a sense of belonging and investment in the organi</w:t>
      </w:r>
      <w:r w:rsidR="002D6B56">
        <w:rPr>
          <w:rFonts w:ascii="Arial" w:hAnsi="Arial" w:cs="Arial"/>
          <w:sz w:val="22"/>
          <w:szCs w:val="22"/>
        </w:rPr>
        <w:t>s</w:t>
      </w:r>
      <w:r w:rsidRPr="001F2763">
        <w:rPr>
          <w:rFonts w:ascii="Arial" w:hAnsi="Arial" w:cs="Arial"/>
          <w:sz w:val="22"/>
          <w:szCs w:val="22"/>
        </w:rPr>
        <w:t>ation's long-term goals (Voss et al., 2022). Employees who receive mentorship are more likely to stay with an organization, reducing turnover rates and fostering a strong leadership pipeline.</w:t>
      </w:r>
    </w:p>
    <w:p w14:paraId="76579302" w14:textId="42315C05" w:rsidR="001F2763" w:rsidRPr="001F2763" w:rsidRDefault="001F2763" w:rsidP="001F2763">
      <w:pPr>
        <w:spacing w:line="360" w:lineRule="auto"/>
        <w:jc w:val="both"/>
        <w:rPr>
          <w:rFonts w:ascii="Arial" w:hAnsi="Arial" w:cs="Arial"/>
          <w:sz w:val="22"/>
          <w:szCs w:val="22"/>
        </w:rPr>
      </w:pPr>
      <w:r w:rsidRPr="001F2763">
        <w:rPr>
          <w:rFonts w:ascii="Arial" w:hAnsi="Arial" w:cs="Arial"/>
          <w:sz w:val="22"/>
          <w:szCs w:val="22"/>
        </w:rPr>
        <w:t>While coaching and mentoring both contribute to professional growth, they also present challenges. Coaching requires a skilled facilitator to ensure effective questioning and feedback delivery (Passmore, 2021). A coach must possess strong communication skills, emotional intelligence, and the ability to challenge employees while providing support. Without these skills, coaching may not be as effective in achieving desired outcomes. Mentoring, meanwhile, demands strong relational skills and time commitment from mentors (Deng and Turner, 2024). A successful mentoring relationship relies on trust, mutual respect, and a willingness to invest time in the mentee’s development. Finding suitable mentors within an organi</w:t>
      </w:r>
      <w:r w:rsidR="007B1BF8">
        <w:rPr>
          <w:rFonts w:ascii="Arial" w:hAnsi="Arial" w:cs="Arial"/>
          <w:sz w:val="22"/>
          <w:szCs w:val="22"/>
        </w:rPr>
        <w:t>s</w:t>
      </w:r>
      <w:r w:rsidRPr="001F2763">
        <w:rPr>
          <w:rFonts w:ascii="Arial" w:hAnsi="Arial" w:cs="Arial"/>
          <w:sz w:val="22"/>
          <w:szCs w:val="22"/>
        </w:rPr>
        <w:t>ation can be challenging, particularly in fast-paced work environments where senior employees have limited time to commit to mentorship.</w:t>
      </w:r>
    </w:p>
    <w:p w14:paraId="18AFB129" w14:textId="31F239A0" w:rsidR="001F2763" w:rsidRPr="001F2763" w:rsidRDefault="001F2763" w:rsidP="004B3882">
      <w:pPr>
        <w:spacing w:line="360" w:lineRule="auto"/>
        <w:jc w:val="both"/>
        <w:rPr>
          <w:rFonts w:ascii="Arial" w:hAnsi="Arial" w:cs="Arial"/>
          <w:sz w:val="22"/>
          <w:szCs w:val="22"/>
        </w:rPr>
      </w:pPr>
      <w:r w:rsidRPr="001F2763">
        <w:rPr>
          <w:rFonts w:ascii="Arial" w:hAnsi="Arial" w:cs="Arial"/>
          <w:sz w:val="22"/>
          <w:szCs w:val="22"/>
        </w:rPr>
        <w:lastRenderedPageBreak/>
        <w:t>Despite these challenges, both coaching and mentoring play an essential role in fostering a learning culture within organi</w:t>
      </w:r>
      <w:r w:rsidR="007B1BF8">
        <w:rPr>
          <w:rFonts w:ascii="Arial" w:hAnsi="Arial" w:cs="Arial"/>
          <w:sz w:val="22"/>
          <w:szCs w:val="22"/>
        </w:rPr>
        <w:t>s</w:t>
      </w:r>
      <w:r w:rsidRPr="001F2763">
        <w:rPr>
          <w:rFonts w:ascii="Arial" w:hAnsi="Arial" w:cs="Arial"/>
          <w:sz w:val="22"/>
          <w:szCs w:val="22"/>
        </w:rPr>
        <w:t>ations</w:t>
      </w:r>
      <w:r w:rsidR="004B3882">
        <w:rPr>
          <w:rFonts w:ascii="Arial" w:hAnsi="Arial" w:cs="Arial"/>
          <w:sz w:val="22"/>
          <w:szCs w:val="22"/>
        </w:rPr>
        <w:t xml:space="preserve"> (</w:t>
      </w:r>
      <w:r w:rsidR="004B3882" w:rsidRPr="004B3882">
        <w:rPr>
          <w:rFonts w:ascii="Arial" w:hAnsi="Arial" w:cs="Arial"/>
          <w:sz w:val="22"/>
          <w:szCs w:val="22"/>
        </w:rPr>
        <w:t>Ellinger</w:t>
      </w:r>
      <w:r w:rsidR="004B3882">
        <w:rPr>
          <w:rFonts w:ascii="Arial" w:hAnsi="Arial" w:cs="Arial"/>
          <w:sz w:val="22"/>
          <w:szCs w:val="22"/>
        </w:rPr>
        <w:t xml:space="preserve"> </w:t>
      </w:r>
      <w:r w:rsidR="004B3882" w:rsidRPr="004B3882">
        <w:rPr>
          <w:rFonts w:ascii="Arial" w:hAnsi="Arial" w:cs="Arial"/>
          <w:sz w:val="22"/>
          <w:szCs w:val="22"/>
        </w:rPr>
        <w:t>and Ellinger,</w:t>
      </w:r>
      <w:r w:rsidR="004B3882">
        <w:rPr>
          <w:rFonts w:ascii="Arial" w:hAnsi="Arial" w:cs="Arial"/>
          <w:sz w:val="22"/>
          <w:szCs w:val="22"/>
        </w:rPr>
        <w:t xml:space="preserve"> </w:t>
      </w:r>
      <w:r w:rsidR="004B3882" w:rsidRPr="004B3882">
        <w:rPr>
          <w:rFonts w:ascii="Arial" w:hAnsi="Arial" w:cs="Arial"/>
          <w:sz w:val="22"/>
          <w:szCs w:val="22"/>
        </w:rPr>
        <w:t>2021)</w:t>
      </w:r>
      <w:r w:rsidRPr="001F2763">
        <w:rPr>
          <w:rFonts w:ascii="Arial" w:hAnsi="Arial" w:cs="Arial"/>
          <w:sz w:val="22"/>
          <w:szCs w:val="22"/>
        </w:rPr>
        <w:t>.</w:t>
      </w:r>
      <w:r w:rsidR="004B3882">
        <w:rPr>
          <w:rFonts w:ascii="Arial" w:hAnsi="Arial" w:cs="Arial"/>
          <w:sz w:val="22"/>
          <w:szCs w:val="22"/>
        </w:rPr>
        <w:t xml:space="preserve"> </w:t>
      </w:r>
      <w:r w:rsidRPr="001F2763">
        <w:rPr>
          <w:rFonts w:ascii="Arial" w:hAnsi="Arial" w:cs="Arial"/>
          <w:sz w:val="22"/>
          <w:szCs w:val="22"/>
        </w:rPr>
        <w:t xml:space="preserve">By integrating these practices into their development strategies, businesses can enhance employee engagement, improve performance, and cultivate a leadership pipeline that ensures long-term success. When effectively implemented, coaching and mentoring contribute to a positive workplace culture that </w:t>
      </w:r>
      <w:r w:rsidR="003C7739" w:rsidRPr="001F2763">
        <w:rPr>
          <w:rFonts w:ascii="Arial" w:hAnsi="Arial" w:cs="Arial"/>
          <w:sz w:val="22"/>
          <w:szCs w:val="22"/>
        </w:rPr>
        <w:t>prioriti</w:t>
      </w:r>
      <w:r w:rsidR="003C7739">
        <w:rPr>
          <w:rFonts w:ascii="Arial" w:hAnsi="Arial" w:cs="Arial"/>
          <w:sz w:val="22"/>
          <w:szCs w:val="22"/>
        </w:rPr>
        <w:t>s</w:t>
      </w:r>
      <w:r w:rsidR="003C7739" w:rsidRPr="001F2763">
        <w:rPr>
          <w:rFonts w:ascii="Arial" w:hAnsi="Arial" w:cs="Arial"/>
          <w:sz w:val="22"/>
          <w:szCs w:val="22"/>
        </w:rPr>
        <w:t>es</w:t>
      </w:r>
      <w:r w:rsidRPr="001F2763">
        <w:rPr>
          <w:rFonts w:ascii="Arial" w:hAnsi="Arial" w:cs="Arial"/>
          <w:sz w:val="22"/>
          <w:szCs w:val="22"/>
        </w:rPr>
        <w:t xml:space="preserve"> growth, collaboration, and continuous learning, ultimately leading to a more motivated and capable workforce.</w:t>
      </w:r>
    </w:p>
    <w:p w14:paraId="6916D539" w14:textId="77777777" w:rsidR="00075368" w:rsidRPr="00075368" w:rsidRDefault="00075368" w:rsidP="00075368">
      <w:pPr>
        <w:spacing w:line="360" w:lineRule="auto"/>
        <w:jc w:val="both"/>
        <w:rPr>
          <w:rFonts w:ascii="Arial" w:hAnsi="Arial" w:cs="Arial"/>
          <w:sz w:val="22"/>
          <w:szCs w:val="22"/>
        </w:rPr>
      </w:pPr>
    </w:p>
    <w:p w14:paraId="1B61A852" w14:textId="2861ED68" w:rsidR="007A5EAA" w:rsidRPr="002263B4" w:rsidRDefault="007A5EAA" w:rsidP="00E24D6D">
      <w:pPr>
        <w:pStyle w:val="ListParagraph"/>
        <w:numPr>
          <w:ilvl w:val="0"/>
          <w:numId w:val="3"/>
        </w:numPr>
        <w:spacing w:line="360" w:lineRule="auto"/>
        <w:jc w:val="both"/>
        <w:rPr>
          <w:rFonts w:ascii="Arial" w:hAnsi="Arial" w:cs="Arial"/>
          <w:sz w:val="22"/>
          <w:szCs w:val="22"/>
        </w:rPr>
      </w:pPr>
      <w:r w:rsidRPr="00E24D6D">
        <w:rPr>
          <w:rFonts w:ascii="Arial" w:hAnsi="Arial" w:cs="Arial"/>
          <w:b/>
          <w:bCs/>
          <w:sz w:val="22"/>
          <w:szCs w:val="22"/>
        </w:rPr>
        <w:t xml:space="preserve">Critical </w:t>
      </w:r>
      <w:r w:rsidR="00E24D6D">
        <w:rPr>
          <w:rFonts w:ascii="Arial" w:hAnsi="Arial" w:cs="Arial"/>
          <w:b/>
          <w:bCs/>
          <w:sz w:val="22"/>
          <w:szCs w:val="22"/>
        </w:rPr>
        <w:t>a</w:t>
      </w:r>
      <w:r w:rsidRPr="00E24D6D">
        <w:rPr>
          <w:rFonts w:ascii="Arial" w:hAnsi="Arial" w:cs="Arial"/>
          <w:b/>
          <w:bCs/>
          <w:sz w:val="22"/>
          <w:szCs w:val="22"/>
        </w:rPr>
        <w:t xml:space="preserve">nalysis of </w:t>
      </w:r>
      <w:r w:rsidR="00F619D8">
        <w:rPr>
          <w:rFonts w:ascii="Arial" w:hAnsi="Arial" w:cs="Arial"/>
          <w:b/>
          <w:bCs/>
          <w:sz w:val="22"/>
          <w:szCs w:val="22"/>
        </w:rPr>
        <w:t xml:space="preserve">the </w:t>
      </w:r>
      <w:r w:rsidR="002263B4">
        <w:rPr>
          <w:rFonts w:ascii="Arial" w:hAnsi="Arial" w:cs="Arial"/>
          <w:b/>
          <w:bCs/>
          <w:sz w:val="22"/>
          <w:szCs w:val="22"/>
        </w:rPr>
        <w:t xml:space="preserve">GROW </w:t>
      </w:r>
      <w:r w:rsidR="00E24D6D">
        <w:rPr>
          <w:rFonts w:ascii="Arial" w:hAnsi="Arial" w:cs="Arial"/>
          <w:b/>
          <w:bCs/>
          <w:sz w:val="22"/>
          <w:szCs w:val="22"/>
        </w:rPr>
        <w:t>c</w:t>
      </w:r>
      <w:r w:rsidRPr="00E24D6D">
        <w:rPr>
          <w:rFonts w:ascii="Arial" w:hAnsi="Arial" w:cs="Arial"/>
          <w:b/>
          <w:bCs/>
          <w:sz w:val="22"/>
          <w:szCs w:val="22"/>
        </w:rPr>
        <w:t>oaching</w:t>
      </w:r>
      <w:r w:rsidR="002263B4">
        <w:rPr>
          <w:rFonts w:ascii="Arial" w:hAnsi="Arial" w:cs="Arial"/>
          <w:b/>
          <w:bCs/>
          <w:sz w:val="22"/>
          <w:szCs w:val="22"/>
        </w:rPr>
        <w:t xml:space="preserve"> model</w:t>
      </w:r>
    </w:p>
    <w:p w14:paraId="697DCF02" w14:textId="745C801F" w:rsidR="002263B4" w:rsidRDefault="002263B4" w:rsidP="002263B4">
      <w:pPr>
        <w:spacing w:line="360" w:lineRule="auto"/>
        <w:jc w:val="both"/>
        <w:rPr>
          <w:rFonts w:ascii="Arial" w:hAnsi="Arial" w:cs="Arial"/>
          <w:sz w:val="22"/>
          <w:szCs w:val="22"/>
        </w:rPr>
      </w:pPr>
      <w:r w:rsidRPr="002263B4">
        <w:rPr>
          <w:rFonts w:ascii="Arial" w:hAnsi="Arial" w:cs="Arial"/>
          <w:sz w:val="22"/>
          <w:szCs w:val="22"/>
        </w:rPr>
        <w:t xml:space="preserve">The GROW model (Goal, Reality, Options, Will), developed by Whitmore (2017), is a widely </w:t>
      </w:r>
      <w:r w:rsidR="004B2BF5">
        <w:rPr>
          <w:rFonts w:ascii="Arial" w:hAnsi="Arial" w:cs="Arial"/>
          <w:sz w:val="22"/>
          <w:szCs w:val="22"/>
        </w:rPr>
        <w:t>recognised</w:t>
      </w:r>
      <w:r w:rsidRPr="002263B4">
        <w:rPr>
          <w:rFonts w:ascii="Arial" w:hAnsi="Arial" w:cs="Arial"/>
          <w:sz w:val="22"/>
          <w:szCs w:val="22"/>
        </w:rPr>
        <w:t xml:space="preserve"> coaching framework that provides a structured yet flexible approach to guiding individuals through personal and professional development. This model is particularly useful in coaching conversations as it systematically assists individuals in setting clear goals, assessing their current situation, exploring potential strategies, and committing to an actionable plan. While the GROW model is effective in various settings, it also has limitations that warrant critical examination.</w:t>
      </w:r>
    </w:p>
    <w:p w14:paraId="6CA2C0C8" w14:textId="76804DFD" w:rsidR="00865940" w:rsidRDefault="00374771" w:rsidP="00865940">
      <w:pPr>
        <w:spacing w:line="360" w:lineRule="auto"/>
        <w:jc w:val="center"/>
        <w:rPr>
          <w:rFonts w:ascii="Arial" w:hAnsi="Arial" w:cs="Arial"/>
          <w:sz w:val="22"/>
          <w:szCs w:val="22"/>
        </w:rPr>
      </w:pPr>
      <w:r w:rsidRPr="00374771">
        <w:rPr>
          <w:rFonts w:ascii="Arial" w:hAnsi="Arial" w:cs="Arial"/>
          <w:noProof/>
          <w:sz w:val="22"/>
          <w:szCs w:val="22"/>
        </w:rPr>
        <w:drawing>
          <wp:inline distT="0" distB="0" distL="0" distR="0" wp14:anchorId="1E242AB9" wp14:editId="3934F08A">
            <wp:extent cx="5731510" cy="2388235"/>
            <wp:effectExtent l="19050" t="19050" r="21590" b="12065"/>
            <wp:docPr id="839535777" name="Picture 2" descr="The 4 Stages of the GROW Coach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4 Stages of the GROW Coaching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88235"/>
                    </a:xfrm>
                    <a:prstGeom prst="rect">
                      <a:avLst/>
                    </a:prstGeom>
                    <a:noFill/>
                    <a:ln>
                      <a:solidFill>
                        <a:schemeClr val="accent1"/>
                      </a:solidFill>
                    </a:ln>
                  </pic:spPr>
                </pic:pic>
              </a:graphicData>
            </a:graphic>
          </wp:inline>
        </w:drawing>
      </w:r>
    </w:p>
    <w:p w14:paraId="4DB0FBAC" w14:textId="6F991CC1" w:rsidR="00865940" w:rsidRDefault="00F722CB" w:rsidP="00865940">
      <w:pPr>
        <w:spacing w:line="360" w:lineRule="auto"/>
        <w:jc w:val="center"/>
        <w:rPr>
          <w:rFonts w:ascii="Arial" w:hAnsi="Arial" w:cs="Arial"/>
          <w:sz w:val="22"/>
          <w:szCs w:val="22"/>
        </w:rPr>
      </w:pPr>
      <w:r>
        <w:rPr>
          <w:rFonts w:ascii="Arial" w:hAnsi="Arial" w:cs="Arial"/>
          <w:sz w:val="22"/>
          <w:szCs w:val="22"/>
        </w:rPr>
        <w:t xml:space="preserve">(Source: </w:t>
      </w:r>
      <w:r w:rsidR="00285D16" w:rsidRPr="00285D16">
        <w:rPr>
          <w:rFonts w:ascii="Arial" w:hAnsi="Arial" w:cs="Arial"/>
          <w:sz w:val="22"/>
          <w:szCs w:val="22"/>
        </w:rPr>
        <w:t>Coach4Growth</w:t>
      </w:r>
      <w:r>
        <w:rPr>
          <w:rFonts w:ascii="Arial" w:hAnsi="Arial" w:cs="Arial"/>
          <w:sz w:val="22"/>
          <w:szCs w:val="22"/>
        </w:rPr>
        <w:t>, 202</w:t>
      </w:r>
      <w:r w:rsidR="00285D16">
        <w:rPr>
          <w:rFonts w:ascii="Arial" w:hAnsi="Arial" w:cs="Arial"/>
          <w:sz w:val="22"/>
          <w:szCs w:val="22"/>
        </w:rPr>
        <w:t>3</w:t>
      </w:r>
      <w:r>
        <w:rPr>
          <w:rFonts w:ascii="Arial" w:hAnsi="Arial" w:cs="Arial"/>
          <w:sz w:val="22"/>
          <w:szCs w:val="22"/>
        </w:rPr>
        <w:t>)</w:t>
      </w:r>
    </w:p>
    <w:p w14:paraId="3AC0E0E7" w14:textId="77777777" w:rsidR="00285D16" w:rsidRDefault="00285D16" w:rsidP="00865940">
      <w:pPr>
        <w:spacing w:line="360" w:lineRule="auto"/>
        <w:jc w:val="center"/>
        <w:rPr>
          <w:rFonts w:ascii="Arial" w:hAnsi="Arial" w:cs="Arial"/>
          <w:sz w:val="22"/>
          <w:szCs w:val="22"/>
        </w:rPr>
      </w:pPr>
    </w:p>
    <w:p w14:paraId="1766FF64" w14:textId="7015154F" w:rsidR="002912A3" w:rsidRDefault="002912A3" w:rsidP="002912A3">
      <w:pPr>
        <w:pStyle w:val="ListParagraph"/>
        <w:numPr>
          <w:ilvl w:val="1"/>
          <w:numId w:val="3"/>
        </w:numPr>
        <w:spacing w:line="360" w:lineRule="auto"/>
        <w:jc w:val="both"/>
        <w:rPr>
          <w:rFonts w:ascii="Arial" w:hAnsi="Arial" w:cs="Arial"/>
          <w:b/>
          <w:bCs/>
          <w:sz w:val="22"/>
          <w:szCs w:val="22"/>
        </w:rPr>
      </w:pPr>
      <w:r w:rsidRPr="002912A3">
        <w:rPr>
          <w:rFonts w:ascii="Arial" w:hAnsi="Arial" w:cs="Arial"/>
          <w:b/>
          <w:bCs/>
          <w:sz w:val="22"/>
          <w:szCs w:val="22"/>
        </w:rPr>
        <w:t>Advantages and disadvantages of the GROW coaching model</w:t>
      </w:r>
    </w:p>
    <w:p w14:paraId="3D962CD5" w14:textId="081E32AB" w:rsidR="004B676F" w:rsidRPr="004B676F" w:rsidRDefault="004B676F" w:rsidP="004B676F">
      <w:pPr>
        <w:spacing w:line="360" w:lineRule="auto"/>
        <w:jc w:val="both"/>
        <w:rPr>
          <w:rFonts w:ascii="Arial" w:hAnsi="Arial" w:cs="Arial"/>
          <w:sz w:val="22"/>
          <w:szCs w:val="22"/>
        </w:rPr>
      </w:pPr>
      <w:r w:rsidRPr="004B676F">
        <w:rPr>
          <w:rFonts w:ascii="Arial" w:hAnsi="Arial" w:cs="Arial"/>
          <w:sz w:val="22"/>
          <w:szCs w:val="22"/>
        </w:rPr>
        <w:t xml:space="preserve">The GROW model is valued for its simplicity and adaptability, making it suitable for various industries, including business, sports, and education (Earl, 2018). Its clear structure allows coaches to tailor sessions to individual or team needs. A key strength of the GROW model is its focus on self-reflection and autonomy, encouraging </w:t>
      </w:r>
      <w:proofErr w:type="spellStart"/>
      <w:r w:rsidRPr="004B676F">
        <w:rPr>
          <w:rFonts w:ascii="Arial" w:hAnsi="Arial" w:cs="Arial"/>
          <w:sz w:val="22"/>
          <w:szCs w:val="22"/>
        </w:rPr>
        <w:t>coachees</w:t>
      </w:r>
      <w:proofErr w:type="spellEnd"/>
      <w:r w:rsidRPr="004B676F">
        <w:rPr>
          <w:rFonts w:ascii="Arial" w:hAnsi="Arial" w:cs="Arial"/>
          <w:sz w:val="22"/>
          <w:szCs w:val="22"/>
        </w:rPr>
        <w:t xml:space="preserve"> to assess their situation, </w:t>
      </w:r>
      <w:r w:rsidRPr="004B676F">
        <w:rPr>
          <w:rFonts w:ascii="Arial" w:hAnsi="Arial" w:cs="Arial"/>
          <w:sz w:val="22"/>
          <w:szCs w:val="22"/>
        </w:rPr>
        <w:lastRenderedPageBreak/>
        <w:t xml:space="preserve">explore options, and take ownership of their goals. This fosters accountability and motivation, enhancing its effectiveness in performance coaching, leadership development, and team management (Ivanova, </w:t>
      </w:r>
      <w:proofErr w:type="spellStart"/>
      <w:r w:rsidRPr="004B676F">
        <w:rPr>
          <w:rFonts w:ascii="Arial" w:hAnsi="Arial" w:cs="Arial"/>
          <w:sz w:val="22"/>
          <w:szCs w:val="22"/>
        </w:rPr>
        <w:t>Kozhuharova</w:t>
      </w:r>
      <w:proofErr w:type="spellEnd"/>
      <w:r w:rsidRPr="004B676F">
        <w:rPr>
          <w:rFonts w:ascii="Arial" w:hAnsi="Arial" w:cs="Arial"/>
          <w:sz w:val="22"/>
          <w:szCs w:val="22"/>
        </w:rPr>
        <w:t>, and Todorova, 2022).</w:t>
      </w:r>
    </w:p>
    <w:p w14:paraId="2C127D7E" w14:textId="7C0239D2" w:rsidR="004B676F" w:rsidRPr="004B676F" w:rsidRDefault="004B676F" w:rsidP="004B676F">
      <w:pPr>
        <w:spacing w:line="360" w:lineRule="auto"/>
        <w:jc w:val="both"/>
        <w:rPr>
          <w:rFonts w:ascii="Arial" w:hAnsi="Arial" w:cs="Arial"/>
          <w:sz w:val="22"/>
          <w:szCs w:val="22"/>
        </w:rPr>
      </w:pPr>
      <w:r w:rsidRPr="004B676F">
        <w:rPr>
          <w:rFonts w:ascii="Arial" w:hAnsi="Arial" w:cs="Arial"/>
          <w:sz w:val="22"/>
          <w:szCs w:val="22"/>
        </w:rPr>
        <w:t xml:space="preserve">The model also promotes solution-focused thinking, guiding </w:t>
      </w:r>
      <w:proofErr w:type="spellStart"/>
      <w:r w:rsidRPr="004B676F">
        <w:rPr>
          <w:rFonts w:ascii="Arial" w:hAnsi="Arial" w:cs="Arial"/>
          <w:sz w:val="22"/>
          <w:szCs w:val="22"/>
        </w:rPr>
        <w:t>coachees</w:t>
      </w:r>
      <w:proofErr w:type="spellEnd"/>
      <w:r w:rsidRPr="004B676F">
        <w:rPr>
          <w:rFonts w:ascii="Arial" w:hAnsi="Arial" w:cs="Arial"/>
          <w:sz w:val="22"/>
          <w:szCs w:val="22"/>
        </w:rPr>
        <w:t xml:space="preserve"> to identify actions for progress rather than dwelling on problems. This approach supports resilience and problem-solving, particularly in corporate settings. Additionally, its non-directive nature encourages individuals to develop their own solutions rather than relying on the coach for answers.</w:t>
      </w:r>
    </w:p>
    <w:p w14:paraId="2D716145" w14:textId="3DDB96CC" w:rsidR="004B676F" w:rsidRPr="004B676F" w:rsidRDefault="004B676F" w:rsidP="004B676F">
      <w:pPr>
        <w:spacing w:line="360" w:lineRule="auto"/>
        <w:jc w:val="both"/>
        <w:rPr>
          <w:rFonts w:ascii="Arial" w:hAnsi="Arial" w:cs="Arial"/>
          <w:sz w:val="22"/>
          <w:szCs w:val="22"/>
        </w:rPr>
      </w:pPr>
      <w:r w:rsidRPr="004B676F">
        <w:rPr>
          <w:rFonts w:ascii="Arial" w:hAnsi="Arial" w:cs="Arial"/>
          <w:sz w:val="22"/>
          <w:szCs w:val="22"/>
        </w:rPr>
        <w:t xml:space="preserve">Despite its benefits, the GROW model has limitations. It heavily depends on the </w:t>
      </w:r>
      <w:proofErr w:type="spellStart"/>
      <w:r w:rsidRPr="004B676F">
        <w:rPr>
          <w:rFonts w:ascii="Arial" w:hAnsi="Arial" w:cs="Arial"/>
          <w:sz w:val="22"/>
          <w:szCs w:val="22"/>
        </w:rPr>
        <w:t>coachee’s</w:t>
      </w:r>
      <w:proofErr w:type="spellEnd"/>
      <w:r w:rsidRPr="004B676F">
        <w:rPr>
          <w:rFonts w:ascii="Arial" w:hAnsi="Arial" w:cs="Arial"/>
          <w:sz w:val="22"/>
          <w:szCs w:val="22"/>
        </w:rPr>
        <w:t xml:space="preserve"> ability to generate solutions, which may be challenging for individuals with limited self-awareness, confidence, or experience (LinkedIn, 2023). In crisis situations requiring urgent action, the GROW model may be less effective than more directive frameworks like the OSCAR model</w:t>
      </w:r>
      <w:r w:rsidR="00DB4397">
        <w:rPr>
          <w:rFonts w:ascii="Arial" w:hAnsi="Arial" w:cs="Arial"/>
          <w:sz w:val="22"/>
          <w:szCs w:val="22"/>
        </w:rPr>
        <w:t xml:space="preserve"> (</w:t>
      </w:r>
      <w:r w:rsidR="00DB4397" w:rsidRPr="00DB4397">
        <w:rPr>
          <w:rFonts w:ascii="Arial" w:hAnsi="Arial" w:cs="Arial"/>
          <w:sz w:val="22"/>
          <w:szCs w:val="22"/>
        </w:rPr>
        <w:t>Gilbert and Whittleworth</w:t>
      </w:r>
      <w:r w:rsidR="00DB4397">
        <w:rPr>
          <w:rFonts w:ascii="Arial" w:hAnsi="Arial" w:cs="Arial"/>
          <w:sz w:val="22"/>
          <w:szCs w:val="22"/>
        </w:rPr>
        <w:t xml:space="preserve">, </w:t>
      </w:r>
      <w:r w:rsidR="00DB4397" w:rsidRPr="00DB4397">
        <w:rPr>
          <w:rFonts w:ascii="Arial" w:hAnsi="Arial" w:cs="Arial"/>
          <w:sz w:val="22"/>
          <w:szCs w:val="22"/>
        </w:rPr>
        <w:t>2009)</w:t>
      </w:r>
      <w:r w:rsidR="00DB4397">
        <w:rPr>
          <w:rFonts w:ascii="Arial" w:hAnsi="Arial" w:cs="Arial"/>
          <w:sz w:val="22"/>
          <w:szCs w:val="22"/>
        </w:rPr>
        <w:t>.</w:t>
      </w:r>
    </w:p>
    <w:p w14:paraId="7855DE58" w14:textId="71AD7086" w:rsidR="004B676F" w:rsidRPr="004B676F" w:rsidRDefault="004B676F" w:rsidP="004B676F">
      <w:pPr>
        <w:spacing w:line="360" w:lineRule="auto"/>
        <w:jc w:val="both"/>
        <w:rPr>
          <w:rFonts w:ascii="Arial" w:hAnsi="Arial" w:cs="Arial"/>
          <w:sz w:val="22"/>
          <w:szCs w:val="22"/>
        </w:rPr>
      </w:pPr>
      <w:r w:rsidRPr="004B676F">
        <w:rPr>
          <w:rFonts w:ascii="Arial" w:hAnsi="Arial" w:cs="Arial"/>
          <w:sz w:val="22"/>
          <w:szCs w:val="22"/>
        </w:rPr>
        <w:t>Furthermore, the GROW model does not inherently address emotional barriers, limiting beliefs, or deep-rooted fears. Coaches may need to integrate additional techniques, such as cognitive-behavioural coaching or mindfulness strategies, to support clients facing such challenges. While the GROW model is highly versatile, combining it with complementary approaches can enhance its overall effectiveness.</w:t>
      </w:r>
    </w:p>
    <w:p w14:paraId="47F36D4F" w14:textId="70FCB100" w:rsidR="002263B4" w:rsidRPr="001B7865" w:rsidRDefault="002263B4" w:rsidP="00254640">
      <w:pPr>
        <w:pStyle w:val="ListParagraph"/>
        <w:numPr>
          <w:ilvl w:val="1"/>
          <w:numId w:val="3"/>
        </w:numPr>
        <w:spacing w:line="360" w:lineRule="auto"/>
        <w:jc w:val="both"/>
        <w:rPr>
          <w:rFonts w:ascii="Arial" w:hAnsi="Arial" w:cs="Arial"/>
          <w:sz w:val="22"/>
          <w:szCs w:val="22"/>
        </w:rPr>
      </w:pPr>
      <w:r w:rsidRPr="001B7865">
        <w:rPr>
          <w:rFonts w:ascii="Arial" w:hAnsi="Arial" w:cs="Arial"/>
          <w:b/>
          <w:bCs/>
          <w:sz w:val="22"/>
          <w:szCs w:val="22"/>
        </w:rPr>
        <w:t xml:space="preserve">Situational </w:t>
      </w:r>
      <w:r w:rsidR="00016DE8">
        <w:rPr>
          <w:rFonts w:ascii="Arial" w:hAnsi="Arial" w:cs="Arial"/>
          <w:b/>
          <w:bCs/>
          <w:sz w:val="22"/>
          <w:szCs w:val="22"/>
        </w:rPr>
        <w:t>a</w:t>
      </w:r>
      <w:r w:rsidRPr="001B7865">
        <w:rPr>
          <w:rFonts w:ascii="Arial" w:hAnsi="Arial" w:cs="Arial"/>
          <w:b/>
          <w:bCs/>
          <w:sz w:val="22"/>
          <w:szCs w:val="22"/>
        </w:rPr>
        <w:t xml:space="preserve">pplications of the GROW </w:t>
      </w:r>
      <w:r w:rsidR="00C5686D">
        <w:rPr>
          <w:rFonts w:ascii="Arial" w:hAnsi="Arial" w:cs="Arial"/>
          <w:b/>
          <w:bCs/>
          <w:sz w:val="22"/>
          <w:szCs w:val="22"/>
        </w:rPr>
        <w:t>m</w:t>
      </w:r>
      <w:r w:rsidRPr="001B7865">
        <w:rPr>
          <w:rFonts w:ascii="Arial" w:hAnsi="Arial" w:cs="Arial"/>
          <w:b/>
          <w:bCs/>
          <w:sz w:val="22"/>
          <w:szCs w:val="22"/>
        </w:rPr>
        <w:t>odel</w:t>
      </w:r>
    </w:p>
    <w:p w14:paraId="237FFF94" w14:textId="491F9E23"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 xml:space="preserve">The GROW model is most effective in structured coaching environments where individuals have a clear objective and are capable of self-directed learning. For example, it is widely used in leadership coaching to help managers enhance their strategic thinking, decision-making, and team management skills. A manager seeking to improve communication with their team could use the GROW model to set specific communication goals, </w:t>
      </w:r>
      <w:r w:rsidR="004F5B41" w:rsidRPr="002263B4">
        <w:rPr>
          <w:rFonts w:ascii="Arial" w:hAnsi="Arial" w:cs="Arial"/>
          <w:sz w:val="22"/>
          <w:szCs w:val="22"/>
        </w:rPr>
        <w:t>analyse</w:t>
      </w:r>
      <w:r w:rsidRPr="002263B4">
        <w:rPr>
          <w:rFonts w:ascii="Arial" w:hAnsi="Arial" w:cs="Arial"/>
          <w:sz w:val="22"/>
          <w:szCs w:val="22"/>
        </w:rPr>
        <w:t xml:space="preserve"> current challenges, explore alternative strategies, and commit to regular feedback sessions.</w:t>
      </w:r>
    </w:p>
    <w:p w14:paraId="4534A153" w14:textId="2D4F5305"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Similarly, the model is beneficial in career coaching, where individuals seek clarity on their professional direction. A professional looking to transition into a new industry could use the GROW framework to define their career goals, assess their transferable skills, explore potential training programs, and develop an actionable job-search plan.</w:t>
      </w:r>
    </w:p>
    <w:p w14:paraId="024E5399" w14:textId="35E9EA4A"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However, in scenarios requiring more structured guidance—such as coaching junior employees, individuals with low confidence, or those in crisis—the GROW model may need to be supplemented with additional support mechanisms. In such cases, a coach might take a more directive approach or integrate elements from other coaching models to enhance effectiveness.</w:t>
      </w:r>
    </w:p>
    <w:p w14:paraId="220F70EB" w14:textId="65DCA371" w:rsidR="007A5EAA" w:rsidRPr="000D0E6C" w:rsidRDefault="007A5EAA" w:rsidP="006E7832">
      <w:pPr>
        <w:pStyle w:val="ListParagraph"/>
        <w:numPr>
          <w:ilvl w:val="0"/>
          <w:numId w:val="3"/>
        </w:numPr>
        <w:spacing w:line="360" w:lineRule="auto"/>
        <w:jc w:val="both"/>
        <w:rPr>
          <w:rFonts w:ascii="Arial" w:hAnsi="Arial" w:cs="Arial"/>
          <w:sz w:val="22"/>
          <w:szCs w:val="22"/>
        </w:rPr>
      </w:pPr>
      <w:r w:rsidRPr="006E7832">
        <w:rPr>
          <w:rFonts w:ascii="Arial" w:hAnsi="Arial" w:cs="Arial"/>
          <w:b/>
          <w:bCs/>
          <w:sz w:val="22"/>
          <w:szCs w:val="22"/>
        </w:rPr>
        <w:lastRenderedPageBreak/>
        <w:t>Reflection on Practical 1</w:t>
      </w:r>
    </w:p>
    <w:p w14:paraId="4E58C7DD" w14:textId="5F5DD5B1" w:rsidR="000D0E6C" w:rsidRDefault="000D0E6C" w:rsidP="000D0E6C">
      <w:pPr>
        <w:spacing w:line="360" w:lineRule="auto"/>
        <w:jc w:val="both"/>
        <w:rPr>
          <w:rFonts w:ascii="Arial" w:hAnsi="Arial" w:cs="Arial"/>
          <w:sz w:val="22"/>
          <w:szCs w:val="22"/>
          <w:lang w:val="bg-BG"/>
        </w:rPr>
      </w:pPr>
      <w:r w:rsidRPr="000D0E6C">
        <w:rPr>
          <w:rFonts w:ascii="Arial" w:hAnsi="Arial" w:cs="Arial"/>
          <w:sz w:val="22"/>
          <w:szCs w:val="22"/>
        </w:rPr>
        <w:t xml:space="preserve">Using Gibbs' Reflective Cycle (Gibbs, 1988), this section </w:t>
      </w:r>
      <w:r w:rsidR="00FF282B">
        <w:rPr>
          <w:rFonts w:ascii="Arial" w:hAnsi="Arial" w:cs="Arial"/>
          <w:sz w:val="22"/>
          <w:szCs w:val="22"/>
        </w:rPr>
        <w:t>analyses</w:t>
      </w:r>
      <w:r w:rsidRPr="000D0E6C">
        <w:rPr>
          <w:rFonts w:ascii="Arial" w:hAnsi="Arial" w:cs="Arial"/>
          <w:sz w:val="22"/>
          <w:szCs w:val="22"/>
        </w:rPr>
        <w:t xml:space="preserve"> my first practical coaching experience. The session focused on time management and employed the GROW model, though due to time constraints, we primarily concentrated on the Reality element of the model.</w:t>
      </w:r>
    </w:p>
    <w:p w14:paraId="3EF83F3A" w14:textId="00CC74B2" w:rsidR="000D0E6C" w:rsidRDefault="00A07C81" w:rsidP="000D0E6C">
      <w:pPr>
        <w:spacing w:line="360" w:lineRule="auto"/>
        <w:jc w:val="both"/>
        <w:rPr>
          <w:rFonts w:ascii="Arial" w:hAnsi="Arial" w:cs="Arial"/>
          <w:sz w:val="22"/>
          <w:szCs w:val="22"/>
        </w:rPr>
      </w:pPr>
      <w:r w:rsidRPr="00FF282B">
        <w:rPr>
          <w:rFonts w:ascii="Arial" w:hAnsi="Arial" w:cs="Arial"/>
          <w:sz w:val="22"/>
          <w:szCs w:val="22"/>
        </w:rPr>
        <w:t xml:space="preserve">. </w:t>
      </w:r>
    </w:p>
    <w:p w14:paraId="046C134C" w14:textId="4B2430C5" w:rsidR="008060F7" w:rsidRDefault="008060F7" w:rsidP="00016DE8">
      <w:pPr>
        <w:spacing w:line="360" w:lineRule="auto"/>
        <w:jc w:val="center"/>
        <w:rPr>
          <w:rFonts w:ascii="Arial" w:hAnsi="Arial" w:cs="Arial"/>
          <w:sz w:val="22"/>
          <w:szCs w:val="22"/>
        </w:rPr>
      </w:pPr>
      <w:r w:rsidRPr="008060F7">
        <w:rPr>
          <w:rFonts w:ascii="Arial" w:hAnsi="Arial" w:cs="Arial"/>
          <w:noProof/>
          <w:sz w:val="22"/>
          <w:szCs w:val="22"/>
        </w:rPr>
        <w:drawing>
          <wp:inline distT="0" distB="0" distL="0" distR="0" wp14:anchorId="742B2E48" wp14:editId="31165E34">
            <wp:extent cx="5224780" cy="3417570"/>
            <wp:effectExtent l="19050" t="19050" r="13970" b="11430"/>
            <wp:docPr id="2016337584" name="Picture 3" descr="What is the Gibb's Reflective Cycle? | by Learning to learn bett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Gibb's Reflective Cycle? | by Learning to learn better | Medium"/>
                    <pic:cNvPicPr>
                      <a:picLocks noChangeAspect="1" noChangeArrowheads="1"/>
                    </pic:cNvPicPr>
                  </pic:nvPicPr>
                  <pic:blipFill>
                    <a:blip r:embed="rId11">
                      <a:extLst>
                        <a:ext uri="{BEBA8EAE-BF5A-486C-A8C5-ECC9F3942E4B}">
                          <a14:imgProps xmlns:a14="http://schemas.microsoft.com/office/drawing/2010/main">
                            <a14:imgLayer r:embed="rId12">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5224780" cy="3417570"/>
                    </a:xfrm>
                    <a:prstGeom prst="rect">
                      <a:avLst/>
                    </a:prstGeom>
                    <a:noFill/>
                    <a:ln>
                      <a:solidFill>
                        <a:schemeClr val="tx2">
                          <a:lumMod val="50000"/>
                          <a:lumOff val="50000"/>
                        </a:schemeClr>
                      </a:solidFill>
                    </a:ln>
                  </pic:spPr>
                </pic:pic>
              </a:graphicData>
            </a:graphic>
          </wp:inline>
        </w:drawing>
      </w:r>
    </w:p>
    <w:p w14:paraId="080C3B7A" w14:textId="652340BD" w:rsidR="00C5686D" w:rsidRPr="000D0E6C" w:rsidRDefault="00065907" w:rsidP="00E87586">
      <w:pPr>
        <w:spacing w:line="360" w:lineRule="auto"/>
        <w:jc w:val="center"/>
        <w:rPr>
          <w:rFonts w:ascii="Arial" w:hAnsi="Arial" w:cs="Arial"/>
          <w:sz w:val="22"/>
          <w:szCs w:val="22"/>
        </w:rPr>
      </w:pPr>
      <w:r>
        <w:rPr>
          <w:rFonts w:ascii="Arial" w:hAnsi="Arial" w:cs="Arial"/>
          <w:sz w:val="22"/>
          <w:szCs w:val="22"/>
        </w:rPr>
        <w:t>(Source: Medium com, 2023)</w:t>
      </w:r>
    </w:p>
    <w:p w14:paraId="6CE8407A" w14:textId="6B61CE79" w:rsidR="00551F87" w:rsidRPr="00551F87" w:rsidRDefault="00551F87" w:rsidP="00551F87">
      <w:pPr>
        <w:spacing w:line="360" w:lineRule="auto"/>
        <w:jc w:val="both"/>
        <w:rPr>
          <w:rFonts w:ascii="Arial" w:hAnsi="Arial" w:cs="Arial"/>
          <w:sz w:val="22"/>
          <w:szCs w:val="22"/>
        </w:rPr>
      </w:pPr>
      <w:r w:rsidRPr="00551F87">
        <w:rPr>
          <w:rFonts w:ascii="Arial" w:hAnsi="Arial" w:cs="Arial"/>
          <w:sz w:val="22"/>
          <w:szCs w:val="22"/>
        </w:rPr>
        <w:t>Gibbs' Reflective Cycle is a structured framework for reflection</w:t>
      </w:r>
      <w:r w:rsidRPr="00551F87">
        <w:rPr>
          <w:rFonts w:ascii="Arial" w:hAnsi="Arial" w:cs="Arial"/>
          <w:sz w:val="22"/>
          <w:szCs w:val="22"/>
          <w:lang w:val="bg-BG"/>
        </w:rPr>
        <w:t xml:space="preserve"> </w:t>
      </w:r>
      <w:r w:rsidRPr="00551F87">
        <w:rPr>
          <w:rFonts w:ascii="Arial" w:hAnsi="Arial" w:cs="Arial"/>
          <w:sz w:val="22"/>
          <w:szCs w:val="22"/>
        </w:rPr>
        <w:t>that is commonly used in professional and academic settings to facilitate learning from experiences by systematically analysing what happened and planning for future improvement (Gibbs, 1988). The model encourages continuous development by helping individuals critically assess their actions and refine their approach, and consists of six stages: Description, Feelings, Evaluation, Analysis, Conclusion, and Action Plan</w:t>
      </w:r>
    </w:p>
    <w:p w14:paraId="00218572" w14:textId="343ADAAB"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Description</w:t>
      </w:r>
      <w:r w:rsidRPr="002B3736">
        <w:rPr>
          <w:rFonts w:ascii="Arial" w:hAnsi="Arial" w:cs="Arial"/>
          <w:sz w:val="22"/>
          <w:szCs w:val="22"/>
        </w:rPr>
        <w:t>: I conducted a five-minute coaching session on time management, emphasi</w:t>
      </w:r>
      <w:r w:rsidR="002B3736">
        <w:rPr>
          <w:rFonts w:ascii="Arial" w:hAnsi="Arial" w:cs="Arial"/>
          <w:sz w:val="22"/>
          <w:szCs w:val="22"/>
        </w:rPr>
        <w:t>s</w:t>
      </w:r>
      <w:r w:rsidRPr="002B3736">
        <w:rPr>
          <w:rFonts w:ascii="Arial" w:hAnsi="Arial" w:cs="Arial"/>
          <w:sz w:val="22"/>
          <w:szCs w:val="22"/>
        </w:rPr>
        <w:t xml:space="preserve">ing the Reality stage of the GROW model. Given the short duration, my goal was to help my </w:t>
      </w:r>
      <w:proofErr w:type="spellStart"/>
      <w:r w:rsidRPr="002B3736">
        <w:rPr>
          <w:rFonts w:ascii="Arial" w:hAnsi="Arial" w:cs="Arial"/>
          <w:sz w:val="22"/>
          <w:szCs w:val="22"/>
        </w:rPr>
        <w:t>coachee</w:t>
      </w:r>
      <w:proofErr w:type="spellEnd"/>
      <w:r w:rsidRPr="002B3736">
        <w:rPr>
          <w:rFonts w:ascii="Arial" w:hAnsi="Arial" w:cs="Arial"/>
          <w:sz w:val="22"/>
          <w:szCs w:val="22"/>
        </w:rPr>
        <w:t xml:space="preserve"> gain clarity on their current situation by identifying patterns and obstacles. Through guided questioning, I encouraged reflection on </w:t>
      </w:r>
      <w:r w:rsidR="00960F7E">
        <w:rPr>
          <w:rFonts w:ascii="Arial" w:hAnsi="Arial" w:cs="Arial"/>
          <w:sz w:val="22"/>
          <w:szCs w:val="22"/>
        </w:rPr>
        <w:t>his</w:t>
      </w:r>
      <w:r w:rsidRPr="002B3736">
        <w:rPr>
          <w:rFonts w:ascii="Arial" w:hAnsi="Arial" w:cs="Arial"/>
          <w:sz w:val="22"/>
          <w:szCs w:val="22"/>
        </w:rPr>
        <w:t xml:space="preserve"> challenges and </w:t>
      </w:r>
      <w:r w:rsidR="002B3736">
        <w:rPr>
          <w:rFonts w:ascii="Arial" w:hAnsi="Arial" w:cs="Arial"/>
          <w:sz w:val="22"/>
          <w:szCs w:val="22"/>
        </w:rPr>
        <w:t>their</w:t>
      </w:r>
      <w:r w:rsidRPr="002B3736">
        <w:rPr>
          <w:rFonts w:ascii="Arial" w:hAnsi="Arial" w:cs="Arial"/>
          <w:sz w:val="22"/>
          <w:szCs w:val="22"/>
        </w:rPr>
        <w:t xml:space="preserve"> impact on productivity and well-being.</w:t>
      </w:r>
    </w:p>
    <w:p w14:paraId="21092415" w14:textId="4EA8F9A2"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Feelings</w:t>
      </w:r>
      <w:r w:rsidRPr="002B3736">
        <w:rPr>
          <w:rFonts w:ascii="Arial" w:hAnsi="Arial" w:cs="Arial"/>
          <w:sz w:val="22"/>
          <w:szCs w:val="22"/>
        </w:rPr>
        <w:t xml:space="preserve">: At first, I felt confident in applying the GROW model and structuring the session. However, as the conversation progressed, I realized that my choice of words </w:t>
      </w:r>
      <w:r w:rsidRPr="002B3736">
        <w:rPr>
          <w:rFonts w:ascii="Arial" w:hAnsi="Arial" w:cs="Arial"/>
          <w:sz w:val="22"/>
          <w:szCs w:val="22"/>
        </w:rPr>
        <w:lastRenderedPageBreak/>
        <w:t xml:space="preserve">might have influenced the </w:t>
      </w:r>
      <w:proofErr w:type="spellStart"/>
      <w:r w:rsidRPr="002B3736">
        <w:rPr>
          <w:rFonts w:ascii="Arial" w:hAnsi="Arial" w:cs="Arial"/>
          <w:sz w:val="22"/>
          <w:szCs w:val="22"/>
        </w:rPr>
        <w:t>coachee’s</w:t>
      </w:r>
      <w:proofErr w:type="spellEnd"/>
      <w:r w:rsidRPr="002B3736">
        <w:rPr>
          <w:rFonts w:ascii="Arial" w:hAnsi="Arial" w:cs="Arial"/>
          <w:sz w:val="22"/>
          <w:szCs w:val="22"/>
        </w:rPr>
        <w:t xml:space="preserve"> perception. I felt uncertain when my questions elicited emotional responses instead of focusing on coaching principles. Additionally, I became concerned that my phrasing might have unintentionally shaped </w:t>
      </w:r>
      <w:r w:rsidR="00EB1459">
        <w:rPr>
          <w:rFonts w:ascii="Arial" w:hAnsi="Arial" w:cs="Arial"/>
          <w:sz w:val="22"/>
          <w:szCs w:val="22"/>
        </w:rPr>
        <w:t>his</w:t>
      </w:r>
      <w:r w:rsidRPr="002B3736">
        <w:rPr>
          <w:rFonts w:ascii="Arial" w:hAnsi="Arial" w:cs="Arial"/>
          <w:sz w:val="22"/>
          <w:szCs w:val="22"/>
        </w:rPr>
        <w:t xml:space="preserve"> outlook. By the end, I recogni</w:t>
      </w:r>
      <w:r w:rsidR="002B3736">
        <w:rPr>
          <w:rFonts w:ascii="Arial" w:hAnsi="Arial" w:cs="Arial"/>
          <w:sz w:val="22"/>
          <w:szCs w:val="22"/>
        </w:rPr>
        <w:t>s</w:t>
      </w:r>
      <w:r w:rsidRPr="002B3736">
        <w:rPr>
          <w:rFonts w:ascii="Arial" w:hAnsi="Arial" w:cs="Arial"/>
          <w:sz w:val="22"/>
          <w:szCs w:val="22"/>
        </w:rPr>
        <w:t>ed the need to refine my questioning approach and maintain a neutral stance.</w:t>
      </w:r>
    </w:p>
    <w:p w14:paraId="76B9FFE9" w14:textId="5D146515"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Evaluation</w:t>
      </w:r>
      <w:r w:rsidRPr="002B3736">
        <w:rPr>
          <w:rFonts w:ascii="Arial" w:hAnsi="Arial" w:cs="Arial"/>
          <w:sz w:val="22"/>
          <w:szCs w:val="22"/>
        </w:rPr>
        <w:t xml:space="preserve">: The session had several positive aspects. I successfully used the Reality stage of the GROW model to encourage self-reflection, helping the </w:t>
      </w:r>
      <w:proofErr w:type="spellStart"/>
      <w:r w:rsidRPr="002B3736">
        <w:rPr>
          <w:rFonts w:ascii="Arial" w:hAnsi="Arial" w:cs="Arial"/>
          <w:sz w:val="22"/>
          <w:szCs w:val="22"/>
        </w:rPr>
        <w:t>coachee</w:t>
      </w:r>
      <w:proofErr w:type="spellEnd"/>
      <w:r w:rsidRPr="002B3736">
        <w:rPr>
          <w:rFonts w:ascii="Arial" w:hAnsi="Arial" w:cs="Arial"/>
          <w:sz w:val="22"/>
          <w:szCs w:val="22"/>
        </w:rPr>
        <w:t xml:space="preserve"> analy</w:t>
      </w:r>
      <w:r w:rsidR="002B3736">
        <w:rPr>
          <w:rFonts w:ascii="Arial" w:hAnsi="Arial" w:cs="Arial"/>
          <w:sz w:val="22"/>
          <w:szCs w:val="22"/>
        </w:rPr>
        <w:t>s</w:t>
      </w:r>
      <w:r w:rsidRPr="002B3736">
        <w:rPr>
          <w:rFonts w:ascii="Arial" w:hAnsi="Arial" w:cs="Arial"/>
          <w:sz w:val="22"/>
          <w:szCs w:val="22"/>
        </w:rPr>
        <w:t xml:space="preserve">e </w:t>
      </w:r>
      <w:r w:rsidR="00BC0D39">
        <w:rPr>
          <w:rFonts w:ascii="Arial" w:hAnsi="Arial" w:cs="Arial"/>
          <w:sz w:val="22"/>
          <w:szCs w:val="22"/>
        </w:rPr>
        <w:t xml:space="preserve">his </w:t>
      </w:r>
      <w:r w:rsidRPr="002B3736">
        <w:rPr>
          <w:rFonts w:ascii="Arial" w:hAnsi="Arial" w:cs="Arial"/>
          <w:sz w:val="22"/>
          <w:szCs w:val="22"/>
        </w:rPr>
        <w:t xml:space="preserve">time management practices. However, my use of words like "stressful" may have negatively influenced </w:t>
      </w:r>
      <w:r w:rsidR="00B42314">
        <w:rPr>
          <w:rFonts w:ascii="Arial" w:hAnsi="Arial" w:cs="Arial"/>
          <w:sz w:val="22"/>
          <w:szCs w:val="22"/>
        </w:rPr>
        <w:t>his</w:t>
      </w:r>
      <w:r w:rsidRPr="002B3736">
        <w:rPr>
          <w:rFonts w:ascii="Arial" w:hAnsi="Arial" w:cs="Arial"/>
          <w:sz w:val="22"/>
          <w:szCs w:val="22"/>
        </w:rPr>
        <w:t xml:space="preserve"> perspective. Some of my questions leaned towards mentoring rather than coaching, as they focused on emotions rather than solutions. The lecturer’s feedback reinforced the importance of maintaining a neutral and structured coaching approach.</w:t>
      </w:r>
    </w:p>
    <w:p w14:paraId="589B8468" w14:textId="30B8FB39"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Analysis</w:t>
      </w:r>
      <w:r w:rsidRPr="002B3736">
        <w:rPr>
          <w:rFonts w:ascii="Arial" w:hAnsi="Arial" w:cs="Arial"/>
          <w:sz w:val="22"/>
          <w:szCs w:val="22"/>
        </w:rPr>
        <w:t>: The Reality stage of the GROW model is meant to facilitate objective assessment. Coaching principles emphasi</w:t>
      </w:r>
      <w:r w:rsidR="002B3736">
        <w:rPr>
          <w:rFonts w:ascii="Arial" w:hAnsi="Arial" w:cs="Arial"/>
          <w:sz w:val="22"/>
          <w:szCs w:val="22"/>
        </w:rPr>
        <w:t>s</w:t>
      </w:r>
      <w:r w:rsidRPr="002B3736">
        <w:rPr>
          <w:rFonts w:ascii="Arial" w:hAnsi="Arial" w:cs="Arial"/>
          <w:sz w:val="22"/>
          <w:szCs w:val="22"/>
        </w:rPr>
        <w:t xml:space="preserve">e neutral, open-ended questions that promote self-discovery. My language choices may have unintentionally directed the </w:t>
      </w:r>
      <w:proofErr w:type="spellStart"/>
      <w:r w:rsidRPr="002B3736">
        <w:rPr>
          <w:rFonts w:ascii="Arial" w:hAnsi="Arial" w:cs="Arial"/>
          <w:sz w:val="22"/>
          <w:szCs w:val="22"/>
        </w:rPr>
        <w:t>coachee’s</w:t>
      </w:r>
      <w:proofErr w:type="spellEnd"/>
      <w:r w:rsidRPr="002B3736">
        <w:rPr>
          <w:rFonts w:ascii="Arial" w:hAnsi="Arial" w:cs="Arial"/>
          <w:sz w:val="22"/>
          <w:szCs w:val="22"/>
        </w:rPr>
        <w:t xml:space="preserve"> thinking, deviating from this approach. Effective questioning should avoid leading language and focus on facts rather than emotions. Additionally, distinguishing between coaching and mentoring is crucial, as coaching facilitates self-directed solutions rather than offering advice or emotional validation. Refining my questioning techniques will ensure better alignment with coaching best practices.</w:t>
      </w:r>
    </w:p>
    <w:p w14:paraId="61335FDF" w14:textId="25591188"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Conclusion</w:t>
      </w:r>
      <w:r w:rsidRPr="002B3736">
        <w:rPr>
          <w:rFonts w:ascii="Arial" w:hAnsi="Arial" w:cs="Arial"/>
          <w:sz w:val="22"/>
          <w:szCs w:val="22"/>
        </w:rPr>
        <w:t xml:space="preserve">: This experience underscored the need for a neutral and structured coaching approach. I learned the importance of precise language in guiding the </w:t>
      </w:r>
      <w:proofErr w:type="spellStart"/>
      <w:r w:rsidRPr="002B3736">
        <w:rPr>
          <w:rFonts w:ascii="Arial" w:hAnsi="Arial" w:cs="Arial"/>
          <w:sz w:val="22"/>
          <w:szCs w:val="22"/>
        </w:rPr>
        <w:t>coachee</w:t>
      </w:r>
      <w:proofErr w:type="spellEnd"/>
      <w:r w:rsidRPr="002B3736">
        <w:rPr>
          <w:rFonts w:ascii="Arial" w:hAnsi="Arial" w:cs="Arial"/>
          <w:sz w:val="22"/>
          <w:szCs w:val="22"/>
        </w:rPr>
        <w:t xml:space="preserve"> without influencing </w:t>
      </w:r>
      <w:r w:rsidR="00DD7539">
        <w:rPr>
          <w:rFonts w:ascii="Arial" w:hAnsi="Arial" w:cs="Arial"/>
          <w:sz w:val="22"/>
          <w:szCs w:val="22"/>
        </w:rPr>
        <w:t xml:space="preserve">his </w:t>
      </w:r>
      <w:r w:rsidRPr="002B3736">
        <w:rPr>
          <w:rFonts w:ascii="Arial" w:hAnsi="Arial" w:cs="Arial"/>
          <w:sz w:val="22"/>
          <w:szCs w:val="22"/>
        </w:rPr>
        <w:t xml:space="preserve">perception. Future sessions should incorporate open-ended, action-focused questions to keep the </w:t>
      </w:r>
      <w:proofErr w:type="spellStart"/>
      <w:r w:rsidRPr="002B3736">
        <w:rPr>
          <w:rFonts w:ascii="Arial" w:hAnsi="Arial" w:cs="Arial"/>
          <w:sz w:val="22"/>
          <w:szCs w:val="22"/>
        </w:rPr>
        <w:t>coachee</w:t>
      </w:r>
      <w:proofErr w:type="spellEnd"/>
      <w:r w:rsidRPr="002B3736">
        <w:rPr>
          <w:rFonts w:ascii="Arial" w:hAnsi="Arial" w:cs="Arial"/>
          <w:sz w:val="22"/>
          <w:szCs w:val="22"/>
        </w:rPr>
        <w:t xml:space="preserve"> in control of </w:t>
      </w:r>
      <w:r w:rsidR="001E4561">
        <w:rPr>
          <w:rFonts w:ascii="Arial" w:hAnsi="Arial" w:cs="Arial"/>
          <w:sz w:val="22"/>
          <w:szCs w:val="22"/>
        </w:rPr>
        <w:t xml:space="preserve">his </w:t>
      </w:r>
      <w:r w:rsidRPr="002B3736">
        <w:rPr>
          <w:rFonts w:ascii="Arial" w:hAnsi="Arial" w:cs="Arial"/>
          <w:sz w:val="22"/>
          <w:szCs w:val="22"/>
        </w:rPr>
        <w:t>reflections. Additionally, maintaining a clear distinction between coaching and mentoring will be crucial. While the session effectively raised awareness of time management issues, refining my questioning style and avoiding emotionally charged language will enhance my effectiveness as a coach.</w:t>
      </w:r>
    </w:p>
    <w:p w14:paraId="585A6432" w14:textId="4248E4D5" w:rsidR="00016DE8" w:rsidRPr="000F4C3F" w:rsidRDefault="00C95A89" w:rsidP="00EF4694">
      <w:pPr>
        <w:pStyle w:val="ListParagraph"/>
        <w:numPr>
          <w:ilvl w:val="0"/>
          <w:numId w:val="8"/>
        </w:numPr>
        <w:spacing w:line="360" w:lineRule="auto"/>
        <w:jc w:val="both"/>
        <w:rPr>
          <w:rFonts w:ascii="Arial" w:hAnsi="Arial" w:cs="Arial"/>
          <w:sz w:val="22"/>
          <w:szCs w:val="22"/>
        </w:rPr>
      </w:pPr>
      <w:r w:rsidRPr="000F4C3F">
        <w:rPr>
          <w:rFonts w:ascii="Arial" w:hAnsi="Arial" w:cs="Arial"/>
          <w:b/>
          <w:bCs/>
          <w:sz w:val="22"/>
          <w:szCs w:val="22"/>
        </w:rPr>
        <w:t>Action Plan</w:t>
      </w:r>
      <w:r w:rsidRPr="000F4C3F">
        <w:rPr>
          <w:rFonts w:ascii="Arial" w:hAnsi="Arial" w:cs="Arial"/>
          <w:sz w:val="22"/>
          <w:szCs w:val="22"/>
        </w:rPr>
        <w:t xml:space="preserve">: To improve future coaching sessions, I will consciously avoid language that may negatively influence the </w:t>
      </w:r>
      <w:proofErr w:type="spellStart"/>
      <w:r w:rsidRPr="000F4C3F">
        <w:rPr>
          <w:rFonts w:ascii="Arial" w:hAnsi="Arial" w:cs="Arial"/>
          <w:sz w:val="22"/>
          <w:szCs w:val="22"/>
        </w:rPr>
        <w:t>coachee’s</w:t>
      </w:r>
      <w:proofErr w:type="spellEnd"/>
      <w:r w:rsidRPr="000F4C3F">
        <w:rPr>
          <w:rFonts w:ascii="Arial" w:hAnsi="Arial" w:cs="Arial"/>
          <w:sz w:val="22"/>
          <w:szCs w:val="22"/>
        </w:rPr>
        <w:t xml:space="preserve"> perspective. I will prioriti</w:t>
      </w:r>
      <w:r w:rsidR="00F160D0" w:rsidRPr="000F4C3F">
        <w:rPr>
          <w:rFonts w:ascii="Arial" w:hAnsi="Arial" w:cs="Arial"/>
          <w:sz w:val="22"/>
          <w:szCs w:val="22"/>
        </w:rPr>
        <w:t>s</w:t>
      </w:r>
      <w:r w:rsidRPr="000F4C3F">
        <w:rPr>
          <w:rFonts w:ascii="Arial" w:hAnsi="Arial" w:cs="Arial"/>
          <w:sz w:val="22"/>
          <w:szCs w:val="22"/>
        </w:rPr>
        <w:t xml:space="preserve">e neutral, open-ended, and action-oriented questioning to promote independent problem-solving. Additionally, I will refine my ability to differentiate coaching from mentoring by </w:t>
      </w:r>
      <w:r w:rsidR="002B3736" w:rsidRPr="000F4C3F">
        <w:rPr>
          <w:rFonts w:ascii="Arial" w:hAnsi="Arial" w:cs="Arial"/>
          <w:sz w:val="22"/>
          <w:szCs w:val="22"/>
        </w:rPr>
        <w:t>practising</w:t>
      </w:r>
      <w:r w:rsidRPr="000F4C3F">
        <w:rPr>
          <w:rFonts w:ascii="Arial" w:hAnsi="Arial" w:cs="Arial"/>
          <w:sz w:val="22"/>
          <w:szCs w:val="22"/>
        </w:rPr>
        <w:t xml:space="preserve"> self-awareness and ensuring a facilitative approach. Seeking feedback from peers or mentors will help assess my questioning techniques,</w:t>
      </w:r>
      <w:r w:rsidR="002B3736" w:rsidRPr="000F4C3F">
        <w:rPr>
          <w:rFonts w:ascii="Arial" w:hAnsi="Arial" w:cs="Arial"/>
          <w:sz w:val="22"/>
          <w:szCs w:val="22"/>
        </w:rPr>
        <w:t xml:space="preserve"> </w:t>
      </w:r>
      <w:r w:rsidRPr="000F4C3F">
        <w:rPr>
          <w:rFonts w:ascii="Arial" w:hAnsi="Arial" w:cs="Arial"/>
          <w:sz w:val="22"/>
          <w:szCs w:val="22"/>
        </w:rPr>
        <w:t xml:space="preserve">and I will continue studying effective coaching strategies to enhance my skills in guiding </w:t>
      </w:r>
      <w:proofErr w:type="spellStart"/>
      <w:r w:rsidRPr="000F4C3F">
        <w:rPr>
          <w:rFonts w:ascii="Arial" w:hAnsi="Arial" w:cs="Arial"/>
          <w:sz w:val="22"/>
          <w:szCs w:val="22"/>
        </w:rPr>
        <w:t>coachees</w:t>
      </w:r>
      <w:proofErr w:type="spellEnd"/>
      <w:r w:rsidRPr="000F4C3F">
        <w:rPr>
          <w:rFonts w:ascii="Arial" w:hAnsi="Arial" w:cs="Arial"/>
          <w:sz w:val="22"/>
          <w:szCs w:val="22"/>
        </w:rPr>
        <w:t xml:space="preserve"> toward meaningful self-reflection and action planning</w:t>
      </w:r>
      <w:r w:rsidR="00016DE8" w:rsidRPr="000F4C3F">
        <w:rPr>
          <w:rFonts w:ascii="Arial" w:hAnsi="Arial" w:cs="Arial"/>
          <w:sz w:val="22"/>
          <w:szCs w:val="22"/>
        </w:rPr>
        <w:t>.</w:t>
      </w:r>
    </w:p>
    <w:p w14:paraId="15CFBA69" w14:textId="24A93A27" w:rsidR="000F4C3F" w:rsidRPr="00234760" w:rsidRDefault="007A5EAA" w:rsidP="00234760">
      <w:pPr>
        <w:pStyle w:val="NormalWeb"/>
        <w:numPr>
          <w:ilvl w:val="0"/>
          <w:numId w:val="3"/>
        </w:numPr>
        <w:spacing w:line="360" w:lineRule="auto"/>
        <w:jc w:val="both"/>
        <w:rPr>
          <w:rStyle w:val="Strong"/>
          <w:rFonts w:ascii="Arial" w:eastAsiaTheme="majorEastAsia" w:hAnsi="Arial" w:cs="Arial"/>
          <w:sz w:val="22"/>
          <w:szCs w:val="22"/>
        </w:rPr>
      </w:pPr>
      <w:r w:rsidRPr="00234760">
        <w:rPr>
          <w:rStyle w:val="Strong"/>
          <w:rFonts w:ascii="Arial" w:eastAsiaTheme="majorEastAsia" w:hAnsi="Arial" w:cs="Arial"/>
          <w:sz w:val="22"/>
          <w:szCs w:val="22"/>
        </w:rPr>
        <w:lastRenderedPageBreak/>
        <w:t>Reflection on Practical 2</w:t>
      </w:r>
    </w:p>
    <w:p w14:paraId="3B15E133" w14:textId="75AEC8A5" w:rsidR="000A21CD" w:rsidRDefault="000A21CD" w:rsidP="000A21CD">
      <w:pPr>
        <w:pStyle w:val="NormalWeb"/>
        <w:spacing w:line="360" w:lineRule="auto"/>
        <w:jc w:val="both"/>
        <w:rPr>
          <w:rFonts w:ascii="Arial" w:eastAsiaTheme="majorEastAsia" w:hAnsi="Arial" w:cs="Arial"/>
          <w:sz w:val="22"/>
          <w:szCs w:val="22"/>
        </w:rPr>
      </w:pPr>
      <w:r w:rsidRPr="000A21CD">
        <w:rPr>
          <w:rFonts w:ascii="Arial" w:eastAsiaTheme="majorEastAsia" w:hAnsi="Arial" w:cs="Arial"/>
          <w:sz w:val="22"/>
          <w:szCs w:val="22"/>
        </w:rPr>
        <w:t>Using Gibbs' Reflective Cycle (Gibbs, 1988), this reflection will analy</w:t>
      </w:r>
      <w:r w:rsidR="00CD5638">
        <w:rPr>
          <w:rFonts w:ascii="Arial" w:eastAsiaTheme="majorEastAsia" w:hAnsi="Arial" w:cs="Arial"/>
          <w:sz w:val="22"/>
          <w:szCs w:val="22"/>
        </w:rPr>
        <w:t>s</w:t>
      </w:r>
      <w:r w:rsidRPr="000A21CD">
        <w:rPr>
          <w:rFonts w:ascii="Arial" w:eastAsiaTheme="majorEastAsia" w:hAnsi="Arial" w:cs="Arial"/>
          <w:sz w:val="22"/>
          <w:szCs w:val="22"/>
        </w:rPr>
        <w:t>e my mentoring session, which focused on providing feedback using the Johari Window model. Due to the five-minute time limit, I concentrated only on the Blind Area element to provide concise and effective feedback.</w:t>
      </w:r>
    </w:p>
    <w:p w14:paraId="562C353D" w14:textId="492997DC" w:rsidR="00585BA9" w:rsidRDefault="00585BA9" w:rsidP="000A21CD">
      <w:pPr>
        <w:pStyle w:val="NormalWeb"/>
        <w:spacing w:line="360" w:lineRule="auto"/>
        <w:jc w:val="both"/>
        <w:rPr>
          <w:rFonts w:ascii="Arial" w:eastAsiaTheme="majorEastAsia" w:hAnsi="Arial" w:cs="Arial"/>
          <w:sz w:val="22"/>
          <w:szCs w:val="22"/>
        </w:rPr>
      </w:pPr>
      <w:r w:rsidRPr="00585BA9">
        <w:rPr>
          <w:rFonts w:ascii="Arial" w:eastAsiaTheme="majorEastAsia" w:hAnsi="Arial" w:cs="Arial"/>
          <w:noProof/>
          <w:sz w:val="22"/>
          <w:szCs w:val="22"/>
        </w:rPr>
        <w:drawing>
          <wp:inline distT="0" distB="0" distL="0" distR="0" wp14:anchorId="649985A7" wp14:editId="1E059926">
            <wp:extent cx="5731510" cy="3225165"/>
            <wp:effectExtent l="0" t="0" r="2540" b="0"/>
            <wp:docPr id="2090466843" name="Picture 2" descr="A diagram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66843" name="Picture 2" descr="A diagram of a window&#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62B3E5A" w14:textId="76DCBB7E" w:rsidR="00585BA9" w:rsidRPr="000A21CD" w:rsidRDefault="00585BA9" w:rsidP="00B06D58">
      <w:pPr>
        <w:pStyle w:val="NormalWeb"/>
        <w:spacing w:line="360" w:lineRule="auto"/>
        <w:jc w:val="center"/>
        <w:rPr>
          <w:rFonts w:ascii="Arial" w:eastAsiaTheme="majorEastAsia" w:hAnsi="Arial" w:cs="Arial"/>
          <w:sz w:val="22"/>
          <w:szCs w:val="22"/>
        </w:rPr>
      </w:pPr>
      <w:r>
        <w:rPr>
          <w:rFonts w:ascii="Arial" w:eastAsiaTheme="majorEastAsia" w:hAnsi="Arial" w:cs="Arial"/>
          <w:sz w:val="22"/>
          <w:szCs w:val="22"/>
        </w:rPr>
        <w:t xml:space="preserve">(Source: </w:t>
      </w:r>
      <w:r w:rsidR="00B06D58">
        <w:rPr>
          <w:rFonts w:ascii="Arial" w:eastAsiaTheme="majorEastAsia" w:hAnsi="Arial" w:cs="Arial"/>
          <w:sz w:val="22"/>
          <w:szCs w:val="22"/>
        </w:rPr>
        <w:t>LinkedIn, 2024)</w:t>
      </w:r>
    </w:p>
    <w:p w14:paraId="3879623D" w14:textId="56DFF1B5" w:rsidR="00604F69" w:rsidRPr="000A21CD" w:rsidRDefault="000A21CD" w:rsidP="000A21CD">
      <w:pPr>
        <w:pStyle w:val="NormalWeb"/>
        <w:spacing w:line="360" w:lineRule="auto"/>
        <w:jc w:val="both"/>
        <w:rPr>
          <w:rFonts w:ascii="Arial" w:eastAsiaTheme="majorEastAsia" w:hAnsi="Arial" w:cs="Arial"/>
          <w:sz w:val="22"/>
          <w:szCs w:val="22"/>
        </w:rPr>
      </w:pPr>
      <w:r w:rsidRPr="000A21CD">
        <w:rPr>
          <w:rFonts w:ascii="Arial" w:eastAsiaTheme="majorEastAsia" w:hAnsi="Arial" w:cs="Arial"/>
          <w:sz w:val="22"/>
          <w:szCs w:val="22"/>
        </w:rPr>
        <w:t>The Johari Window</w:t>
      </w:r>
      <w:r w:rsidR="007A2B6A">
        <w:rPr>
          <w:rFonts w:ascii="Arial" w:eastAsiaTheme="majorEastAsia" w:hAnsi="Arial" w:cs="Arial"/>
          <w:sz w:val="22"/>
          <w:szCs w:val="22"/>
        </w:rPr>
        <w:t xml:space="preserve"> (</w:t>
      </w:r>
      <w:r w:rsidR="00A46044">
        <w:rPr>
          <w:rFonts w:ascii="Arial" w:eastAsiaTheme="majorEastAsia" w:hAnsi="Arial" w:cs="Arial"/>
          <w:sz w:val="22"/>
          <w:szCs w:val="22"/>
        </w:rPr>
        <w:t xml:space="preserve">Luft and Ingham, </w:t>
      </w:r>
      <w:r w:rsidR="007A2B6A">
        <w:rPr>
          <w:rFonts w:ascii="Arial" w:eastAsiaTheme="majorEastAsia" w:hAnsi="Arial" w:cs="Arial"/>
          <w:sz w:val="22"/>
          <w:szCs w:val="22"/>
        </w:rPr>
        <w:t>1955)</w:t>
      </w:r>
      <w:r w:rsidRPr="000A21CD">
        <w:rPr>
          <w:rFonts w:ascii="Arial" w:eastAsiaTheme="majorEastAsia" w:hAnsi="Arial" w:cs="Arial"/>
          <w:sz w:val="22"/>
          <w:szCs w:val="22"/>
        </w:rPr>
        <w:t xml:space="preserve"> is a communication model developed to improve self-awareness and interpersonal </w:t>
      </w:r>
      <w:r w:rsidR="0033166B" w:rsidRPr="000A21CD">
        <w:rPr>
          <w:rFonts w:ascii="Arial" w:eastAsiaTheme="majorEastAsia" w:hAnsi="Arial" w:cs="Arial"/>
          <w:sz w:val="22"/>
          <w:szCs w:val="22"/>
        </w:rPr>
        <w:t>relationships,</w:t>
      </w:r>
      <w:r w:rsidR="00CD5638">
        <w:rPr>
          <w:rFonts w:ascii="Arial" w:eastAsiaTheme="majorEastAsia" w:hAnsi="Arial" w:cs="Arial"/>
          <w:sz w:val="22"/>
          <w:szCs w:val="22"/>
        </w:rPr>
        <w:t xml:space="preserve"> and it </w:t>
      </w:r>
      <w:r w:rsidRPr="000A21CD">
        <w:rPr>
          <w:rFonts w:ascii="Arial" w:eastAsiaTheme="majorEastAsia" w:hAnsi="Arial" w:cs="Arial"/>
          <w:sz w:val="22"/>
          <w:szCs w:val="22"/>
        </w:rPr>
        <w:t xml:space="preserve">consists of four quadrants: the Open Area, Hidden Area, Blind Area, and Unknown Area. The Blind Area highlights aspects of an individual’s </w:t>
      </w:r>
      <w:r w:rsidR="00CD5638" w:rsidRPr="000A21CD">
        <w:rPr>
          <w:rFonts w:ascii="Arial" w:eastAsiaTheme="majorEastAsia" w:hAnsi="Arial" w:cs="Arial"/>
          <w:sz w:val="22"/>
          <w:szCs w:val="22"/>
        </w:rPr>
        <w:t>behaviour</w:t>
      </w:r>
      <w:r w:rsidRPr="000A21CD">
        <w:rPr>
          <w:rFonts w:ascii="Arial" w:eastAsiaTheme="majorEastAsia" w:hAnsi="Arial" w:cs="Arial"/>
          <w:sz w:val="22"/>
          <w:szCs w:val="22"/>
        </w:rPr>
        <w:t xml:space="preserve"> that others notice but the individual is unaware of (</w:t>
      </w:r>
      <w:r w:rsidR="00F6636F" w:rsidRPr="00F6636F">
        <w:rPr>
          <w:rFonts w:ascii="Arial" w:eastAsiaTheme="majorEastAsia" w:hAnsi="Arial" w:cs="Arial"/>
          <w:sz w:val="22"/>
          <w:szCs w:val="22"/>
        </w:rPr>
        <w:t>Batista,</w:t>
      </w:r>
      <w:r w:rsidR="00FF584E">
        <w:rPr>
          <w:rFonts w:ascii="Arial" w:eastAsiaTheme="majorEastAsia" w:hAnsi="Arial" w:cs="Arial"/>
          <w:sz w:val="22"/>
          <w:szCs w:val="22"/>
        </w:rPr>
        <w:t xml:space="preserve"> 2</w:t>
      </w:r>
      <w:r w:rsidR="00F6636F" w:rsidRPr="00F6636F">
        <w:rPr>
          <w:rFonts w:ascii="Arial" w:eastAsiaTheme="majorEastAsia" w:hAnsi="Arial" w:cs="Arial"/>
          <w:sz w:val="22"/>
          <w:szCs w:val="22"/>
        </w:rPr>
        <w:t>014).</w:t>
      </w:r>
    </w:p>
    <w:p w14:paraId="6868815A" w14:textId="5CE43C0B"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Description:</w:t>
      </w:r>
      <w:r w:rsidRPr="000A21CD">
        <w:rPr>
          <w:rFonts w:ascii="Arial" w:eastAsiaTheme="majorEastAsia" w:hAnsi="Arial" w:cs="Arial"/>
          <w:sz w:val="22"/>
          <w:szCs w:val="22"/>
        </w:rPr>
        <w:t xml:space="preserve"> During the mentoring session, I used the Johari Window model to address my mentee's communication style. I highlighted that I had observed the mentee speaking very quickly in meetings, making it difficult for others to follow. I framed my feedback constructively by explaining that improving </w:t>
      </w:r>
      <w:r w:rsidR="00932CA4">
        <w:rPr>
          <w:rFonts w:ascii="Arial" w:eastAsiaTheme="majorEastAsia" w:hAnsi="Arial" w:cs="Arial"/>
          <w:sz w:val="22"/>
          <w:szCs w:val="22"/>
        </w:rPr>
        <w:t>his</w:t>
      </w:r>
      <w:r w:rsidRPr="000A21CD">
        <w:rPr>
          <w:rFonts w:ascii="Arial" w:eastAsiaTheme="majorEastAsia" w:hAnsi="Arial" w:cs="Arial"/>
          <w:sz w:val="22"/>
          <w:szCs w:val="22"/>
        </w:rPr>
        <w:t xml:space="preserve"> speaking pace could enhance </w:t>
      </w:r>
      <w:r w:rsidR="00D75B88">
        <w:rPr>
          <w:rFonts w:ascii="Arial" w:eastAsiaTheme="majorEastAsia" w:hAnsi="Arial" w:cs="Arial"/>
          <w:sz w:val="22"/>
          <w:szCs w:val="22"/>
        </w:rPr>
        <w:t>his</w:t>
      </w:r>
      <w:r w:rsidRPr="000A21CD">
        <w:rPr>
          <w:rFonts w:ascii="Arial" w:eastAsiaTheme="majorEastAsia" w:hAnsi="Arial" w:cs="Arial"/>
          <w:sz w:val="22"/>
          <w:szCs w:val="22"/>
        </w:rPr>
        <w:t xml:space="preserve"> communication skills and improve team engagement. I encouraged the mentee to reflect on this observation and explore ways to adjust </w:t>
      </w:r>
      <w:r w:rsidR="00D75B88">
        <w:rPr>
          <w:rFonts w:ascii="Arial" w:eastAsiaTheme="majorEastAsia" w:hAnsi="Arial" w:cs="Arial"/>
          <w:sz w:val="22"/>
          <w:szCs w:val="22"/>
        </w:rPr>
        <w:t>his</w:t>
      </w:r>
      <w:r w:rsidRPr="000A21CD">
        <w:rPr>
          <w:rFonts w:ascii="Arial" w:eastAsiaTheme="majorEastAsia" w:hAnsi="Arial" w:cs="Arial"/>
          <w:sz w:val="22"/>
          <w:szCs w:val="22"/>
        </w:rPr>
        <w:t xml:space="preserve"> speaking speed.</w:t>
      </w:r>
    </w:p>
    <w:p w14:paraId="0C373988" w14:textId="01CE3C86"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Feelings:</w:t>
      </w:r>
      <w:r w:rsidRPr="000A21CD">
        <w:rPr>
          <w:rFonts w:ascii="Arial" w:eastAsiaTheme="majorEastAsia" w:hAnsi="Arial" w:cs="Arial"/>
          <w:sz w:val="22"/>
          <w:szCs w:val="22"/>
        </w:rPr>
        <w:t xml:space="preserve"> Initially, I felt confident as I had prepared clear feedback and understood the Johari Window model well. However, as the session progressed, I became slightly </w:t>
      </w:r>
      <w:r w:rsidRPr="000A21CD">
        <w:rPr>
          <w:rFonts w:ascii="Arial" w:eastAsiaTheme="majorEastAsia" w:hAnsi="Arial" w:cs="Arial"/>
          <w:sz w:val="22"/>
          <w:szCs w:val="22"/>
        </w:rPr>
        <w:lastRenderedPageBreak/>
        <w:t xml:space="preserve">nervous when I noticed the mentee appeared surprised by my observation. This made me worry that my feedback might be taken negatively. Despite this, I remained calm and focused on maintaining a supportive and positive tone. By the end of the session, I felt reassured as the mentee responded openly and showed interest in improving </w:t>
      </w:r>
      <w:r w:rsidR="004A4BAE">
        <w:rPr>
          <w:rFonts w:ascii="Arial" w:eastAsiaTheme="majorEastAsia" w:hAnsi="Arial" w:cs="Arial"/>
          <w:sz w:val="22"/>
          <w:szCs w:val="22"/>
        </w:rPr>
        <w:t xml:space="preserve">his </w:t>
      </w:r>
      <w:r w:rsidRPr="000A21CD">
        <w:rPr>
          <w:rFonts w:ascii="Arial" w:eastAsiaTheme="majorEastAsia" w:hAnsi="Arial" w:cs="Arial"/>
          <w:sz w:val="22"/>
          <w:szCs w:val="22"/>
        </w:rPr>
        <w:t>communication skills.</w:t>
      </w:r>
    </w:p>
    <w:p w14:paraId="3DA6D619" w14:textId="2A062631"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Evaluation:</w:t>
      </w:r>
      <w:r w:rsidRPr="000A21CD">
        <w:rPr>
          <w:rFonts w:ascii="Arial" w:eastAsiaTheme="majorEastAsia" w:hAnsi="Arial" w:cs="Arial"/>
          <w:sz w:val="22"/>
          <w:szCs w:val="22"/>
        </w:rPr>
        <w:t xml:space="preserve"> The session had several positive aspects. Using the Blind Area of the Johari Window allowed me to highlight an unknown behaviour to the mentee, raising self-awareness. My questioning and listening techniques encouraged the mentee to reflect on </w:t>
      </w:r>
      <w:r w:rsidR="00FB7136">
        <w:rPr>
          <w:rFonts w:ascii="Arial" w:eastAsiaTheme="majorEastAsia" w:hAnsi="Arial" w:cs="Arial"/>
          <w:sz w:val="22"/>
          <w:szCs w:val="22"/>
        </w:rPr>
        <w:t>the</w:t>
      </w:r>
      <w:r w:rsidRPr="000A21CD">
        <w:rPr>
          <w:rFonts w:ascii="Arial" w:eastAsiaTheme="majorEastAsia" w:hAnsi="Arial" w:cs="Arial"/>
          <w:sz w:val="22"/>
          <w:szCs w:val="22"/>
        </w:rPr>
        <w:t xml:space="preserve"> speaking pace and consider solutions. Additionally, my positive tone helped create a supportive environment. However, the session was too short to fully explore strategies for improvement or allow the mentee to reflect in depth. The limited time restricted our ability to discuss solutions thoroughly, which could have enhanced the overall outcome.</w:t>
      </w:r>
    </w:p>
    <w:p w14:paraId="44703FB1" w14:textId="135E4D9A"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Analysis:</w:t>
      </w:r>
      <w:r w:rsidRPr="000A21CD">
        <w:rPr>
          <w:rFonts w:ascii="Arial" w:eastAsiaTheme="majorEastAsia" w:hAnsi="Arial" w:cs="Arial"/>
          <w:sz w:val="22"/>
          <w:szCs w:val="22"/>
        </w:rPr>
        <w:t xml:space="preserve"> The Johari Window model proved effective for this feedback session, as the Blind Area is designed to reveal unknown behaviours to the mentee. Effective mentoring requires balancing constructive feedback with encouragement to prevent defensiveness. My decision to focus on the mentee’s Blind Area allowed me to address an important communication issue that </w:t>
      </w:r>
      <w:r w:rsidR="0021049C">
        <w:rPr>
          <w:rFonts w:ascii="Arial" w:eastAsiaTheme="majorEastAsia" w:hAnsi="Arial" w:cs="Arial"/>
          <w:sz w:val="22"/>
          <w:szCs w:val="22"/>
        </w:rPr>
        <w:t>he</w:t>
      </w:r>
      <w:r w:rsidRPr="000A21CD">
        <w:rPr>
          <w:rFonts w:ascii="Arial" w:eastAsiaTheme="majorEastAsia" w:hAnsi="Arial" w:cs="Arial"/>
          <w:sz w:val="22"/>
          <w:szCs w:val="22"/>
        </w:rPr>
        <w:t xml:space="preserve"> had not been aware of. However, my nervousness when noticing </w:t>
      </w:r>
      <w:r w:rsidR="00FC26A2">
        <w:rPr>
          <w:rFonts w:ascii="Arial" w:eastAsiaTheme="majorEastAsia" w:hAnsi="Arial" w:cs="Arial"/>
          <w:sz w:val="22"/>
          <w:szCs w:val="22"/>
        </w:rPr>
        <w:t>his</w:t>
      </w:r>
      <w:r w:rsidRPr="000A21CD">
        <w:rPr>
          <w:rFonts w:ascii="Arial" w:eastAsiaTheme="majorEastAsia" w:hAnsi="Arial" w:cs="Arial"/>
          <w:sz w:val="22"/>
          <w:szCs w:val="22"/>
        </w:rPr>
        <w:t xml:space="preserve"> surprise may have hindered my ability to expand on the feedback fully. Providing practical advice or additional examples could have reinforced my message and supported </w:t>
      </w:r>
      <w:r w:rsidR="00FC26A2">
        <w:rPr>
          <w:rFonts w:ascii="Arial" w:eastAsiaTheme="majorEastAsia" w:hAnsi="Arial" w:cs="Arial"/>
          <w:sz w:val="22"/>
          <w:szCs w:val="22"/>
        </w:rPr>
        <w:t>his</w:t>
      </w:r>
      <w:r w:rsidRPr="000A21CD">
        <w:rPr>
          <w:rFonts w:ascii="Arial" w:eastAsiaTheme="majorEastAsia" w:hAnsi="Arial" w:cs="Arial"/>
          <w:sz w:val="22"/>
          <w:szCs w:val="22"/>
        </w:rPr>
        <w:t xml:space="preserve"> development more effectively.</w:t>
      </w:r>
    </w:p>
    <w:p w14:paraId="21485580" w14:textId="724E51F2"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Conclusion:</w:t>
      </w:r>
      <w:r w:rsidRPr="000A21CD">
        <w:rPr>
          <w:rFonts w:ascii="Arial" w:eastAsiaTheme="majorEastAsia" w:hAnsi="Arial" w:cs="Arial"/>
          <w:sz w:val="22"/>
          <w:szCs w:val="22"/>
        </w:rPr>
        <w:t xml:space="preserve"> This experience highlighted the importance of balancing honest feedback with positive reinforcement. I learned that observing a mentee’s reaction closely and adapting my communication style accordingly is crucial for effective mentoring. Additionally, incorporating practical suggestions would have strengthened the quality of my feedback. Despite these minor shortcomings, the session successfully raised the mentee’s awareness about </w:t>
      </w:r>
      <w:r w:rsidR="007847BA">
        <w:rPr>
          <w:rFonts w:ascii="Arial" w:eastAsiaTheme="majorEastAsia" w:hAnsi="Arial" w:cs="Arial"/>
          <w:sz w:val="22"/>
          <w:szCs w:val="22"/>
        </w:rPr>
        <w:t>his</w:t>
      </w:r>
      <w:r w:rsidRPr="000A21CD">
        <w:rPr>
          <w:rFonts w:ascii="Arial" w:eastAsiaTheme="majorEastAsia" w:hAnsi="Arial" w:cs="Arial"/>
          <w:sz w:val="22"/>
          <w:szCs w:val="22"/>
        </w:rPr>
        <w:t xml:space="preserve"> fast-speaking habit and motivated </w:t>
      </w:r>
      <w:r w:rsidR="003F3B9A">
        <w:rPr>
          <w:rFonts w:ascii="Arial" w:eastAsiaTheme="majorEastAsia" w:hAnsi="Arial" w:cs="Arial"/>
          <w:sz w:val="22"/>
          <w:szCs w:val="22"/>
        </w:rPr>
        <w:t>him</w:t>
      </w:r>
      <w:r w:rsidRPr="000A21CD">
        <w:rPr>
          <w:rFonts w:ascii="Arial" w:eastAsiaTheme="majorEastAsia" w:hAnsi="Arial" w:cs="Arial"/>
          <w:sz w:val="22"/>
          <w:szCs w:val="22"/>
        </w:rPr>
        <w:t xml:space="preserve"> to improve.</w:t>
      </w:r>
    </w:p>
    <w:p w14:paraId="6F04CE10" w14:textId="4223B3BD" w:rsid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Action Plan:</w:t>
      </w:r>
      <w:r w:rsidRPr="000A21CD">
        <w:rPr>
          <w:rFonts w:ascii="Arial" w:eastAsiaTheme="majorEastAsia" w:hAnsi="Arial" w:cs="Arial"/>
          <w:sz w:val="22"/>
          <w:szCs w:val="22"/>
        </w:rPr>
        <w:t xml:space="preserve"> In future mentoring sessions, I will manage my time more effectively to ensure sufficient opportunity for deeper reflection and discussion. I will prioriti</w:t>
      </w:r>
      <w:r w:rsidR="003F3B9A">
        <w:rPr>
          <w:rFonts w:ascii="Arial" w:eastAsiaTheme="majorEastAsia" w:hAnsi="Arial" w:cs="Arial"/>
          <w:sz w:val="22"/>
          <w:szCs w:val="22"/>
        </w:rPr>
        <w:t>s</w:t>
      </w:r>
      <w:r w:rsidRPr="000A21CD">
        <w:rPr>
          <w:rFonts w:ascii="Arial" w:eastAsiaTheme="majorEastAsia" w:hAnsi="Arial" w:cs="Arial"/>
          <w:sz w:val="22"/>
          <w:szCs w:val="22"/>
        </w:rPr>
        <w:t>e key points to ensure that feedback is both clear and actionable within the available time. Additionally, I will develop strategies to deliver concise yet impactful feedback, ensuring I maintain focus on essential points while allowing space for meaningful dialogue.  Finally, I will continue refining my mentoring skills by seeking feedback from peers and engaging in practice sessions to build confidence.</w:t>
      </w:r>
    </w:p>
    <w:p w14:paraId="62126456" w14:textId="77777777" w:rsidR="00DB4397" w:rsidRDefault="00DB4397" w:rsidP="00DB4397">
      <w:pPr>
        <w:pStyle w:val="NormalWeb"/>
        <w:spacing w:line="360" w:lineRule="auto"/>
        <w:ind w:left="720"/>
        <w:jc w:val="both"/>
        <w:rPr>
          <w:rFonts w:ascii="Arial" w:eastAsiaTheme="majorEastAsia" w:hAnsi="Arial" w:cs="Arial"/>
          <w:sz w:val="22"/>
          <w:szCs w:val="22"/>
        </w:rPr>
      </w:pPr>
    </w:p>
    <w:p w14:paraId="4E586063" w14:textId="1CACC758" w:rsidR="00234760" w:rsidRDefault="00234760" w:rsidP="00234760">
      <w:pPr>
        <w:pStyle w:val="NormalWeb"/>
        <w:numPr>
          <w:ilvl w:val="0"/>
          <w:numId w:val="3"/>
        </w:numPr>
        <w:spacing w:line="360" w:lineRule="auto"/>
        <w:jc w:val="both"/>
        <w:rPr>
          <w:rFonts w:ascii="Arial" w:eastAsiaTheme="majorEastAsia" w:hAnsi="Arial" w:cs="Arial"/>
          <w:b/>
          <w:bCs/>
          <w:sz w:val="22"/>
          <w:szCs w:val="22"/>
        </w:rPr>
      </w:pPr>
      <w:r w:rsidRPr="00234760">
        <w:rPr>
          <w:rFonts w:ascii="Arial" w:eastAsiaTheme="majorEastAsia" w:hAnsi="Arial" w:cs="Arial"/>
          <w:b/>
          <w:bCs/>
          <w:sz w:val="22"/>
          <w:szCs w:val="22"/>
        </w:rPr>
        <w:lastRenderedPageBreak/>
        <w:t>Conclusion</w:t>
      </w:r>
    </w:p>
    <w:p w14:paraId="38388F3E" w14:textId="2CA9D1A1" w:rsidR="00234760" w:rsidRPr="00234760" w:rsidRDefault="00234760" w:rsidP="00234760">
      <w:pPr>
        <w:pStyle w:val="NormalWeb"/>
        <w:spacing w:line="360" w:lineRule="auto"/>
        <w:jc w:val="both"/>
        <w:rPr>
          <w:rFonts w:ascii="Arial" w:eastAsiaTheme="majorEastAsia" w:hAnsi="Arial" w:cs="Arial"/>
          <w:sz w:val="22"/>
          <w:szCs w:val="22"/>
        </w:rPr>
      </w:pPr>
      <w:r w:rsidRPr="00234760">
        <w:rPr>
          <w:rFonts w:ascii="Arial" w:eastAsiaTheme="majorEastAsia" w:hAnsi="Arial" w:cs="Arial"/>
          <w:sz w:val="22"/>
          <w:szCs w:val="22"/>
        </w:rPr>
        <w:t xml:space="preserve">This report has provided a comprehensive reflection on my coaching and mentoring experiences, highlighting key theoretical frameworks such as the GROW model (Whitmore, 2017) and </w:t>
      </w:r>
      <w:r w:rsidRPr="00905F73">
        <w:rPr>
          <w:rFonts w:ascii="Arial" w:eastAsiaTheme="majorEastAsia" w:hAnsi="Arial" w:cs="Arial"/>
          <w:sz w:val="22"/>
          <w:szCs w:val="22"/>
        </w:rPr>
        <w:t>the Johari Window (Luft and Ingham, 1955).</w:t>
      </w:r>
      <w:r w:rsidRPr="00234760">
        <w:rPr>
          <w:rFonts w:ascii="Arial" w:eastAsiaTheme="majorEastAsia" w:hAnsi="Arial" w:cs="Arial"/>
          <w:sz w:val="22"/>
          <w:szCs w:val="22"/>
        </w:rPr>
        <w:t xml:space="preserve"> The application of Gibbs' Reflective Cycle (Gibbs, 1988) enabled me to evaluate my performance critically and identify areas for improvement. The GROW model proved effective in guiding structured coaching conversations, fostering goal setting, and encouraging self-reflection. However, my experience revealed the challenge of maintaining neutrality in questioning, reinforcing the importance of refining my communication techniques.</w:t>
      </w:r>
    </w:p>
    <w:p w14:paraId="538A3E8E" w14:textId="710D4838" w:rsidR="00234760" w:rsidRPr="00234760" w:rsidRDefault="00234760" w:rsidP="00234760">
      <w:pPr>
        <w:pStyle w:val="NormalWeb"/>
        <w:spacing w:line="360" w:lineRule="auto"/>
        <w:jc w:val="both"/>
        <w:rPr>
          <w:rFonts w:ascii="Arial" w:eastAsiaTheme="majorEastAsia" w:hAnsi="Arial" w:cs="Arial"/>
          <w:sz w:val="22"/>
          <w:szCs w:val="22"/>
        </w:rPr>
      </w:pPr>
      <w:r w:rsidRPr="00234760">
        <w:rPr>
          <w:rFonts w:ascii="Arial" w:eastAsiaTheme="majorEastAsia" w:hAnsi="Arial" w:cs="Arial"/>
          <w:sz w:val="22"/>
          <w:szCs w:val="22"/>
        </w:rPr>
        <w:t>Equally, the Johari Window model demonstrated its value in enhancing self-awareness and addressing blind spots through constructive feedback. By focusing on the Blind Area during my mentoring session, I successfully highlighted key behavioural insights to my mentee. Despite my initial nerves, I learned the importance of balancing honest feedback with positive reinforcement to maintain a supportive environment. The time limitation posed a challenge, underscoring the need to prioriti</w:t>
      </w:r>
      <w:r w:rsidR="00DC5AD6">
        <w:rPr>
          <w:rFonts w:ascii="Arial" w:eastAsiaTheme="majorEastAsia" w:hAnsi="Arial" w:cs="Arial"/>
          <w:sz w:val="22"/>
          <w:szCs w:val="22"/>
        </w:rPr>
        <w:t>s</w:t>
      </w:r>
      <w:r w:rsidRPr="00234760">
        <w:rPr>
          <w:rFonts w:ascii="Arial" w:eastAsiaTheme="majorEastAsia" w:hAnsi="Arial" w:cs="Arial"/>
          <w:sz w:val="22"/>
          <w:szCs w:val="22"/>
        </w:rPr>
        <w:t>e concise yet impactful feedback in future mentoring sessions.</w:t>
      </w:r>
    </w:p>
    <w:p w14:paraId="7485668E" w14:textId="51F37F90" w:rsidR="00234760" w:rsidRPr="00234760" w:rsidRDefault="00234760" w:rsidP="00234760">
      <w:pPr>
        <w:pStyle w:val="NormalWeb"/>
        <w:spacing w:line="360" w:lineRule="auto"/>
        <w:jc w:val="both"/>
        <w:rPr>
          <w:rFonts w:ascii="Arial" w:eastAsiaTheme="majorEastAsia" w:hAnsi="Arial" w:cs="Arial"/>
          <w:b/>
          <w:bCs/>
          <w:sz w:val="22"/>
          <w:szCs w:val="22"/>
        </w:rPr>
      </w:pPr>
      <w:r w:rsidRPr="00234760">
        <w:rPr>
          <w:rFonts w:ascii="Arial" w:eastAsiaTheme="majorEastAsia" w:hAnsi="Arial" w:cs="Arial"/>
          <w:sz w:val="22"/>
          <w:szCs w:val="22"/>
        </w:rPr>
        <w:t>Reflecting on these experiences has significantly influenced my approach to coaching and mentoring. Moving forward, I will refine my questioning techniques to ensure neutrality, adopt concise communication strategies to accommodate time constraints, and maintain a balance between guidance and mentee-led reflection. Additionally, I will continue seeking feedback from peers and mentors to enhance my practice.</w:t>
      </w:r>
    </w:p>
    <w:p w14:paraId="3CBC4980" w14:textId="77777777" w:rsidR="00234760" w:rsidRDefault="00234760" w:rsidP="00234760">
      <w:pPr>
        <w:pStyle w:val="NormalWeb"/>
        <w:spacing w:line="360" w:lineRule="auto"/>
        <w:jc w:val="both"/>
        <w:rPr>
          <w:rFonts w:ascii="Arial" w:eastAsiaTheme="majorEastAsia" w:hAnsi="Arial" w:cs="Arial"/>
          <w:sz w:val="22"/>
          <w:szCs w:val="22"/>
        </w:rPr>
      </w:pPr>
      <w:r w:rsidRPr="00234760">
        <w:rPr>
          <w:rFonts w:ascii="Arial" w:eastAsiaTheme="majorEastAsia" w:hAnsi="Arial" w:cs="Arial"/>
          <w:sz w:val="22"/>
          <w:szCs w:val="22"/>
        </w:rPr>
        <w:t>The key takeaway from this journey is that effective coaching and mentoring require adaptability, empathy, and a commitment to fostering growth. By applying these insights in the workplace, I aim to create an environment that empowers individuals to build self-awareness, develop their skills, and achieve their professional goals.</w:t>
      </w:r>
    </w:p>
    <w:p w14:paraId="28D7D0AF" w14:textId="77777777" w:rsidR="00757A12" w:rsidRDefault="00757A12" w:rsidP="00234760">
      <w:pPr>
        <w:pStyle w:val="NormalWeb"/>
        <w:spacing w:line="360" w:lineRule="auto"/>
        <w:jc w:val="both"/>
        <w:rPr>
          <w:rFonts w:ascii="Arial" w:eastAsiaTheme="majorEastAsia" w:hAnsi="Arial" w:cs="Arial"/>
          <w:sz w:val="22"/>
          <w:szCs w:val="22"/>
        </w:rPr>
      </w:pPr>
    </w:p>
    <w:p w14:paraId="5B370A46" w14:textId="77777777" w:rsidR="00757A12" w:rsidRDefault="00757A12" w:rsidP="00234760">
      <w:pPr>
        <w:pStyle w:val="NormalWeb"/>
        <w:spacing w:line="360" w:lineRule="auto"/>
        <w:jc w:val="both"/>
        <w:rPr>
          <w:rFonts w:ascii="Arial" w:eastAsiaTheme="majorEastAsia" w:hAnsi="Arial" w:cs="Arial"/>
          <w:sz w:val="22"/>
          <w:szCs w:val="22"/>
        </w:rPr>
      </w:pPr>
    </w:p>
    <w:p w14:paraId="7BB3C4CB" w14:textId="77777777" w:rsidR="00B06D58" w:rsidRDefault="00B06D58" w:rsidP="00234760">
      <w:pPr>
        <w:pStyle w:val="NormalWeb"/>
        <w:spacing w:line="360" w:lineRule="auto"/>
        <w:jc w:val="both"/>
        <w:rPr>
          <w:rFonts w:ascii="Arial" w:eastAsiaTheme="majorEastAsia" w:hAnsi="Arial" w:cs="Arial"/>
          <w:sz w:val="22"/>
          <w:szCs w:val="22"/>
        </w:rPr>
      </w:pPr>
    </w:p>
    <w:p w14:paraId="7F2AE506" w14:textId="77777777" w:rsidR="00B06D58" w:rsidRDefault="00B06D58" w:rsidP="00234760">
      <w:pPr>
        <w:pStyle w:val="NormalWeb"/>
        <w:spacing w:line="360" w:lineRule="auto"/>
        <w:jc w:val="both"/>
        <w:rPr>
          <w:rFonts w:ascii="Arial" w:eastAsiaTheme="majorEastAsia" w:hAnsi="Arial" w:cs="Arial"/>
          <w:sz w:val="22"/>
          <w:szCs w:val="22"/>
        </w:rPr>
      </w:pPr>
    </w:p>
    <w:p w14:paraId="5E4179F7" w14:textId="77777777" w:rsidR="00B06D58" w:rsidRDefault="00B06D58" w:rsidP="00234760">
      <w:pPr>
        <w:pStyle w:val="NormalWeb"/>
        <w:spacing w:line="360" w:lineRule="auto"/>
        <w:jc w:val="both"/>
        <w:rPr>
          <w:rFonts w:ascii="Arial" w:eastAsiaTheme="majorEastAsia" w:hAnsi="Arial" w:cs="Arial"/>
          <w:sz w:val="22"/>
          <w:szCs w:val="22"/>
        </w:rPr>
      </w:pPr>
    </w:p>
    <w:p w14:paraId="2DA60539" w14:textId="70051DCD" w:rsidR="00FF584E" w:rsidRPr="00FF584E" w:rsidRDefault="00FE34C7" w:rsidP="00FE34C7">
      <w:pPr>
        <w:spacing w:line="360" w:lineRule="auto"/>
        <w:rPr>
          <w:rFonts w:ascii="Arial" w:hAnsi="Arial" w:cs="Arial"/>
          <w:sz w:val="22"/>
          <w:szCs w:val="22"/>
        </w:rPr>
      </w:pPr>
      <w:bookmarkStart w:id="0" w:name="_Hlk192961474"/>
      <w:r w:rsidRPr="00FE34C7">
        <w:rPr>
          <w:rFonts w:ascii="Arial" w:hAnsi="Arial" w:cs="Arial"/>
          <w:b/>
          <w:bCs/>
          <w:sz w:val="22"/>
          <w:szCs w:val="22"/>
        </w:rPr>
        <w:lastRenderedPageBreak/>
        <w:t>References</w:t>
      </w:r>
      <w:r w:rsidR="00B06D58">
        <w:rPr>
          <w:rFonts w:ascii="Arial" w:hAnsi="Arial" w:cs="Arial"/>
          <w:b/>
          <w:bCs/>
          <w:sz w:val="22"/>
          <w:szCs w:val="22"/>
        </w:rPr>
        <w:t>:</w:t>
      </w:r>
      <w:bookmarkEnd w:id="0"/>
    </w:p>
    <w:p w14:paraId="55231FD1" w14:textId="77777777" w:rsidR="00FF584E" w:rsidRPr="00FF584E" w:rsidRDefault="00FF584E" w:rsidP="00FE34C7">
      <w:pPr>
        <w:spacing w:line="360" w:lineRule="auto"/>
        <w:rPr>
          <w:rFonts w:ascii="Arial" w:hAnsi="Arial" w:cs="Arial"/>
          <w:sz w:val="22"/>
          <w:szCs w:val="22"/>
        </w:rPr>
      </w:pPr>
      <w:proofErr w:type="spellStart"/>
      <w:r w:rsidRPr="00FF584E">
        <w:rPr>
          <w:rFonts w:ascii="Arial" w:hAnsi="Arial" w:cs="Arial"/>
          <w:sz w:val="22"/>
          <w:szCs w:val="22"/>
        </w:rPr>
        <w:t>Aihevba</w:t>
      </w:r>
      <w:proofErr w:type="spellEnd"/>
      <w:r w:rsidRPr="00FF584E">
        <w:rPr>
          <w:rFonts w:ascii="Arial" w:hAnsi="Arial" w:cs="Arial"/>
          <w:sz w:val="22"/>
          <w:szCs w:val="22"/>
        </w:rPr>
        <w:t>, E.O., (2022). </w:t>
      </w:r>
      <w:r w:rsidRPr="00FF584E">
        <w:rPr>
          <w:rFonts w:ascii="Arial" w:hAnsi="Arial" w:cs="Arial"/>
          <w:i/>
          <w:iCs/>
          <w:sz w:val="22"/>
          <w:szCs w:val="22"/>
        </w:rPr>
        <w:t>Mentoring as a Tool for Managing Talents</w:t>
      </w:r>
      <w:r w:rsidRPr="00FF584E">
        <w:rPr>
          <w:rFonts w:ascii="Arial" w:hAnsi="Arial" w:cs="Arial"/>
          <w:sz w:val="22"/>
          <w:szCs w:val="22"/>
        </w:rPr>
        <w:t> (Doctoral dissertation, Sheffield Hallam University).</w:t>
      </w:r>
    </w:p>
    <w:p w14:paraId="3F887309" w14:textId="77777777" w:rsidR="00FF584E" w:rsidRPr="00FF584E" w:rsidRDefault="00FF584E" w:rsidP="00EC458E">
      <w:pPr>
        <w:spacing w:line="360" w:lineRule="auto"/>
        <w:rPr>
          <w:rFonts w:ascii="Arial" w:hAnsi="Arial" w:cs="Arial"/>
          <w:sz w:val="22"/>
          <w:szCs w:val="22"/>
        </w:rPr>
      </w:pPr>
      <w:r w:rsidRPr="00FF584E">
        <w:rPr>
          <w:rFonts w:ascii="Arial" w:hAnsi="Arial" w:cs="Arial"/>
          <w:sz w:val="22"/>
          <w:szCs w:val="22"/>
        </w:rPr>
        <w:t>Batista, E., (2014). HBR guide to coaching employees. </w:t>
      </w:r>
      <w:r w:rsidRPr="00FF584E">
        <w:rPr>
          <w:rFonts w:ascii="Arial" w:hAnsi="Arial" w:cs="Arial"/>
          <w:i/>
          <w:iCs/>
          <w:sz w:val="22"/>
          <w:szCs w:val="22"/>
        </w:rPr>
        <w:t>Harvard Business Review</w:t>
      </w:r>
      <w:r w:rsidRPr="00FF584E">
        <w:rPr>
          <w:rFonts w:ascii="Arial" w:hAnsi="Arial" w:cs="Arial"/>
          <w:sz w:val="22"/>
          <w:szCs w:val="22"/>
        </w:rPr>
        <w:t>.</w:t>
      </w:r>
    </w:p>
    <w:p w14:paraId="70B1FF80"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Deng, C. and Turner, N., (2024). Identifying key mentor characteristics for successful workplace mentoring relationships and programmes. </w:t>
      </w:r>
      <w:r w:rsidRPr="00FF584E">
        <w:rPr>
          <w:rFonts w:ascii="Arial" w:hAnsi="Arial" w:cs="Arial"/>
          <w:i/>
          <w:iCs/>
          <w:sz w:val="22"/>
          <w:szCs w:val="22"/>
        </w:rPr>
        <w:t>Personnel Review</w:t>
      </w:r>
      <w:r w:rsidRPr="00FF584E">
        <w:rPr>
          <w:rFonts w:ascii="Arial" w:hAnsi="Arial" w:cs="Arial"/>
          <w:sz w:val="22"/>
          <w:szCs w:val="22"/>
        </w:rPr>
        <w:t>, </w:t>
      </w:r>
      <w:r w:rsidRPr="00FF584E">
        <w:rPr>
          <w:rFonts w:ascii="Arial" w:hAnsi="Arial" w:cs="Arial"/>
          <w:i/>
          <w:iCs/>
          <w:sz w:val="22"/>
          <w:szCs w:val="22"/>
        </w:rPr>
        <w:t>53</w:t>
      </w:r>
      <w:r w:rsidRPr="00FF584E">
        <w:rPr>
          <w:rFonts w:ascii="Arial" w:hAnsi="Arial" w:cs="Arial"/>
          <w:sz w:val="22"/>
          <w:szCs w:val="22"/>
        </w:rPr>
        <w:t>(2), pp.580-604.</w:t>
      </w:r>
    </w:p>
    <w:p w14:paraId="77A3CC87"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 xml:space="preserve">Earl, M. (2018). </w:t>
      </w:r>
      <w:r w:rsidRPr="00FF584E">
        <w:rPr>
          <w:rFonts w:ascii="Arial" w:hAnsi="Arial" w:cs="Arial"/>
          <w:i/>
          <w:iCs/>
          <w:sz w:val="22"/>
          <w:szCs w:val="22"/>
        </w:rPr>
        <w:t>The role of coaching in primary school teachers’ improved practice</w:t>
      </w:r>
      <w:r w:rsidRPr="00FF584E">
        <w:rPr>
          <w:rFonts w:ascii="Arial" w:hAnsi="Arial" w:cs="Arial"/>
          <w:sz w:val="22"/>
          <w:szCs w:val="22"/>
        </w:rPr>
        <w:t xml:space="preserve">. </w:t>
      </w:r>
      <w:proofErr w:type="spellStart"/>
      <w:r w:rsidRPr="00FF584E">
        <w:rPr>
          <w:rFonts w:ascii="Arial" w:hAnsi="Arial" w:cs="Arial"/>
          <w:sz w:val="22"/>
          <w:szCs w:val="22"/>
        </w:rPr>
        <w:t>MEdL</w:t>
      </w:r>
      <w:proofErr w:type="spellEnd"/>
      <w:r w:rsidRPr="00FF584E">
        <w:rPr>
          <w:rFonts w:ascii="Arial" w:hAnsi="Arial" w:cs="Arial"/>
          <w:sz w:val="22"/>
          <w:szCs w:val="22"/>
        </w:rPr>
        <w:t xml:space="preserve"> thesis. Auckland University of Technology. Available at: </w:t>
      </w:r>
      <w:hyperlink r:id="rId14" w:history="1">
        <w:r w:rsidRPr="00FF584E">
          <w:rPr>
            <w:rStyle w:val="Hyperlink"/>
            <w:rFonts w:ascii="Arial" w:hAnsi="Arial" w:cs="Arial"/>
            <w:color w:val="auto"/>
            <w:sz w:val="22"/>
            <w:szCs w:val="22"/>
          </w:rPr>
          <w:t>https://openrepository.aut.ac.nz/server/api/core/bitstreams/617c803c-a429-45b5-a9a8-c2e542986575/content</w:t>
        </w:r>
      </w:hyperlink>
      <w:r w:rsidRPr="00FF584E">
        <w:rPr>
          <w:rFonts w:ascii="Arial" w:hAnsi="Arial" w:cs="Arial"/>
          <w:sz w:val="22"/>
          <w:szCs w:val="22"/>
        </w:rPr>
        <w:t xml:space="preserve"> (Accessed: 22/02/2025). </w:t>
      </w:r>
    </w:p>
    <w:p w14:paraId="61EA6122"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Ellinger, A.D. and Ellinger, A.E., (2021). Providing strategic leadership for learning: optimizing managerial coaching to build learning organizations. </w:t>
      </w:r>
      <w:r w:rsidRPr="00FF584E">
        <w:rPr>
          <w:rFonts w:ascii="Arial" w:hAnsi="Arial" w:cs="Arial"/>
          <w:i/>
          <w:iCs/>
          <w:sz w:val="22"/>
          <w:szCs w:val="22"/>
        </w:rPr>
        <w:t>The Learning Organization</w:t>
      </w:r>
      <w:r w:rsidRPr="00FF584E">
        <w:rPr>
          <w:rFonts w:ascii="Arial" w:hAnsi="Arial" w:cs="Arial"/>
          <w:sz w:val="22"/>
          <w:szCs w:val="22"/>
        </w:rPr>
        <w:t>, </w:t>
      </w:r>
      <w:r w:rsidRPr="00FF584E">
        <w:rPr>
          <w:rFonts w:ascii="Arial" w:hAnsi="Arial" w:cs="Arial"/>
          <w:i/>
          <w:iCs/>
          <w:sz w:val="22"/>
          <w:szCs w:val="22"/>
        </w:rPr>
        <w:t>28</w:t>
      </w:r>
      <w:r w:rsidRPr="00FF584E">
        <w:rPr>
          <w:rFonts w:ascii="Arial" w:hAnsi="Arial" w:cs="Arial"/>
          <w:sz w:val="22"/>
          <w:szCs w:val="22"/>
        </w:rPr>
        <w:t>(4), pp.337-351.</w:t>
      </w:r>
    </w:p>
    <w:p w14:paraId="779D4C8F"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Garvey, B., Stokes, P. and Megginson, D. (2021). </w:t>
      </w:r>
      <w:r w:rsidRPr="00FF584E">
        <w:rPr>
          <w:rFonts w:ascii="Arial" w:hAnsi="Arial" w:cs="Arial"/>
          <w:i/>
          <w:iCs/>
          <w:sz w:val="22"/>
          <w:szCs w:val="22"/>
        </w:rPr>
        <w:t>Coaching and mentoring: theory and practice</w:t>
      </w:r>
      <w:r w:rsidRPr="00FF584E">
        <w:rPr>
          <w:rFonts w:ascii="Arial" w:hAnsi="Arial" w:cs="Arial"/>
          <w:sz w:val="22"/>
          <w:szCs w:val="22"/>
        </w:rPr>
        <w:t>. London; Los Angeles: Sage.</w:t>
      </w:r>
    </w:p>
    <w:p w14:paraId="688F09C6"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Garvey, R. and Stokes, P., (2021). Coaching and Mentoring: Theory and Practice.</w:t>
      </w:r>
    </w:p>
    <w:p w14:paraId="5276ECA3" w14:textId="77777777" w:rsidR="00FF584E" w:rsidRDefault="00FF584E" w:rsidP="00BA32E5">
      <w:pPr>
        <w:spacing w:line="360" w:lineRule="auto"/>
        <w:rPr>
          <w:rFonts w:ascii="Arial" w:hAnsi="Arial" w:cs="Arial"/>
          <w:sz w:val="22"/>
          <w:szCs w:val="22"/>
        </w:rPr>
      </w:pPr>
      <w:r w:rsidRPr="00FF584E">
        <w:rPr>
          <w:rFonts w:ascii="Arial" w:hAnsi="Arial" w:cs="Arial"/>
          <w:sz w:val="22"/>
          <w:szCs w:val="22"/>
        </w:rPr>
        <w:t xml:space="preserve">Gibbs, G. (1988). </w:t>
      </w:r>
      <w:r w:rsidRPr="00FF584E">
        <w:rPr>
          <w:rFonts w:ascii="Arial" w:hAnsi="Arial" w:cs="Arial"/>
          <w:i/>
          <w:iCs/>
          <w:sz w:val="22"/>
          <w:szCs w:val="22"/>
        </w:rPr>
        <w:t>Learning by Doing: A Guide to Teaching and Learning Methods.</w:t>
      </w:r>
      <w:r w:rsidRPr="00FF584E">
        <w:rPr>
          <w:rFonts w:ascii="Arial" w:hAnsi="Arial" w:cs="Arial"/>
          <w:sz w:val="22"/>
          <w:szCs w:val="22"/>
        </w:rPr>
        <w:t xml:space="preserve"> Oxford: Further Education Unit.</w:t>
      </w:r>
    </w:p>
    <w:p w14:paraId="098FA273" w14:textId="124DBE06" w:rsidR="0025740C" w:rsidRPr="00FF584E" w:rsidRDefault="0025740C" w:rsidP="00BA32E5">
      <w:pPr>
        <w:spacing w:line="360" w:lineRule="auto"/>
        <w:rPr>
          <w:rFonts w:ascii="Arial" w:hAnsi="Arial" w:cs="Arial"/>
          <w:sz w:val="22"/>
          <w:szCs w:val="22"/>
        </w:rPr>
      </w:pPr>
      <w:r w:rsidRPr="0025740C">
        <w:rPr>
          <w:rFonts w:ascii="Arial" w:hAnsi="Arial" w:cs="Arial"/>
          <w:sz w:val="22"/>
          <w:szCs w:val="22"/>
        </w:rPr>
        <w:t xml:space="preserve">Gilbert, A. and Whittleworth, K., </w:t>
      </w:r>
      <w:r>
        <w:rPr>
          <w:rFonts w:ascii="Arial" w:hAnsi="Arial" w:cs="Arial"/>
          <w:sz w:val="22"/>
          <w:szCs w:val="22"/>
        </w:rPr>
        <w:t>(</w:t>
      </w:r>
      <w:r w:rsidRPr="0025740C">
        <w:rPr>
          <w:rFonts w:ascii="Arial" w:hAnsi="Arial" w:cs="Arial"/>
          <w:sz w:val="22"/>
          <w:szCs w:val="22"/>
        </w:rPr>
        <w:t>2009</w:t>
      </w:r>
      <w:r>
        <w:rPr>
          <w:rFonts w:ascii="Arial" w:hAnsi="Arial" w:cs="Arial"/>
          <w:sz w:val="22"/>
          <w:szCs w:val="22"/>
        </w:rPr>
        <w:t>)</w:t>
      </w:r>
      <w:r w:rsidRPr="0025740C">
        <w:rPr>
          <w:rFonts w:ascii="Arial" w:hAnsi="Arial" w:cs="Arial"/>
          <w:sz w:val="22"/>
          <w:szCs w:val="22"/>
        </w:rPr>
        <w:t>. </w:t>
      </w:r>
      <w:r w:rsidRPr="0025740C">
        <w:rPr>
          <w:rFonts w:ascii="Arial" w:hAnsi="Arial" w:cs="Arial"/>
          <w:i/>
          <w:iCs/>
          <w:sz w:val="22"/>
          <w:szCs w:val="22"/>
        </w:rPr>
        <w:t>The OSCAR coaching model</w:t>
      </w:r>
      <w:r w:rsidRPr="0025740C">
        <w:rPr>
          <w:rFonts w:ascii="Arial" w:hAnsi="Arial" w:cs="Arial"/>
          <w:sz w:val="22"/>
          <w:szCs w:val="22"/>
        </w:rPr>
        <w:t xml:space="preserve">. </w:t>
      </w:r>
      <w:r>
        <w:rPr>
          <w:rFonts w:ascii="Arial" w:hAnsi="Arial" w:cs="Arial"/>
          <w:sz w:val="22"/>
          <w:szCs w:val="22"/>
        </w:rPr>
        <w:t>Lulu.com</w:t>
      </w:r>
      <w:r w:rsidRPr="0025740C">
        <w:rPr>
          <w:rFonts w:ascii="Arial" w:hAnsi="Arial" w:cs="Arial"/>
          <w:sz w:val="22"/>
          <w:szCs w:val="22"/>
        </w:rPr>
        <w:t>.</w:t>
      </w:r>
    </w:p>
    <w:p w14:paraId="1F1B2922"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Hawkins, P., (2021). </w:t>
      </w:r>
      <w:r w:rsidRPr="00FF584E">
        <w:rPr>
          <w:rFonts w:ascii="Arial" w:hAnsi="Arial" w:cs="Arial"/>
          <w:i/>
          <w:iCs/>
          <w:sz w:val="22"/>
          <w:szCs w:val="22"/>
        </w:rPr>
        <w:t>Leadership team coaching: Developing collective transformational leadership</w:t>
      </w:r>
      <w:r w:rsidRPr="00FF584E">
        <w:rPr>
          <w:rFonts w:ascii="Arial" w:hAnsi="Arial" w:cs="Arial"/>
          <w:sz w:val="22"/>
          <w:szCs w:val="22"/>
        </w:rPr>
        <w:t>. Kogan Page Publishers.</w:t>
      </w:r>
    </w:p>
    <w:p w14:paraId="7005B518"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 xml:space="preserve">Ivanova, I., </w:t>
      </w:r>
      <w:proofErr w:type="spellStart"/>
      <w:r w:rsidRPr="00FF584E">
        <w:rPr>
          <w:rFonts w:ascii="Arial" w:hAnsi="Arial" w:cs="Arial"/>
          <w:sz w:val="22"/>
          <w:szCs w:val="22"/>
        </w:rPr>
        <w:t>Kozhuharova</w:t>
      </w:r>
      <w:proofErr w:type="spellEnd"/>
      <w:r w:rsidRPr="00FF584E">
        <w:rPr>
          <w:rFonts w:ascii="Arial" w:hAnsi="Arial" w:cs="Arial"/>
          <w:sz w:val="22"/>
          <w:szCs w:val="22"/>
        </w:rPr>
        <w:t>, P. and Todorova, R., (2022). Sustainable professional development through coaching: benefits for teachers and learners. </w:t>
      </w:r>
      <w:r w:rsidRPr="00FF584E">
        <w:rPr>
          <w:rFonts w:ascii="Arial" w:hAnsi="Arial" w:cs="Arial"/>
          <w:i/>
          <w:iCs/>
          <w:sz w:val="22"/>
          <w:szCs w:val="22"/>
        </w:rPr>
        <w:t>Strategies for Policy in Science &amp; Education/</w:t>
      </w:r>
      <w:proofErr w:type="spellStart"/>
      <w:r w:rsidRPr="00FF584E">
        <w:rPr>
          <w:rFonts w:ascii="Arial" w:hAnsi="Arial" w:cs="Arial"/>
          <w:i/>
          <w:iCs/>
          <w:sz w:val="22"/>
          <w:szCs w:val="22"/>
        </w:rPr>
        <w:t>Strategii</w:t>
      </w:r>
      <w:proofErr w:type="spellEnd"/>
      <w:r w:rsidRPr="00FF584E">
        <w:rPr>
          <w:rFonts w:ascii="Arial" w:hAnsi="Arial" w:cs="Arial"/>
          <w:i/>
          <w:iCs/>
          <w:sz w:val="22"/>
          <w:szCs w:val="22"/>
        </w:rPr>
        <w:t xml:space="preserve"> Na </w:t>
      </w:r>
      <w:proofErr w:type="spellStart"/>
      <w:r w:rsidRPr="00FF584E">
        <w:rPr>
          <w:rFonts w:ascii="Arial" w:hAnsi="Arial" w:cs="Arial"/>
          <w:i/>
          <w:iCs/>
          <w:sz w:val="22"/>
          <w:szCs w:val="22"/>
        </w:rPr>
        <w:t>Obrazovatelnata</w:t>
      </w:r>
      <w:proofErr w:type="spellEnd"/>
      <w:r w:rsidRPr="00FF584E">
        <w:rPr>
          <w:rFonts w:ascii="Arial" w:hAnsi="Arial" w:cs="Arial"/>
          <w:i/>
          <w:iCs/>
          <w:sz w:val="22"/>
          <w:szCs w:val="22"/>
        </w:rPr>
        <w:t xml:space="preserve"> </w:t>
      </w:r>
      <w:proofErr w:type="spellStart"/>
      <w:r w:rsidRPr="00FF584E">
        <w:rPr>
          <w:rFonts w:ascii="Arial" w:hAnsi="Arial" w:cs="Arial"/>
          <w:i/>
          <w:iCs/>
          <w:sz w:val="22"/>
          <w:szCs w:val="22"/>
        </w:rPr>
        <w:t>i</w:t>
      </w:r>
      <w:proofErr w:type="spellEnd"/>
      <w:r w:rsidRPr="00FF584E">
        <w:rPr>
          <w:rFonts w:ascii="Arial" w:hAnsi="Arial" w:cs="Arial"/>
          <w:i/>
          <w:iCs/>
          <w:sz w:val="22"/>
          <w:szCs w:val="22"/>
        </w:rPr>
        <w:t xml:space="preserve"> </w:t>
      </w:r>
      <w:proofErr w:type="spellStart"/>
      <w:r w:rsidRPr="00FF584E">
        <w:rPr>
          <w:rFonts w:ascii="Arial" w:hAnsi="Arial" w:cs="Arial"/>
          <w:i/>
          <w:iCs/>
          <w:sz w:val="22"/>
          <w:szCs w:val="22"/>
        </w:rPr>
        <w:t>Nauchnata</w:t>
      </w:r>
      <w:proofErr w:type="spellEnd"/>
      <w:r w:rsidRPr="00FF584E">
        <w:rPr>
          <w:rFonts w:ascii="Arial" w:hAnsi="Arial" w:cs="Arial"/>
          <w:i/>
          <w:iCs/>
          <w:sz w:val="22"/>
          <w:szCs w:val="22"/>
        </w:rPr>
        <w:t xml:space="preserve"> Politika</w:t>
      </w:r>
      <w:r w:rsidRPr="00FF584E">
        <w:rPr>
          <w:rFonts w:ascii="Arial" w:hAnsi="Arial" w:cs="Arial"/>
          <w:sz w:val="22"/>
          <w:szCs w:val="22"/>
        </w:rPr>
        <w:t>, </w:t>
      </w:r>
      <w:r w:rsidRPr="00FF584E">
        <w:rPr>
          <w:rFonts w:ascii="Arial" w:hAnsi="Arial" w:cs="Arial"/>
          <w:i/>
          <w:iCs/>
          <w:sz w:val="22"/>
          <w:szCs w:val="22"/>
        </w:rPr>
        <w:t>30</w:t>
      </w:r>
      <w:r w:rsidRPr="00FF584E">
        <w:rPr>
          <w:rFonts w:ascii="Arial" w:hAnsi="Arial" w:cs="Arial"/>
          <w:sz w:val="22"/>
          <w:szCs w:val="22"/>
        </w:rPr>
        <w:t>(5).</w:t>
      </w:r>
    </w:p>
    <w:p w14:paraId="26015F51" w14:textId="77777777" w:rsidR="00FF584E" w:rsidRDefault="00FF584E" w:rsidP="00FE34C7">
      <w:pPr>
        <w:spacing w:line="360" w:lineRule="auto"/>
        <w:rPr>
          <w:rFonts w:ascii="Arial" w:hAnsi="Arial" w:cs="Arial"/>
          <w:sz w:val="22"/>
          <w:szCs w:val="22"/>
        </w:rPr>
      </w:pPr>
      <w:r w:rsidRPr="00FF584E">
        <w:rPr>
          <w:rFonts w:ascii="Arial" w:hAnsi="Arial" w:cs="Arial"/>
          <w:sz w:val="22"/>
          <w:szCs w:val="22"/>
        </w:rPr>
        <w:t>LinkedIn (2023). </w:t>
      </w:r>
      <w:r w:rsidRPr="00FF584E">
        <w:rPr>
          <w:rFonts w:ascii="Arial" w:hAnsi="Arial" w:cs="Arial"/>
          <w:i/>
          <w:iCs/>
          <w:sz w:val="22"/>
          <w:szCs w:val="22"/>
        </w:rPr>
        <w:t>Knowing the constraints of the Coaching context is an excellent Coaching tool!</w:t>
      </w:r>
      <w:r w:rsidRPr="00FF584E">
        <w:rPr>
          <w:rFonts w:ascii="Arial" w:hAnsi="Arial" w:cs="Arial"/>
          <w:sz w:val="22"/>
          <w:szCs w:val="22"/>
        </w:rPr>
        <w:t xml:space="preserve"> Available at: </w:t>
      </w:r>
      <w:hyperlink r:id="rId15" w:history="1">
        <w:r w:rsidRPr="00FF584E">
          <w:rPr>
            <w:rStyle w:val="Hyperlink"/>
            <w:rFonts w:ascii="Arial" w:hAnsi="Arial" w:cs="Arial"/>
            <w:color w:val="auto"/>
            <w:sz w:val="22"/>
            <w:szCs w:val="22"/>
          </w:rPr>
          <w:t>https://www.linkedin.com/pulse/knowing-constraints-coaching-context-excellent-tool-chandan-patary/</w:t>
        </w:r>
      </w:hyperlink>
      <w:r w:rsidRPr="00FF584E">
        <w:rPr>
          <w:rFonts w:ascii="Arial" w:hAnsi="Arial" w:cs="Arial"/>
          <w:sz w:val="22"/>
          <w:szCs w:val="22"/>
        </w:rPr>
        <w:t xml:space="preserve">. (Accessed: 22/02/2025). </w:t>
      </w:r>
    </w:p>
    <w:p w14:paraId="4EFFF1C3" w14:textId="3A82C77B" w:rsidR="00D75F46" w:rsidRPr="00FF584E" w:rsidRDefault="00D75F46" w:rsidP="00FE34C7">
      <w:pPr>
        <w:spacing w:line="360" w:lineRule="auto"/>
        <w:rPr>
          <w:rFonts w:ascii="Arial" w:hAnsi="Arial" w:cs="Arial"/>
          <w:sz w:val="22"/>
          <w:szCs w:val="22"/>
        </w:rPr>
      </w:pPr>
      <w:r w:rsidRPr="00D75F46">
        <w:rPr>
          <w:rFonts w:ascii="Arial" w:hAnsi="Arial" w:cs="Arial"/>
          <w:sz w:val="22"/>
          <w:szCs w:val="22"/>
        </w:rPr>
        <w:t xml:space="preserve">Luft, J. and Ingham, H., </w:t>
      </w:r>
      <w:r>
        <w:rPr>
          <w:rFonts w:ascii="Arial" w:hAnsi="Arial" w:cs="Arial"/>
          <w:sz w:val="22"/>
          <w:szCs w:val="22"/>
        </w:rPr>
        <w:t>(</w:t>
      </w:r>
      <w:r w:rsidRPr="00D75F46">
        <w:rPr>
          <w:rFonts w:ascii="Arial" w:hAnsi="Arial" w:cs="Arial"/>
          <w:sz w:val="22"/>
          <w:szCs w:val="22"/>
        </w:rPr>
        <w:t>1955</w:t>
      </w:r>
      <w:r>
        <w:rPr>
          <w:rFonts w:ascii="Arial" w:hAnsi="Arial" w:cs="Arial"/>
          <w:sz w:val="22"/>
          <w:szCs w:val="22"/>
        </w:rPr>
        <w:t>)</w:t>
      </w:r>
      <w:r w:rsidRPr="00D75F46">
        <w:rPr>
          <w:rFonts w:ascii="Arial" w:hAnsi="Arial" w:cs="Arial"/>
          <w:sz w:val="22"/>
          <w:szCs w:val="22"/>
        </w:rPr>
        <w:t>. The Johari window, a graphic model of interpersonal awareness. </w:t>
      </w:r>
      <w:r w:rsidRPr="00D75F46">
        <w:rPr>
          <w:rFonts w:ascii="Arial" w:hAnsi="Arial" w:cs="Arial"/>
          <w:i/>
          <w:iCs/>
          <w:sz w:val="22"/>
          <w:szCs w:val="22"/>
        </w:rPr>
        <w:t>Proceedings of the western training laboratory in group development</w:t>
      </w:r>
      <w:r w:rsidRPr="00D75F46">
        <w:rPr>
          <w:rFonts w:ascii="Arial" w:hAnsi="Arial" w:cs="Arial"/>
          <w:sz w:val="22"/>
          <w:szCs w:val="22"/>
        </w:rPr>
        <w:t>, </w:t>
      </w:r>
      <w:r w:rsidRPr="00D75F46">
        <w:rPr>
          <w:rFonts w:ascii="Arial" w:hAnsi="Arial" w:cs="Arial"/>
          <w:i/>
          <w:iCs/>
          <w:sz w:val="22"/>
          <w:szCs w:val="22"/>
        </w:rPr>
        <w:t>246</w:t>
      </w:r>
      <w:r w:rsidRPr="00D75F46">
        <w:rPr>
          <w:rFonts w:ascii="Arial" w:hAnsi="Arial" w:cs="Arial"/>
          <w:sz w:val="22"/>
          <w:szCs w:val="22"/>
        </w:rPr>
        <w:t>, pp.2014-2003.</w:t>
      </w:r>
    </w:p>
    <w:p w14:paraId="1DB27B2C"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lastRenderedPageBreak/>
        <w:t xml:space="preserve">Nuel, O.I.E., </w:t>
      </w:r>
      <w:proofErr w:type="spellStart"/>
      <w:r w:rsidRPr="00FF584E">
        <w:rPr>
          <w:rFonts w:ascii="Arial" w:hAnsi="Arial" w:cs="Arial"/>
          <w:sz w:val="22"/>
          <w:szCs w:val="22"/>
        </w:rPr>
        <w:t>Nwakoby</w:t>
      </w:r>
      <w:proofErr w:type="spellEnd"/>
      <w:r w:rsidRPr="00FF584E">
        <w:rPr>
          <w:rFonts w:ascii="Arial" w:hAnsi="Arial" w:cs="Arial"/>
          <w:sz w:val="22"/>
          <w:szCs w:val="22"/>
        </w:rPr>
        <w:t>, N.P. and Ifechi, A.N., (2021). Mentoring: The way to academic excellence. Available at: DOI:</w:t>
      </w:r>
      <w:hyperlink r:id="rId16" w:tgtFrame="_blank" w:history="1">
        <w:r w:rsidRPr="00FF584E">
          <w:rPr>
            <w:rStyle w:val="Hyperlink"/>
            <w:rFonts w:ascii="Arial" w:hAnsi="Arial" w:cs="Arial"/>
            <w:color w:val="auto"/>
            <w:sz w:val="22"/>
            <w:szCs w:val="22"/>
          </w:rPr>
          <w:t>10.31014/aior.1993.04.01.180</w:t>
        </w:r>
      </w:hyperlink>
      <w:r w:rsidRPr="00FF584E">
        <w:rPr>
          <w:rFonts w:ascii="Arial" w:hAnsi="Arial" w:cs="Arial"/>
          <w:sz w:val="22"/>
          <w:szCs w:val="22"/>
        </w:rPr>
        <w:t>. (Accessed: 15/02/2025).</w:t>
      </w:r>
    </w:p>
    <w:p w14:paraId="632C0B2B" w14:textId="77777777" w:rsidR="00FF584E" w:rsidRPr="00FF584E" w:rsidRDefault="00FF584E" w:rsidP="00FE34C7">
      <w:pPr>
        <w:spacing w:line="360" w:lineRule="auto"/>
        <w:rPr>
          <w:rFonts w:ascii="Arial" w:hAnsi="Arial" w:cs="Arial"/>
          <w:sz w:val="22"/>
          <w:szCs w:val="22"/>
        </w:rPr>
      </w:pPr>
      <w:proofErr w:type="spellStart"/>
      <w:r w:rsidRPr="00FF584E">
        <w:rPr>
          <w:rFonts w:ascii="Arial" w:hAnsi="Arial" w:cs="Arial"/>
          <w:sz w:val="22"/>
          <w:szCs w:val="22"/>
        </w:rPr>
        <w:t>Parsloe</w:t>
      </w:r>
      <w:proofErr w:type="spellEnd"/>
      <w:r w:rsidRPr="00FF584E">
        <w:rPr>
          <w:rFonts w:ascii="Arial" w:hAnsi="Arial" w:cs="Arial"/>
          <w:sz w:val="22"/>
          <w:szCs w:val="22"/>
        </w:rPr>
        <w:t>, E. and Leedham, M., (2016). </w:t>
      </w:r>
      <w:r w:rsidRPr="00FF584E">
        <w:rPr>
          <w:rFonts w:ascii="Arial" w:hAnsi="Arial" w:cs="Arial"/>
          <w:i/>
          <w:iCs/>
          <w:sz w:val="22"/>
          <w:szCs w:val="22"/>
        </w:rPr>
        <w:t>Coaching and mentoring: Practical techniques for developing learning and performance</w:t>
      </w:r>
      <w:r w:rsidRPr="00FF584E">
        <w:rPr>
          <w:rFonts w:ascii="Arial" w:hAnsi="Arial" w:cs="Arial"/>
          <w:sz w:val="22"/>
          <w:szCs w:val="22"/>
        </w:rPr>
        <w:t>. Kogan Page Publishers.</w:t>
      </w:r>
    </w:p>
    <w:p w14:paraId="2BB555B3"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Passmore, J., (2021). </w:t>
      </w:r>
      <w:r w:rsidRPr="00FF584E">
        <w:rPr>
          <w:rFonts w:ascii="Arial" w:hAnsi="Arial" w:cs="Arial"/>
          <w:i/>
          <w:iCs/>
          <w:sz w:val="22"/>
          <w:szCs w:val="22"/>
        </w:rPr>
        <w:t>Excellence in coaching: Theory, tools and techniques to achieve outstanding coaching performance</w:t>
      </w:r>
      <w:r w:rsidRPr="00FF584E">
        <w:rPr>
          <w:rFonts w:ascii="Arial" w:hAnsi="Arial" w:cs="Arial"/>
          <w:sz w:val="22"/>
          <w:szCs w:val="22"/>
        </w:rPr>
        <w:t>. Kogan Page Publishers.</w:t>
      </w:r>
    </w:p>
    <w:p w14:paraId="66A58F23"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Ribeiro, N., Nguyen, T., Duarte, A.P., Torres de Oliveira, R. and Faustino, C., (2021). How managerial coaching promotes employees' affective commitment and individual performance. </w:t>
      </w:r>
      <w:r w:rsidRPr="00FF584E">
        <w:rPr>
          <w:rFonts w:ascii="Arial" w:hAnsi="Arial" w:cs="Arial"/>
          <w:i/>
          <w:iCs/>
          <w:sz w:val="22"/>
          <w:szCs w:val="22"/>
        </w:rPr>
        <w:t>International Journal of Productivity and Performance Management</w:t>
      </w:r>
      <w:r w:rsidRPr="00FF584E">
        <w:rPr>
          <w:rFonts w:ascii="Arial" w:hAnsi="Arial" w:cs="Arial"/>
          <w:sz w:val="22"/>
          <w:szCs w:val="22"/>
        </w:rPr>
        <w:t>, </w:t>
      </w:r>
      <w:r w:rsidRPr="00FF584E">
        <w:rPr>
          <w:rFonts w:ascii="Arial" w:hAnsi="Arial" w:cs="Arial"/>
          <w:i/>
          <w:iCs/>
          <w:sz w:val="22"/>
          <w:szCs w:val="22"/>
        </w:rPr>
        <w:t>70</w:t>
      </w:r>
      <w:r w:rsidRPr="00FF584E">
        <w:rPr>
          <w:rFonts w:ascii="Arial" w:hAnsi="Arial" w:cs="Arial"/>
          <w:sz w:val="22"/>
          <w:szCs w:val="22"/>
        </w:rPr>
        <w:t xml:space="preserve">(8), Available at: </w:t>
      </w:r>
      <w:hyperlink r:id="rId17" w:history="1">
        <w:r w:rsidRPr="00FF584E">
          <w:rPr>
            <w:rStyle w:val="Hyperlink"/>
            <w:rFonts w:ascii="Arial" w:hAnsi="Arial" w:cs="Arial"/>
            <w:color w:val="auto"/>
            <w:sz w:val="22"/>
            <w:szCs w:val="22"/>
          </w:rPr>
          <w:t>https://doi.org/10.1108/IJPPM-10-2018-0373,(Accessed:15/02/2025)</w:t>
        </w:r>
      </w:hyperlink>
      <w:r w:rsidRPr="00FF584E">
        <w:rPr>
          <w:rFonts w:ascii="Arial" w:hAnsi="Arial" w:cs="Arial"/>
          <w:sz w:val="22"/>
          <w:szCs w:val="22"/>
        </w:rPr>
        <w:t>.</w:t>
      </w:r>
    </w:p>
    <w:p w14:paraId="78712D1E"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Rogers, J., (2024). </w:t>
      </w:r>
      <w:r w:rsidRPr="00FF584E">
        <w:rPr>
          <w:rFonts w:ascii="Arial" w:hAnsi="Arial" w:cs="Arial"/>
          <w:i/>
          <w:iCs/>
          <w:sz w:val="22"/>
          <w:szCs w:val="22"/>
        </w:rPr>
        <w:t>Coaching Skills: The Definitive Guide to being a Coach 5e</w:t>
      </w:r>
      <w:r w:rsidRPr="00FF584E">
        <w:rPr>
          <w:rFonts w:ascii="Arial" w:hAnsi="Arial" w:cs="Arial"/>
          <w:sz w:val="22"/>
          <w:szCs w:val="22"/>
        </w:rPr>
        <w:t>. McGraw-Hill Education (UK).</w:t>
      </w:r>
    </w:p>
    <w:p w14:paraId="28DCDE52" w14:textId="77777777" w:rsidR="00FF584E" w:rsidRPr="00FF584E" w:rsidRDefault="00FF584E" w:rsidP="00FE34C7">
      <w:pPr>
        <w:spacing w:line="360" w:lineRule="auto"/>
        <w:rPr>
          <w:rFonts w:ascii="Arial" w:hAnsi="Arial" w:cs="Arial"/>
          <w:sz w:val="22"/>
          <w:szCs w:val="22"/>
        </w:rPr>
      </w:pPr>
      <w:proofErr w:type="spellStart"/>
      <w:r w:rsidRPr="00FF584E">
        <w:rPr>
          <w:rFonts w:ascii="Arial" w:hAnsi="Arial" w:cs="Arial"/>
          <w:sz w:val="22"/>
          <w:szCs w:val="22"/>
        </w:rPr>
        <w:t>Spennemann</w:t>
      </w:r>
      <w:proofErr w:type="spellEnd"/>
      <w:r w:rsidRPr="00FF584E">
        <w:rPr>
          <w:rFonts w:ascii="Arial" w:hAnsi="Arial" w:cs="Arial"/>
          <w:sz w:val="22"/>
          <w:szCs w:val="22"/>
        </w:rPr>
        <w:t>, D.H., (2023). The usefulness of the Johari Window for the Cultural Heritage Planning Process. </w:t>
      </w:r>
      <w:r w:rsidRPr="00FF584E">
        <w:rPr>
          <w:rFonts w:ascii="Arial" w:hAnsi="Arial" w:cs="Arial"/>
          <w:i/>
          <w:iCs/>
          <w:sz w:val="22"/>
          <w:szCs w:val="22"/>
        </w:rPr>
        <w:t>Heritage</w:t>
      </w:r>
      <w:r w:rsidRPr="00FF584E">
        <w:rPr>
          <w:rFonts w:ascii="Arial" w:hAnsi="Arial" w:cs="Arial"/>
          <w:sz w:val="22"/>
          <w:szCs w:val="22"/>
        </w:rPr>
        <w:t>, </w:t>
      </w:r>
      <w:r w:rsidRPr="00FF584E">
        <w:rPr>
          <w:rFonts w:ascii="Arial" w:hAnsi="Arial" w:cs="Arial"/>
          <w:i/>
          <w:iCs/>
          <w:sz w:val="22"/>
          <w:szCs w:val="22"/>
        </w:rPr>
        <w:t>6</w:t>
      </w:r>
      <w:r w:rsidRPr="00FF584E">
        <w:rPr>
          <w:rFonts w:ascii="Arial" w:hAnsi="Arial" w:cs="Arial"/>
          <w:sz w:val="22"/>
          <w:szCs w:val="22"/>
        </w:rPr>
        <w:t>(1), pp.724-741.</w:t>
      </w:r>
    </w:p>
    <w:p w14:paraId="3C49C489"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Voss, J.G., Alfes, C.M., Clark, A., Lilly, K.D. and Moore, S., (2022). Why mentoring matters for new graduates transitioning to practice: Implications for nurse leaders. </w:t>
      </w:r>
      <w:r w:rsidRPr="00FF584E">
        <w:rPr>
          <w:rFonts w:ascii="Arial" w:hAnsi="Arial" w:cs="Arial"/>
          <w:i/>
          <w:iCs/>
          <w:sz w:val="22"/>
          <w:szCs w:val="22"/>
        </w:rPr>
        <w:t>Nurse Leader</w:t>
      </w:r>
      <w:r w:rsidRPr="00FF584E">
        <w:rPr>
          <w:rFonts w:ascii="Arial" w:hAnsi="Arial" w:cs="Arial"/>
          <w:sz w:val="22"/>
          <w:szCs w:val="22"/>
        </w:rPr>
        <w:t>, </w:t>
      </w:r>
      <w:r w:rsidRPr="00FF584E">
        <w:rPr>
          <w:rFonts w:ascii="Arial" w:hAnsi="Arial" w:cs="Arial"/>
          <w:i/>
          <w:iCs/>
          <w:sz w:val="22"/>
          <w:szCs w:val="22"/>
        </w:rPr>
        <w:t>20</w:t>
      </w:r>
      <w:r w:rsidRPr="00FF584E">
        <w:rPr>
          <w:rFonts w:ascii="Arial" w:hAnsi="Arial" w:cs="Arial"/>
          <w:sz w:val="22"/>
          <w:szCs w:val="22"/>
        </w:rPr>
        <w:t>(4), pp.399-403.</w:t>
      </w:r>
    </w:p>
    <w:p w14:paraId="75057FF4"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Whitmore, J. and McFarlane, J., (2019). </w:t>
      </w:r>
      <w:r w:rsidRPr="00FF584E">
        <w:rPr>
          <w:rFonts w:ascii="Arial" w:hAnsi="Arial" w:cs="Arial"/>
          <w:i/>
          <w:iCs/>
          <w:sz w:val="22"/>
          <w:szCs w:val="22"/>
        </w:rPr>
        <w:t>Coaching for Performance: The Principles and Practice of Coaching and Leadership</w:t>
      </w:r>
      <w:r w:rsidRPr="00FF584E">
        <w:rPr>
          <w:rFonts w:ascii="Arial" w:hAnsi="Arial" w:cs="Arial"/>
          <w:sz w:val="22"/>
          <w:szCs w:val="22"/>
        </w:rPr>
        <w:t>. Gildan Audio.</w:t>
      </w:r>
    </w:p>
    <w:p w14:paraId="19E60661" w14:textId="77777777" w:rsidR="00EC458E" w:rsidRPr="00BA32E5" w:rsidRDefault="00EC458E" w:rsidP="00BA32E5">
      <w:pPr>
        <w:spacing w:line="360" w:lineRule="auto"/>
        <w:rPr>
          <w:rFonts w:ascii="Arial" w:hAnsi="Arial" w:cs="Arial"/>
          <w:color w:val="92D050"/>
          <w:sz w:val="22"/>
          <w:szCs w:val="22"/>
        </w:rPr>
      </w:pPr>
    </w:p>
    <w:p w14:paraId="0E8CD924" w14:textId="77777777" w:rsidR="00BA32E5" w:rsidRDefault="00BA32E5" w:rsidP="00FE34C7">
      <w:pPr>
        <w:spacing w:line="360" w:lineRule="auto"/>
        <w:rPr>
          <w:rFonts w:ascii="Arial" w:hAnsi="Arial" w:cs="Arial"/>
          <w:color w:val="92D050"/>
          <w:sz w:val="22"/>
          <w:szCs w:val="22"/>
        </w:rPr>
      </w:pPr>
    </w:p>
    <w:p w14:paraId="12378FBD" w14:textId="77777777" w:rsidR="00FE1B02" w:rsidRPr="00A517A5" w:rsidRDefault="00FE1B02" w:rsidP="00FE34C7">
      <w:pPr>
        <w:spacing w:line="360" w:lineRule="auto"/>
        <w:rPr>
          <w:rFonts w:ascii="Arial" w:hAnsi="Arial" w:cs="Arial"/>
          <w:color w:val="000000" w:themeColor="text1"/>
          <w:sz w:val="22"/>
          <w:szCs w:val="22"/>
        </w:rPr>
      </w:pPr>
    </w:p>
    <w:p w14:paraId="7FB8D5DD" w14:textId="77777777" w:rsidR="007A5EAA" w:rsidRPr="00A517A5" w:rsidRDefault="007A5EAA" w:rsidP="00FE34C7">
      <w:pPr>
        <w:spacing w:line="360" w:lineRule="auto"/>
        <w:rPr>
          <w:rFonts w:ascii="Arial" w:hAnsi="Arial" w:cs="Arial"/>
          <w:color w:val="000000" w:themeColor="text1"/>
          <w:sz w:val="22"/>
          <w:szCs w:val="22"/>
        </w:rPr>
      </w:pPr>
    </w:p>
    <w:sectPr w:rsidR="007A5EAA" w:rsidRPr="00A517A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95109" w14:textId="77777777" w:rsidR="0064310D" w:rsidRDefault="0064310D" w:rsidP="002B59E8">
      <w:pPr>
        <w:spacing w:after="0" w:line="240" w:lineRule="auto"/>
      </w:pPr>
      <w:r>
        <w:separator/>
      </w:r>
    </w:p>
  </w:endnote>
  <w:endnote w:type="continuationSeparator" w:id="0">
    <w:p w14:paraId="16181A89" w14:textId="77777777" w:rsidR="0064310D" w:rsidRDefault="0064310D" w:rsidP="002B5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45588"/>
      <w:docPartObj>
        <w:docPartGallery w:val="Page Numbers (Bottom of Page)"/>
        <w:docPartUnique/>
      </w:docPartObj>
    </w:sdtPr>
    <w:sdtContent>
      <w:p w14:paraId="2D32172D" w14:textId="37A63677" w:rsidR="002B59E8" w:rsidRDefault="002B59E8">
        <w:pPr>
          <w:pStyle w:val="Footer"/>
          <w:jc w:val="right"/>
        </w:pPr>
        <w:r>
          <w:fldChar w:fldCharType="begin"/>
        </w:r>
        <w:r>
          <w:instrText>PAGE   \* MERGEFORMAT</w:instrText>
        </w:r>
        <w:r>
          <w:fldChar w:fldCharType="separate"/>
        </w:r>
        <w:r>
          <w:t>2</w:t>
        </w:r>
        <w:r>
          <w:fldChar w:fldCharType="end"/>
        </w:r>
      </w:p>
    </w:sdtContent>
  </w:sdt>
  <w:p w14:paraId="781F2765" w14:textId="77777777" w:rsidR="002B59E8" w:rsidRDefault="002B5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96A48" w14:textId="77777777" w:rsidR="0064310D" w:rsidRDefault="0064310D" w:rsidP="002B59E8">
      <w:pPr>
        <w:spacing w:after="0" w:line="240" w:lineRule="auto"/>
      </w:pPr>
      <w:r>
        <w:separator/>
      </w:r>
    </w:p>
  </w:footnote>
  <w:footnote w:type="continuationSeparator" w:id="0">
    <w:p w14:paraId="4D63201C" w14:textId="77777777" w:rsidR="0064310D" w:rsidRDefault="0064310D" w:rsidP="002B5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C1AF1"/>
    <w:multiLevelType w:val="hybridMultilevel"/>
    <w:tmpl w:val="9FD65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75D5E"/>
    <w:multiLevelType w:val="multilevel"/>
    <w:tmpl w:val="42F4E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A21A6C"/>
    <w:multiLevelType w:val="multilevel"/>
    <w:tmpl w:val="F3CC6F3C"/>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DAB732F"/>
    <w:multiLevelType w:val="multilevel"/>
    <w:tmpl w:val="0EF0575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E1B5010"/>
    <w:multiLevelType w:val="hybridMultilevel"/>
    <w:tmpl w:val="6F3A5C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A7185"/>
    <w:multiLevelType w:val="hybridMultilevel"/>
    <w:tmpl w:val="F1F26EE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39E41EA"/>
    <w:multiLevelType w:val="hybridMultilevel"/>
    <w:tmpl w:val="CD4C8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DB1FBC"/>
    <w:multiLevelType w:val="hybridMultilevel"/>
    <w:tmpl w:val="BD84F8D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07B0AB4"/>
    <w:multiLevelType w:val="hybridMultilevel"/>
    <w:tmpl w:val="CEE47A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16490B"/>
    <w:multiLevelType w:val="multilevel"/>
    <w:tmpl w:val="EE20F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5F4F0A"/>
    <w:multiLevelType w:val="hybridMultilevel"/>
    <w:tmpl w:val="14FED38A"/>
    <w:lvl w:ilvl="0" w:tplc="005662F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86F494A"/>
    <w:multiLevelType w:val="hybridMultilevel"/>
    <w:tmpl w:val="C4A0A87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3500B40"/>
    <w:multiLevelType w:val="hybridMultilevel"/>
    <w:tmpl w:val="DF4628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349384">
    <w:abstractNumId w:val="1"/>
  </w:num>
  <w:num w:numId="2" w16cid:durableId="890385769">
    <w:abstractNumId w:val="9"/>
  </w:num>
  <w:num w:numId="3" w16cid:durableId="982975335">
    <w:abstractNumId w:val="2"/>
  </w:num>
  <w:num w:numId="4" w16cid:durableId="1360275861">
    <w:abstractNumId w:val="11"/>
  </w:num>
  <w:num w:numId="5" w16cid:durableId="1123383627">
    <w:abstractNumId w:val="12"/>
  </w:num>
  <w:num w:numId="6" w16cid:durableId="2061396937">
    <w:abstractNumId w:val="6"/>
  </w:num>
  <w:num w:numId="7" w16cid:durableId="1232349528">
    <w:abstractNumId w:val="5"/>
  </w:num>
  <w:num w:numId="8" w16cid:durableId="392895885">
    <w:abstractNumId w:val="8"/>
  </w:num>
  <w:num w:numId="9" w16cid:durableId="1120536202">
    <w:abstractNumId w:val="0"/>
  </w:num>
  <w:num w:numId="10" w16cid:durableId="684945702">
    <w:abstractNumId w:val="7"/>
  </w:num>
  <w:num w:numId="11" w16cid:durableId="93323788">
    <w:abstractNumId w:val="4"/>
  </w:num>
  <w:num w:numId="12" w16cid:durableId="988512194">
    <w:abstractNumId w:val="3"/>
  </w:num>
  <w:num w:numId="13" w16cid:durableId="6506419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EAA"/>
    <w:rsid w:val="00003D3F"/>
    <w:rsid w:val="00015831"/>
    <w:rsid w:val="00016DE8"/>
    <w:rsid w:val="00030AA5"/>
    <w:rsid w:val="00037ABD"/>
    <w:rsid w:val="0004156E"/>
    <w:rsid w:val="00047636"/>
    <w:rsid w:val="00051882"/>
    <w:rsid w:val="00060101"/>
    <w:rsid w:val="00062A95"/>
    <w:rsid w:val="00065907"/>
    <w:rsid w:val="00075368"/>
    <w:rsid w:val="00075DE3"/>
    <w:rsid w:val="00076386"/>
    <w:rsid w:val="000830F8"/>
    <w:rsid w:val="00084BDC"/>
    <w:rsid w:val="00087E5F"/>
    <w:rsid w:val="000A21CD"/>
    <w:rsid w:val="000B0572"/>
    <w:rsid w:val="000C1E39"/>
    <w:rsid w:val="000C260D"/>
    <w:rsid w:val="000D0E6C"/>
    <w:rsid w:val="000F4C3F"/>
    <w:rsid w:val="0012283C"/>
    <w:rsid w:val="001542D5"/>
    <w:rsid w:val="00165A46"/>
    <w:rsid w:val="001B0B4F"/>
    <w:rsid w:val="001B7865"/>
    <w:rsid w:val="001C126B"/>
    <w:rsid w:val="001E4561"/>
    <w:rsid w:val="001E6994"/>
    <w:rsid w:val="001E6B27"/>
    <w:rsid w:val="001F2763"/>
    <w:rsid w:val="001F65C9"/>
    <w:rsid w:val="00203A86"/>
    <w:rsid w:val="0021049C"/>
    <w:rsid w:val="00222B16"/>
    <w:rsid w:val="002263B4"/>
    <w:rsid w:val="00231DA0"/>
    <w:rsid w:val="00233AA6"/>
    <w:rsid w:val="00234760"/>
    <w:rsid w:val="0025740C"/>
    <w:rsid w:val="00285D16"/>
    <w:rsid w:val="002912A3"/>
    <w:rsid w:val="002B0086"/>
    <w:rsid w:val="002B0F42"/>
    <w:rsid w:val="002B3736"/>
    <w:rsid w:val="002B59E8"/>
    <w:rsid w:val="002B75F3"/>
    <w:rsid w:val="002D6B56"/>
    <w:rsid w:val="002E61C2"/>
    <w:rsid w:val="0033166B"/>
    <w:rsid w:val="00343DA6"/>
    <w:rsid w:val="00350A1E"/>
    <w:rsid w:val="00351BB1"/>
    <w:rsid w:val="00374771"/>
    <w:rsid w:val="00396E4E"/>
    <w:rsid w:val="003A613C"/>
    <w:rsid w:val="003B050A"/>
    <w:rsid w:val="003B0FE4"/>
    <w:rsid w:val="003C7739"/>
    <w:rsid w:val="003F3B9A"/>
    <w:rsid w:val="003F5BA5"/>
    <w:rsid w:val="00430291"/>
    <w:rsid w:val="004402CA"/>
    <w:rsid w:val="00441962"/>
    <w:rsid w:val="004454B6"/>
    <w:rsid w:val="00461D6D"/>
    <w:rsid w:val="00466694"/>
    <w:rsid w:val="00471DC8"/>
    <w:rsid w:val="004761D8"/>
    <w:rsid w:val="00487A86"/>
    <w:rsid w:val="004A1AF7"/>
    <w:rsid w:val="004A4BAE"/>
    <w:rsid w:val="004B250C"/>
    <w:rsid w:val="004B2BF5"/>
    <w:rsid w:val="004B3882"/>
    <w:rsid w:val="004B676F"/>
    <w:rsid w:val="004C47B5"/>
    <w:rsid w:val="004C7027"/>
    <w:rsid w:val="004C7BD2"/>
    <w:rsid w:val="004D445C"/>
    <w:rsid w:val="004F5B41"/>
    <w:rsid w:val="00506825"/>
    <w:rsid w:val="00510265"/>
    <w:rsid w:val="00526340"/>
    <w:rsid w:val="00531694"/>
    <w:rsid w:val="00543B4C"/>
    <w:rsid w:val="00551F87"/>
    <w:rsid w:val="00562A1B"/>
    <w:rsid w:val="00585BA9"/>
    <w:rsid w:val="00594F4A"/>
    <w:rsid w:val="005A35CF"/>
    <w:rsid w:val="005A59B7"/>
    <w:rsid w:val="005D6B15"/>
    <w:rsid w:val="005D77C0"/>
    <w:rsid w:val="005E2F61"/>
    <w:rsid w:val="005E61C2"/>
    <w:rsid w:val="005F0E20"/>
    <w:rsid w:val="005F19AD"/>
    <w:rsid w:val="005F377A"/>
    <w:rsid w:val="005F75B3"/>
    <w:rsid w:val="00604F69"/>
    <w:rsid w:val="00611D7A"/>
    <w:rsid w:val="0064310D"/>
    <w:rsid w:val="006445E2"/>
    <w:rsid w:val="00670144"/>
    <w:rsid w:val="00673835"/>
    <w:rsid w:val="006745F7"/>
    <w:rsid w:val="00680E17"/>
    <w:rsid w:val="00690721"/>
    <w:rsid w:val="006A21E6"/>
    <w:rsid w:val="006A678E"/>
    <w:rsid w:val="006E7832"/>
    <w:rsid w:val="00731535"/>
    <w:rsid w:val="00740567"/>
    <w:rsid w:val="0075011F"/>
    <w:rsid w:val="00752B9F"/>
    <w:rsid w:val="00757A12"/>
    <w:rsid w:val="007847BA"/>
    <w:rsid w:val="007A2B6A"/>
    <w:rsid w:val="007A3480"/>
    <w:rsid w:val="007A5EAA"/>
    <w:rsid w:val="007B1BF8"/>
    <w:rsid w:val="007B5BF7"/>
    <w:rsid w:val="007C74E6"/>
    <w:rsid w:val="007D12C4"/>
    <w:rsid w:val="0080124E"/>
    <w:rsid w:val="00804084"/>
    <w:rsid w:val="008060F7"/>
    <w:rsid w:val="008331AC"/>
    <w:rsid w:val="00854930"/>
    <w:rsid w:val="00857F04"/>
    <w:rsid w:val="00865940"/>
    <w:rsid w:val="00876F8C"/>
    <w:rsid w:val="00877B6D"/>
    <w:rsid w:val="008B6D43"/>
    <w:rsid w:val="008C274E"/>
    <w:rsid w:val="008D12C8"/>
    <w:rsid w:val="00905F73"/>
    <w:rsid w:val="00906C6D"/>
    <w:rsid w:val="00932CA4"/>
    <w:rsid w:val="00960F7E"/>
    <w:rsid w:val="00965A22"/>
    <w:rsid w:val="009A258F"/>
    <w:rsid w:val="009A2F42"/>
    <w:rsid w:val="009C0EF1"/>
    <w:rsid w:val="009C1220"/>
    <w:rsid w:val="009C384E"/>
    <w:rsid w:val="009D1725"/>
    <w:rsid w:val="00A00B03"/>
    <w:rsid w:val="00A07C81"/>
    <w:rsid w:val="00A11CFF"/>
    <w:rsid w:val="00A2710B"/>
    <w:rsid w:val="00A30FD7"/>
    <w:rsid w:val="00A36C27"/>
    <w:rsid w:val="00A46044"/>
    <w:rsid w:val="00A517A5"/>
    <w:rsid w:val="00A57F34"/>
    <w:rsid w:val="00A85804"/>
    <w:rsid w:val="00A90A23"/>
    <w:rsid w:val="00AA4F0C"/>
    <w:rsid w:val="00AE1925"/>
    <w:rsid w:val="00AE7FFD"/>
    <w:rsid w:val="00B03AB1"/>
    <w:rsid w:val="00B06D58"/>
    <w:rsid w:val="00B34126"/>
    <w:rsid w:val="00B42314"/>
    <w:rsid w:val="00B51E55"/>
    <w:rsid w:val="00B67FC6"/>
    <w:rsid w:val="00B86879"/>
    <w:rsid w:val="00B94953"/>
    <w:rsid w:val="00BA32E5"/>
    <w:rsid w:val="00BA4375"/>
    <w:rsid w:val="00BA6DCF"/>
    <w:rsid w:val="00BB0571"/>
    <w:rsid w:val="00BC0D39"/>
    <w:rsid w:val="00BE51FC"/>
    <w:rsid w:val="00C078B7"/>
    <w:rsid w:val="00C3518F"/>
    <w:rsid w:val="00C50E48"/>
    <w:rsid w:val="00C5686D"/>
    <w:rsid w:val="00C65CAF"/>
    <w:rsid w:val="00C8674A"/>
    <w:rsid w:val="00C92076"/>
    <w:rsid w:val="00C92124"/>
    <w:rsid w:val="00C93D61"/>
    <w:rsid w:val="00C94081"/>
    <w:rsid w:val="00C95A89"/>
    <w:rsid w:val="00CB6845"/>
    <w:rsid w:val="00CD1087"/>
    <w:rsid w:val="00CD5638"/>
    <w:rsid w:val="00CE50A8"/>
    <w:rsid w:val="00CF2122"/>
    <w:rsid w:val="00D020C6"/>
    <w:rsid w:val="00D4218A"/>
    <w:rsid w:val="00D472F7"/>
    <w:rsid w:val="00D75B88"/>
    <w:rsid w:val="00D75F46"/>
    <w:rsid w:val="00D90B6D"/>
    <w:rsid w:val="00DA28C7"/>
    <w:rsid w:val="00DB4397"/>
    <w:rsid w:val="00DC13B5"/>
    <w:rsid w:val="00DC5AD6"/>
    <w:rsid w:val="00DD7539"/>
    <w:rsid w:val="00DE0519"/>
    <w:rsid w:val="00E033D8"/>
    <w:rsid w:val="00E042D6"/>
    <w:rsid w:val="00E07632"/>
    <w:rsid w:val="00E14A9C"/>
    <w:rsid w:val="00E16336"/>
    <w:rsid w:val="00E24D6D"/>
    <w:rsid w:val="00E33577"/>
    <w:rsid w:val="00E358C8"/>
    <w:rsid w:val="00E41170"/>
    <w:rsid w:val="00E67E4F"/>
    <w:rsid w:val="00E74023"/>
    <w:rsid w:val="00E87586"/>
    <w:rsid w:val="00E95A64"/>
    <w:rsid w:val="00EB1459"/>
    <w:rsid w:val="00EB23FC"/>
    <w:rsid w:val="00EC1B8F"/>
    <w:rsid w:val="00EC458E"/>
    <w:rsid w:val="00ED36A9"/>
    <w:rsid w:val="00EE0594"/>
    <w:rsid w:val="00EF5EE2"/>
    <w:rsid w:val="00F14D59"/>
    <w:rsid w:val="00F160D0"/>
    <w:rsid w:val="00F322D9"/>
    <w:rsid w:val="00F33092"/>
    <w:rsid w:val="00F43975"/>
    <w:rsid w:val="00F579FF"/>
    <w:rsid w:val="00F619D8"/>
    <w:rsid w:val="00F6636F"/>
    <w:rsid w:val="00F722CB"/>
    <w:rsid w:val="00F84CAA"/>
    <w:rsid w:val="00F86291"/>
    <w:rsid w:val="00F96F7B"/>
    <w:rsid w:val="00FB7136"/>
    <w:rsid w:val="00FC1C97"/>
    <w:rsid w:val="00FC26A2"/>
    <w:rsid w:val="00FC5907"/>
    <w:rsid w:val="00FD7773"/>
    <w:rsid w:val="00FE1B02"/>
    <w:rsid w:val="00FE34C7"/>
    <w:rsid w:val="00FE3A36"/>
    <w:rsid w:val="00FF282B"/>
    <w:rsid w:val="00FF584E"/>
    <w:rsid w:val="00FF7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4B7026"/>
  <w15:chartTrackingRefBased/>
  <w15:docId w15:val="{A9EE45B6-9813-4D03-B236-1AB358E5C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E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5E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5E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5E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5E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5E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5E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5E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5E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E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5E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5E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5E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5E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5E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E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E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EAA"/>
    <w:rPr>
      <w:rFonts w:eastAsiaTheme="majorEastAsia" w:cstheme="majorBidi"/>
      <w:color w:val="272727" w:themeColor="text1" w:themeTint="D8"/>
    </w:rPr>
  </w:style>
  <w:style w:type="paragraph" w:styleId="Title">
    <w:name w:val="Title"/>
    <w:basedOn w:val="Normal"/>
    <w:next w:val="Normal"/>
    <w:link w:val="TitleChar"/>
    <w:uiPriority w:val="10"/>
    <w:qFormat/>
    <w:rsid w:val="007A5E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E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5E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5E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5EAA"/>
    <w:pPr>
      <w:spacing w:before="160"/>
      <w:jc w:val="center"/>
    </w:pPr>
    <w:rPr>
      <w:i/>
      <w:iCs/>
      <w:color w:val="404040" w:themeColor="text1" w:themeTint="BF"/>
    </w:rPr>
  </w:style>
  <w:style w:type="character" w:customStyle="1" w:styleId="QuoteChar">
    <w:name w:val="Quote Char"/>
    <w:basedOn w:val="DefaultParagraphFont"/>
    <w:link w:val="Quote"/>
    <w:uiPriority w:val="29"/>
    <w:rsid w:val="007A5EAA"/>
    <w:rPr>
      <w:i/>
      <w:iCs/>
      <w:color w:val="404040" w:themeColor="text1" w:themeTint="BF"/>
    </w:rPr>
  </w:style>
  <w:style w:type="paragraph" w:styleId="ListParagraph">
    <w:name w:val="List Paragraph"/>
    <w:basedOn w:val="Normal"/>
    <w:uiPriority w:val="34"/>
    <w:qFormat/>
    <w:rsid w:val="007A5EAA"/>
    <w:pPr>
      <w:ind w:left="720"/>
      <w:contextualSpacing/>
    </w:pPr>
  </w:style>
  <w:style w:type="character" w:styleId="IntenseEmphasis">
    <w:name w:val="Intense Emphasis"/>
    <w:basedOn w:val="DefaultParagraphFont"/>
    <w:uiPriority w:val="21"/>
    <w:qFormat/>
    <w:rsid w:val="007A5EAA"/>
    <w:rPr>
      <w:i/>
      <w:iCs/>
      <w:color w:val="0F4761" w:themeColor="accent1" w:themeShade="BF"/>
    </w:rPr>
  </w:style>
  <w:style w:type="paragraph" w:styleId="IntenseQuote">
    <w:name w:val="Intense Quote"/>
    <w:basedOn w:val="Normal"/>
    <w:next w:val="Normal"/>
    <w:link w:val="IntenseQuoteChar"/>
    <w:uiPriority w:val="30"/>
    <w:qFormat/>
    <w:rsid w:val="007A5E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5EAA"/>
    <w:rPr>
      <w:i/>
      <w:iCs/>
      <w:color w:val="0F4761" w:themeColor="accent1" w:themeShade="BF"/>
    </w:rPr>
  </w:style>
  <w:style w:type="character" w:styleId="IntenseReference">
    <w:name w:val="Intense Reference"/>
    <w:basedOn w:val="DefaultParagraphFont"/>
    <w:uiPriority w:val="32"/>
    <w:qFormat/>
    <w:rsid w:val="007A5EAA"/>
    <w:rPr>
      <w:b/>
      <w:bCs/>
      <w:smallCaps/>
      <w:color w:val="0F4761" w:themeColor="accent1" w:themeShade="BF"/>
      <w:spacing w:val="5"/>
    </w:rPr>
  </w:style>
  <w:style w:type="paragraph" w:styleId="NormalWeb">
    <w:name w:val="Normal (Web)"/>
    <w:basedOn w:val="Normal"/>
    <w:uiPriority w:val="99"/>
    <w:semiHidden/>
    <w:unhideWhenUsed/>
    <w:rsid w:val="007A5E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A5EAA"/>
    <w:rPr>
      <w:b/>
      <w:bCs/>
    </w:rPr>
  </w:style>
  <w:style w:type="character" w:styleId="Hyperlink">
    <w:name w:val="Hyperlink"/>
    <w:basedOn w:val="DefaultParagraphFont"/>
    <w:uiPriority w:val="99"/>
    <w:unhideWhenUsed/>
    <w:rsid w:val="00A2710B"/>
    <w:rPr>
      <w:color w:val="467886" w:themeColor="hyperlink"/>
      <w:u w:val="single"/>
    </w:rPr>
  </w:style>
  <w:style w:type="character" w:styleId="UnresolvedMention">
    <w:name w:val="Unresolved Mention"/>
    <w:basedOn w:val="DefaultParagraphFont"/>
    <w:uiPriority w:val="99"/>
    <w:semiHidden/>
    <w:unhideWhenUsed/>
    <w:rsid w:val="00A2710B"/>
    <w:rPr>
      <w:color w:val="605E5C"/>
      <w:shd w:val="clear" w:color="auto" w:fill="E1DFDD"/>
    </w:rPr>
  </w:style>
  <w:style w:type="character" w:styleId="FollowedHyperlink">
    <w:name w:val="FollowedHyperlink"/>
    <w:basedOn w:val="DefaultParagraphFont"/>
    <w:uiPriority w:val="99"/>
    <w:semiHidden/>
    <w:unhideWhenUsed/>
    <w:rsid w:val="00A2710B"/>
    <w:rPr>
      <w:color w:val="96607D" w:themeColor="followedHyperlink"/>
      <w:u w:val="single"/>
    </w:rPr>
  </w:style>
  <w:style w:type="paragraph" w:styleId="Header">
    <w:name w:val="header"/>
    <w:basedOn w:val="Normal"/>
    <w:link w:val="HeaderChar"/>
    <w:uiPriority w:val="99"/>
    <w:unhideWhenUsed/>
    <w:rsid w:val="002B5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9E8"/>
  </w:style>
  <w:style w:type="paragraph" w:styleId="Footer">
    <w:name w:val="footer"/>
    <w:basedOn w:val="Normal"/>
    <w:link w:val="FooterChar"/>
    <w:uiPriority w:val="99"/>
    <w:unhideWhenUsed/>
    <w:rsid w:val="002B5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711626">
      <w:bodyDiv w:val="1"/>
      <w:marLeft w:val="0"/>
      <w:marRight w:val="0"/>
      <w:marTop w:val="0"/>
      <w:marBottom w:val="0"/>
      <w:divBdr>
        <w:top w:val="none" w:sz="0" w:space="0" w:color="auto"/>
        <w:left w:val="none" w:sz="0" w:space="0" w:color="auto"/>
        <w:bottom w:val="none" w:sz="0" w:space="0" w:color="auto"/>
        <w:right w:val="none" w:sz="0" w:space="0" w:color="auto"/>
      </w:divBdr>
    </w:div>
    <w:div w:id="156922790">
      <w:bodyDiv w:val="1"/>
      <w:marLeft w:val="0"/>
      <w:marRight w:val="0"/>
      <w:marTop w:val="0"/>
      <w:marBottom w:val="0"/>
      <w:divBdr>
        <w:top w:val="none" w:sz="0" w:space="0" w:color="auto"/>
        <w:left w:val="none" w:sz="0" w:space="0" w:color="auto"/>
        <w:bottom w:val="none" w:sz="0" w:space="0" w:color="auto"/>
        <w:right w:val="none" w:sz="0" w:space="0" w:color="auto"/>
      </w:divBdr>
    </w:div>
    <w:div w:id="376465665">
      <w:bodyDiv w:val="1"/>
      <w:marLeft w:val="0"/>
      <w:marRight w:val="0"/>
      <w:marTop w:val="0"/>
      <w:marBottom w:val="0"/>
      <w:divBdr>
        <w:top w:val="none" w:sz="0" w:space="0" w:color="auto"/>
        <w:left w:val="none" w:sz="0" w:space="0" w:color="auto"/>
        <w:bottom w:val="none" w:sz="0" w:space="0" w:color="auto"/>
        <w:right w:val="none" w:sz="0" w:space="0" w:color="auto"/>
      </w:divBdr>
    </w:div>
    <w:div w:id="397241194">
      <w:bodyDiv w:val="1"/>
      <w:marLeft w:val="0"/>
      <w:marRight w:val="0"/>
      <w:marTop w:val="0"/>
      <w:marBottom w:val="0"/>
      <w:divBdr>
        <w:top w:val="none" w:sz="0" w:space="0" w:color="auto"/>
        <w:left w:val="none" w:sz="0" w:space="0" w:color="auto"/>
        <w:bottom w:val="none" w:sz="0" w:space="0" w:color="auto"/>
        <w:right w:val="none" w:sz="0" w:space="0" w:color="auto"/>
      </w:divBdr>
    </w:div>
    <w:div w:id="660547571">
      <w:bodyDiv w:val="1"/>
      <w:marLeft w:val="0"/>
      <w:marRight w:val="0"/>
      <w:marTop w:val="0"/>
      <w:marBottom w:val="0"/>
      <w:divBdr>
        <w:top w:val="none" w:sz="0" w:space="0" w:color="auto"/>
        <w:left w:val="none" w:sz="0" w:space="0" w:color="auto"/>
        <w:bottom w:val="none" w:sz="0" w:space="0" w:color="auto"/>
        <w:right w:val="none" w:sz="0" w:space="0" w:color="auto"/>
      </w:divBdr>
    </w:div>
    <w:div w:id="704136622">
      <w:bodyDiv w:val="1"/>
      <w:marLeft w:val="0"/>
      <w:marRight w:val="0"/>
      <w:marTop w:val="0"/>
      <w:marBottom w:val="0"/>
      <w:divBdr>
        <w:top w:val="none" w:sz="0" w:space="0" w:color="auto"/>
        <w:left w:val="none" w:sz="0" w:space="0" w:color="auto"/>
        <w:bottom w:val="none" w:sz="0" w:space="0" w:color="auto"/>
        <w:right w:val="none" w:sz="0" w:space="0" w:color="auto"/>
      </w:divBdr>
    </w:div>
    <w:div w:id="717633884">
      <w:bodyDiv w:val="1"/>
      <w:marLeft w:val="0"/>
      <w:marRight w:val="0"/>
      <w:marTop w:val="0"/>
      <w:marBottom w:val="0"/>
      <w:divBdr>
        <w:top w:val="none" w:sz="0" w:space="0" w:color="auto"/>
        <w:left w:val="none" w:sz="0" w:space="0" w:color="auto"/>
        <w:bottom w:val="none" w:sz="0" w:space="0" w:color="auto"/>
        <w:right w:val="none" w:sz="0" w:space="0" w:color="auto"/>
      </w:divBdr>
    </w:div>
    <w:div w:id="718671549">
      <w:bodyDiv w:val="1"/>
      <w:marLeft w:val="0"/>
      <w:marRight w:val="0"/>
      <w:marTop w:val="0"/>
      <w:marBottom w:val="0"/>
      <w:divBdr>
        <w:top w:val="none" w:sz="0" w:space="0" w:color="auto"/>
        <w:left w:val="none" w:sz="0" w:space="0" w:color="auto"/>
        <w:bottom w:val="none" w:sz="0" w:space="0" w:color="auto"/>
        <w:right w:val="none" w:sz="0" w:space="0" w:color="auto"/>
      </w:divBdr>
    </w:div>
    <w:div w:id="751776516">
      <w:bodyDiv w:val="1"/>
      <w:marLeft w:val="0"/>
      <w:marRight w:val="0"/>
      <w:marTop w:val="0"/>
      <w:marBottom w:val="0"/>
      <w:divBdr>
        <w:top w:val="none" w:sz="0" w:space="0" w:color="auto"/>
        <w:left w:val="none" w:sz="0" w:space="0" w:color="auto"/>
        <w:bottom w:val="none" w:sz="0" w:space="0" w:color="auto"/>
        <w:right w:val="none" w:sz="0" w:space="0" w:color="auto"/>
      </w:divBdr>
    </w:div>
    <w:div w:id="752319446">
      <w:bodyDiv w:val="1"/>
      <w:marLeft w:val="0"/>
      <w:marRight w:val="0"/>
      <w:marTop w:val="0"/>
      <w:marBottom w:val="0"/>
      <w:divBdr>
        <w:top w:val="none" w:sz="0" w:space="0" w:color="auto"/>
        <w:left w:val="none" w:sz="0" w:space="0" w:color="auto"/>
        <w:bottom w:val="none" w:sz="0" w:space="0" w:color="auto"/>
        <w:right w:val="none" w:sz="0" w:space="0" w:color="auto"/>
      </w:divBdr>
    </w:div>
    <w:div w:id="994528910">
      <w:bodyDiv w:val="1"/>
      <w:marLeft w:val="0"/>
      <w:marRight w:val="0"/>
      <w:marTop w:val="0"/>
      <w:marBottom w:val="0"/>
      <w:divBdr>
        <w:top w:val="none" w:sz="0" w:space="0" w:color="auto"/>
        <w:left w:val="none" w:sz="0" w:space="0" w:color="auto"/>
        <w:bottom w:val="none" w:sz="0" w:space="0" w:color="auto"/>
        <w:right w:val="none" w:sz="0" w:space="0" w:color="auto"/>
      </w:divBdr>
    </w:div>
    <w:div w:id="1019426187">
      <w:bodyDiv w:val="1"/>
      <w:marLeft w:val="0"/>
      <w:marRight w:val="0"/>
      <w:marTop w:val="0"/>
      <w:marBottom w:val="0"/>
      <w:divBdr>
        <w:top w:val="none" w:sz="0" w:space="0" w:color="auto"/>
        <w:left w:val="none" w:sz="0" w:space="0" w:color="auto"/>
        <w:bottom w:val="none" w:sz="0" w:space="0" w:color="auto"/>
        <w:right w:val="none" w:sz="0" w:space="0" w:color="auto"/>
      </w:divBdr>
    </w:div>
    <w:div w:id="1125393222">
      <w:bodyDiv w:val="1"/>
      <w:marLeft w:val="0"/>
      <w:marRight w:val="0"/>
      <w:marTop w:val="0"/>
      <w:marBottom w:val="0"/>
      <w:divBdr>
        <w:top w:val="none" w:sz="0" w:space="0" w:color="auto"/>
        <w:left w:val="none" w:sz="0" w:space="0" w:color="auto"/>
        <w:bottom w:val="none" w:sz="0" w:space="0" w:color="auto"/>
        <w:right w:val="none" w:sz="0" w:space="0" w:color="auto"/>
      </w:divBdr>
    </w:div>
    <w:div w:id="1214192253">
      <w:bodyDiv w:val="1"/>
      <w:marLeft w:val="0"/>
      <w:marRight w:val="0"/>
      <w:marTop w:val="0"/>
      <w:marBottom w:val="0"/>
      <w:divBdr>
        <w:top w:val="none" w:sz="0" w:space="0" w:color="auto"/>
        <w:left w:val="none" w:sz="0" w:space="0" w:color="auto"/>
        <w:bottom w:val="none" w:sz="0" w:space="0" w:color="auto"/>
        <w:right w:val="none" w:sz="0" w:space="0" w:color="auto"/>
      </w:divBdr>
    </w:div>
    <w:div w:id="1315720250">
      <w:bodyDiv w:val="1"/>
      <w:marLeft w:val="0"/>
      <w:marRight w:val="0"/>
      <w:marTop w:val="0"/>
      <w:marBottom w:val="0"/>
      <w:divBdr>
        <w:top w:val="none" w:sz="0" w:space="0" w:color="auto"/>
        <w:left w:val="none" w:sz="0" w:space="0" w:color="auto"/>
        <w:bottom w:val="none" w:sz="0" w:space="0" w:color="auto"/>
        <w:right w:val="none" w:sz="0" w:space="0" w:color="auto"/>
      </w:divBdr>
    </w:div>
    <w:div w:id="1352296331">
      <w:bodyDiv w:val="1"/>
      <w:marLeft w:val="0"/>
      <w:marRight w:val="0"/>
      <w:marTop w:val="0"/>
      <w:marBottom w:val="0"/>
      <w:divBdr>
        <w:top w:val="none" w:sz="0" w:space="0" w:color="auto"/>
        <w:left w:val="none" w:sz="0" w:space="0" w:color="auto"/>
        <w:bottom w:val="none" w:sz="0" w:space="0" w:color="auto"/>
        <w:right w:val="none" w:sz="0" w:space="0" w:color="auto"/>
      </w:divBdr>
    </w:div>
    <w:div w:id="1433359990">
      <w:bodyDiv w:val="1"/>
      <w:marLeft w:val="0"/>
      <w:marRight w:val="0"/>
      <w:marTop w:val="0"/>
      <w:marBottom w:val="0"/>
      <w:divBdr>
        <w:top w:val="none" w:sz="0" w:space="0" w:color="auto"/>
        <w:left w:val="none" w:sz="0" w:space="0" w:color="auto"/>
        <w:bottom w:val="none" w:sz="0" w:space="0" w:color="auto"/>
        <w:right w:val="none" w:sz="0" w:space="0" w:color="auto"/>
      </w:divBdr>
      <w:divsChild>
        <w:div w:id="330527617">
          <w:marLeft w:val="0"/>
          <w:marRight w:val="0"/>
          <w:marTop w:val="0"/>
          <w:marBottom w:val="150"/>
          <w:divBdr>
            <w:top w:val="none" w:sz="0" w:space="0" w:color="auto"/>
            <w:left w:val="none" w:sz="0" w:space="0" w:color="auto"/>
            <w:bottom w:val="none" w:sz="0" w:space="0" w:color="auto"/>
            <w:right w:val="none" w:sz="0" w:space="0" w:color="auto"/>
          </w:divBdr>
        </w:div>
      </w:divsChild>
    </w:div>
    <w:div w:id="1464734288">
      <w:bodyDiv w:val="1"/>
      <w:marLeft w:val="0"/>
      <w:marRight w:val="0"/>
      <w:marTop w:val="0"/>
      <w:marBottom w:val="0"/>
      <w:divBdr>
        <w:top w:val="none" w:sz="0" w:space="0" w:color="auto"/>
        <w:left w:val="none" w:sz="0" w:space="0" w:color="auto"/>
        <w:bottom w:val="none" w:sz="0" w:space="0" w:color="auto"/>
        <w:right w:val="none" w:sz="0" w:space="0" w:color="auto"/>
      </w:divBdr>
    </w:div>
    <w:div w:id="1593732948">
      <w:bodyDiv w:val="1"/>
      <w:marLeft w:val="0"/>
      <w:marRight w:val="0"/>
      <w:marTop w:val="0"/>
      <w:marBottom w:val="0"/>
      <w:divBdr>
        <w:top w:val="none" w:sz="0" w:space="0" w:color="auto"/>
        <w:left w:val="none" w:sz="0" w:space="0" w:color="auto"/>
        <w:bottom w:val="none" w:sz="0" w:space="0" w:color="auto"/>
        <w:right w:val="none" w:sz="0" w:space="0" w:color="auto"/>
      </w:divBdr>
    </w:div>
    <w:div w:id="1636528038">
      <w:bodyDiv w:val="1"/>
      <w:marLeft w:val="0"/>
      <w:marRight w:val="0"/>
      <w:marTop w:val="0"/>
      <w:marBottom w:val="0"/>
      <w:divBdr>
        <w:top w:val="none" w:sz="0" w:space="0" w:color="auto"/>
        <w:left w:val="none" w:sz="0" w:space="0" w:color="auto"/>
        <w:bottom w:val="none" w:sz="0" w:space="0" w:color="auto"/>
        <w:right w:val="none" w:sz="0" w:space="0" w:color="auto"/>
      </w:divBdr>
    </w:div>
    <w:div w:id="1781338112">
      <w:bodyDiv w:val="1"/>
      <w:marLeft w:val="0"/>
      <w:marRight w:val="0"/>
      <w:marTop w:val="0"/>
      <w:marBottom w:val="0"/>
      <w:divBdr>
        <w:top w:val="none" w:sz="0" w:space="0" w:color="auto"/>
        <w:left w:val="none" w:sz="0" w:space="0" w:color="auto"/>
        <w:bottom w:val="none" w:sz="0" w:space="0" w:color="auto"/>
        <w:right w:val="none" w:sz="0" w:space="0" w:color="auto"/>
      </w:divBdr>
    </w:div>
    <w:div w:id="1794791322">
      <w:bodyDiv w:val="1"/>
      <w:marLeft w:val="0"/>
      <w:marRight w:val="0"/>
      <w:marTop w:val="0"/>
      <w:marBottom w:val="0"/>
      <w:divBdr>
        <w:top w:val="none" w:sz="0" w:space="0" w:color="auto"/>
        <w:left w:val="none" w:sz="0" w:space="0" w:color="auto"/>
        <w:bottom w:val="none" w:sz="0" w:space="0" w:color="auto"/>
        <w:right w:val="none" w:sz="0" w:space="0" w:color="auto"/>
      </w:divBdr>
      <w:divsChild>
        <w:div w:id="138230093">
          <w:marLeft w:val="0"/>
          <w:marRight w:val="0"/>
          <w:marTop w:val="0"/>
          <w:marBottom w:val="0"/>
          <w:divBdr>
            <w:top w:val="none" w:sz="0" w:space="0" w:color="auto"/>
            <w:left w:val="none" w:sz="0" w:space="0" w:color="auto"/>
            <w:bottom w:val="none" w:sz="0" w:space="0" w:color="auto"/>
            <w:right w:val="none" w:sz="0" w:space="0" w:color="auto"/>
          </w:divBdr>
        </w:div>
      </w:divsChild>
    </w:div>
    <w:div w:id="1844006590">
      <w:bodyDiv w:val="1"/>
      <w:marLeft w:val="0"/>
      <w:marRight w:val="0"/>
      <w:marTop w:val="0"/>
      <w:marBottom w:val="0"/>
      <w:divBdr>
        <w:top w:val="none" w:sz="0" w:space="0" w:color="auto"/>
        <w:left w:val="none" w:sz="0" w:space="0" w:color="auto"/>
        <w:bottom w:val="none" w:sz="0" w:space="0" w:color="auto"/>
        <w:right w:val="none" w:sz="0" w:space="0" w:color="auto"/>
      </w:divBdr>
    </w:div>
    <w:div w:id="1877354360">
      <w:bodyDiv w:val="1"/>
      <w:marLeft w:val="0"/>
      <w:marRight w:val="0"/>
      <w:marTop w:val="0"/>
      <w:marBottom w:val="0"/>
      <w:divBdr>
        <w:top w:val="none" w:sz="0" w:space="0" w:color="auto"/>
        <w:left w:val="none" w:sz="0" w:space="0" w:color="auto"/>
        <w:bottom w:val="none" w:sz="0" w:space="0" w:color="auto"/>
        <w:right w:val="none" w:sz="0" w:space="0" w:color="auto"/>
      </w:divBdr>
    </w:div>
    <w:div w:id="1927616341">
      <w:bodyDiv w:val="1"/>
      <w:marLeft w:val="0"/>
      <w:marRight w:val="0"/>
      <w:marTop w:val="0"/>
      <w:marBottom w:val="0"/>
      <w:divBdr>
        <w:top w:val="none" w:sz="0" w:space="0" w:color="auto"/>
        <w:left w:val="none" w:sz="0" w:space="0" w:color="auto"/>
        <w:bottom w:val="none" w:sz="0" w:space="0" w:color="auto"/>
        <w:right w:val="none" w:sz="0" w:space="0" w:color="auto"/>
      </w:divBdr>
    </w:div>
    <w:div w:id="195193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doi.org/10.1108/IJPPM-10-2018-0373,(Accessed:15/02/2025)" TargetMode="External"/><Relationship Id="rId2" Type="http://schemas.openxmlformats.org/officeDocument/2006/relationships/numbering" Target="numbering.xml"/><Relationship Id="rId16" Type="http://schemas.openxmlformats.org/officeDocument/2006/relationships/hyperlink" Target="http://dx.doi.org/10.31014/aior.1993.04.01.18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inkedin.com/pulse/knowing-constraints-coaching-context-excellent-tool-chandan-patar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openrepository.aut.ac.nz/server/api/core/bitstreams/617c803c-a429-45b5-a9a8-c2e542986575/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C80AB-381B-4655-88BE-0004D5DED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13</Pages>
  <Words>3195</Words>
  <Characters>20418</Characters>
  <Application>Microsoft Office Word</Application>
  <DocSecurity>0</DocSecurity>
  <Lines>352</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87</cp:revision>
  <dcterms:created xsi:type="dcterms:W3CDTF">2025-02-22T21:56:00Z</dcterms:created>
  <dcterms:modified xsi:type="dcterms:W3CDTF">2025-03-17T07:28:00Z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6aca4720-45bb-4438-a757-e082f4b33a94</vt:lpwstr>
  </property>
</Properties>
</file>