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C7AAB" w14:textId="56FC9DF8" w:rsidR="00F2228B" w:rsidRDefault="00B07EAD">
      <w:r>
        <w:t xml:space="preserve">Daniel </w:t>
      </w:r>
      <w:r w:rsidR="00F2228B">
        <w:t xml:space="preserve"> </w:t>
      </w:r>
      <w:proofErr w:type="spellStart"/>
      <w:r w:rsidR="00F2228B">
        <w:t>Haruna</w:t>
      </w:r>
      <w:proofErr w:type="spellEnd"/>
      <w:r w:rsidR="00F2228B">
        <w:t xml:space="preserve"> </w:t>
      </w:r>
    </w:p>
    <w:p w14:paraId="5A1C06D4" w14:textId="5BBD79F4" w:rsidR="00F2228B" w:rsidRDefault="00F2228B">
      <w:r>
        <w:t>2504748</w:t>
      </w:r>
    </w:p>
    <w:p w14:paraId="06E15594" w14:textId="39B2BAF5" w:rsidR="00F2228B" w:rsidRDefault="00B506D6">
      <w:r>
        <w:t xml:space="preserve">Introduction to health </w:t>
      </w:r>
      <w:r w:rsidR="003564EF">
        <w:t xml:space="preserve">&amp; </w:t>
      </w:r>
      <w:r w:rsidR="00127A9E">
        <w:t>social care</w:t>
      </w:r>
    </w:p>
    <w:p w14:paraId="5D379585" w14:textId="3864637D" w:rsidR="00127A9E" w:rsidRDefault="00EE00CD">
      <w:r>
        <w:t>Module code</w:t>
      </w:r>
      <w:r w:rsidR="002C1465">
        <w:t>-</w:t>
      </w:r>
      <w:r w:rsidR="00125273">
        <w:t>LCH</w:t>
      </w:r>
      <w:r w:rsidR="00E80285">
        <w:t>S4003</w:t>
      </w:r>
    </w:p>
    <w:p w14:paraId="0A94A3FF" w14:textId="77777777" w:rsidR="00DC4EC0" w:rsidRDefault="00DC4EC0">
      <w:pPr>
        <w:pStyle w:val="p1"/>
      </w:pPr>
      <w:r>
        <w:rPr>
          <w:rStyle w:val="s1"/>
        </w:rPr>
        <w:t>Mr Ahmed is a 68-year-old man who has recently been discharged from hospital following a stroke. He lives with his wife in a ground-floor flat and receives support from a domiciliary care agency three times daily to assist with personal care, medication administration, and meal preparation. Mr Ahmed’s first language is Bengali, and although he understands some English, he experiences difficulty with complex communication. His condition, combined with language barriers, presents challenges in delivering effective, person-centred care. His support network includes a multidisciplinary team consisting of a GP, district nurse, domiciliary care workers, and a speech and language therapist.</w:t>
      </w:r>
    </w:p>
    <w:p w14:paraId="03643246" w14:textId="77777777" w:rsidR="00DC4EC0" w:rsidRDefault="00DC4EC0">
      <w:pPr>
        <w:pStyle w:val="p2"/>
      </w:pPr>
    </w:p>
    <w:p w14:paraId="35E96998" w14:textId="77777777" w:rsidR="00DC4EC0" w:rsidRDefault="00DC4EC0">
      <w:pPr>
        <w:pStyle w:val="p1"/>
        <w:rPr>
          <w:rStyle w:val="s1"/>
        </w:rPr>
      </w:pPr>
      <w:r>
        <w:rPr>
          <w:rStyle w:val="s1"/>
        </w:rPr>
        <w:t>This report will examine three key areas in relation to Mr Ahmed’s care: the importance of effective communication, the role of administrative skills, and the value of collaborative working. Relevant legislation, including the Equality Act 2010 and Data Protection Act 2018, will be applied throughout.</w:t>
      </w:r>
    </w:p>
    <w:p w14:paraId="559CBD29" w14:textId="2EFBD245" w:rsidR="00211448" w:rsidRPr="00211448" w:rsidRDefault="00211448" w:rsidP="00211448">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11448">
        <w:rPr>
          <w:rFonts w:ascii="Times New Roman" w:eastAsia="Times New Roman" w:hAnsi="Times New Roman" w:cs="Times New Roman"/>
          <w:b/>
          <w:bCs/>
          <w:kern w:val="0"/>
          <w:sz w:val="36"/>
          <w:szCs w:val="36"/>
          <w14:ligatures w14:val="none"/>
        </w:rPr>
        <w:t xml:space="preserve">Importance of Effective Communication </w:t>
      </w:r>
    </w:p>
    <w:p w14:paraId="0638324F" w14:textId="1FF1B19B" w:rsidR="00211448" w:rsidRDefault="00211448" w:rsidP="00211448">
      <w:pPr>
        <w:spacing w:before="100" w:beforeAutospacing="1" w:after="100" w:afterAutospacing="1" w:line="240" w:lineRule="auto"/>
        <w:rPr>
          <w:rFonts w:ascii="Times New Roman" w:hAnsi="Times New Roman" w:cs="Times New Roman"/>
          <w:kern w:val="0"/>
          <w14:ligatures w14:val="none"/>
        </w:rPr>
      </w:pPr>
      <w:r w:rsidRPr="00211448">
        <w:rPr>
          <w:rFonts w:ascii="Times New Roman" w:hAnsi="Times New Roman" w:cs="Times New Roman"/>
          <w:kern w:val="0"/>
          <w14:ligatures w14:val="none"/>
        </w:rPr>
        <w:t>Effective communication is essential in health and social care as it ensures that service users receive safe, person-centred, and high-quality care. In Mr Ahmed’s case, communication is particularly important due to his stroke and language barrier. His condition may affect his ability to speak, understand, or swallow, while his limited English makes complex conversations difficult. Poor communication could lead to misunderstandings, medication errors, and unmet needs.The Equality Act 2010 plays a key role in ensuring that individuals like Mr Ahmed are treated fairly and without discrimination. Under this legislation, healthcare providers must make reasonable adjustments to meet his needs. This includes providing language support, such as interpreters, and adapting communication methods to ensure understanding. Failing to do so could result in unequal access to care.One useful communication model is the Shannon and Weaver model, which highlights how messages are sent, received, and potentially disrupted by “noise.” In Mr Ahmed’s situation, “noise” could include language differences, medical terminology, or cognitive impairment following his stroke. To reduce these barriers, healthcare professionals must simplify language, speak clearly, and confirm understanding through feedback.Additionally, involving Mr Ahmed’s wife is important, as she can help translate and support communication. However, professionals must ensure that Mr Ahmed’s own voice is still heard and respected. Non-verbal communication, such as gestures, facial expressions, and visual aids, can also support understanding.Active listening is another key skill. Care workers should give Mr Ahmed time to respond, avoid interrupting, and observe non-verbal cues. Building trust through respectful and empathetic communication will help improve his confidence and engagement in his care.Overall, effective communication ensures that Mr Ahmed’s needs are understood and met, promotes dignity and respect, and reduces the risk of errors in care delivery.</w:t>
      </w:r>
    </w:p>
    <w:p w14:paraId="578E0BF2" w14:textId="77777777" w:rsidR="00B553CB" w:rsidRDefault="00ED7248" w:rsidP="00B553C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D7248">
        <w:rPr>
          <w:rFonts w:ascii="Times New Roman" w:eastAsia="Times New Roman" w:hAnsi="Times New Roman" w:cs="Times New Roman"/>
          <w:b/>
          <w:bCs/>
          <w:kern w:val="0"/>
          <w:sz w:val="36"/>
          <w:szCs w:val="36"/>
          <w14:ligatures w14:val="none"/>
        </w:rPr>
        <w:t xml:space="preserve">Importance of Administrative Skills </w:t>
      </w:r>
    </w:p>
    <w:p w14:paraId="02F52B4B" w14:textId="4E275FAB" w:rsidR="00ED7248" w:rsidRPr="00B553CB" w:rsidRDefault="00ED7248" w:rsidP="00B553C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D7248">
        <w:rPr>
          <w:rFonts w:ascii="Times New Roman" w:hAnsi="Times New Roman" w:cs="Times New Roman"/>
          <w:kern w:val="0"/>
          <w14:ligatures w14:val="none"/>
        </w:rPr>
        <w:t>Administrative skills are vital in health and social care as they ensure accurate documentation, continuity of care, and legal compliance. In Mr Ahmed’s case, effective record keeping is particularly important due to the involvement of multiple professionals and the complexity of his needs.Accurate records should include details of medication administration, care provided, changes in condition, and any incidents. For example, the missed home visit mentioned in the case highlights the importance of proper documentation and communication. If records are incomplete or not updated, this can lead to serious consequences, such as Mr Ahmed not receiving his medication on time, which could negatively impact his health.The Data Protection Act 2018 is also highly relevant. This legislation ensures that personal information is handled securely, confidentially, and only shared when necessary. Healthcare professionals must ensure that Mr Ahmed’s information is protected and only accessible to authorised individuals involved in his care. This includes secure storage of records and careful sharing of information between agencies.Confidentiality is a key principle. While it is important to share relevant information with the care team, professionals must respect Mr Ahmed’s privacy and obtain consent where appropriate. For example, information shared with his wife should be done with his agreement whenever possible.Good administrative skills also include organisation and time management. Care workers must follow schedules to ensure visits occur on time and that care tasks are completed as planned. The missed visit in Mr Ahmed’s case suggests a breakdown in administrative processes, which must be addressed to prevent future incidents.Additionally, clear communication between team members is essential. Accurate handovers and updated care plans ensure continuity of care and reduce the risk of errors.In summary, strong administrative skills support safe, efficient, and legally compliant care. They ensure that Mr Ahmed receives consistent support and that any risks or issues are identified and managed appropriately.</w:t>
      </w:r>
    </w:p>
    <w:p w14:paraId="61995E26" w14:textId="472ABB87" w:rsidR="00C7494F" w:rsidRPr="00C7494F" w:rsidRDefault="00C7494F" w:rsidP="00C7494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494F">
        <w:rPr>
          <w:rFonts w:ascii="Times New Roman" w:eastAsia="Times New Roman" w:hAnsi="Times New Roman" w:cs="Times New Roman"/>
          <w:b/>
          <w:bCs/>
          <w:kern w:val="0"/>
          <w:sz w:val="36"/>
          <w:szCs w:val="36"/>
          <w14:ligatures w14:val="none"/>
        </w:rPr>
        <w:t>Importance of Collaborative Working</w:t>
      </w:r>
    </w:p>
    <w:p w14:paraId="6DC8EFFB" w14:textId="043AC3E4" w:rsidR="00C7494F" w:rsidRPr="00C7494F" w:rsidRDefault="00C7494F" w:rsidP="00C7494F">
      <w:pPr>
        <w:spacing w:before="100" w:beforeAutospacing="1" w:after="100" w:afterAutospacing="1" w:line="240" w:lineRule="auto"/>
        <w:rPr>
          <w:rFonts w:ascii="Times New Roman" w:hAnsi="Times New Roman" w:cs="Times New Roman"/>
          <w:kern w:val="0"/>
          <w14:ligatures w14:val="none"/>
        </w:rPr>
      </w:pPr>
      <w:r w:rsidRPr="00C7494F">
        <w:rPr>
          <w:rFonts w:ascii="Times New Roman" w:hAnsi="Times New Roman" w:cs="Times New Roman"/>
          <w:kern w:val="0"/>
          <w14:ligatures w14:val="none"/>
        </w:rPr>
        <w:t>Collaborative working is essential in providing holistic and effective care, particularly for individuals with complex needs like Mr Ahmed. His care involves multiple professionals, including a GP, district nurse, domiciliary care workers, and a speech and language therapist. Each professional brings different expertise, and working together ensures that all aspects of his health and wellbeing are addressed.Effective collaboration improves communication, reduces duplication of work, and ensures consistency in care. For example, the speech and language therapist may provide strategies to improve communication and swallowing, which must be followed by care workers during daily support.However, multi-agency working can present challenges. These may include poor communication, lack of clear roles, time constraints, and differences in professional perspectives. In Mr Ahmed’s case, the missed home visit suggests a breakdown in coordination between services.</w:t>
      </w:r>
    </w:p>
    <w:p w14:paraId="0A265ABC" w14:textId="1B175E24" w:rsidR="00C7494F" w:rsidRDefault="00C7494F" w:rsidP="00C7494F">
      <w:pPr>
        <w:spacing w:before="100" w:beforeAutospacing="1" w:after="100" w:afterAutospacing="1" w:line="240" w:lineRule="auto"/>
        <w:rPr>
          <w:rFonts w:ascii="Times New Roman" w:hAnsi="Times New Roman" w:cs="Times New Roman"/>
          <w:kern w:val="0"/>
          <w14:ligatures w14:val="none"/>
        </w:rPr>
      </w:pPr>
      <w:r w:rsidRPr="00C7494F">
        <w:rPr>
          <w:rFonts w:ascii="Times New Roman" w:hAnsi="Times New Roman" w:cs="Times New Roman"/>
          <w:kern w:val="0"/>
          <w14:ligatures w14:val="none"/>
        </w:rPr>
        <w:t>To overcome these challenges, several strategies can be used. Regular team meetings and clear communication channels help ensure all professionals are informed and aligned. Shared care plans allow everyone to access up-to-date information. Clearly defined roles and responsibilities also reduce confusion and improve accountability.Using technology, such as electronic records, can further improve information sharing. Additionally, promoting a culture of respect and teamwork helps build trust among professionals.Ultimately, effective collaboration ensures that Mr Ahmed receives coordinated, safe, and person-centred care, improving his overall outcomes and quality of life.</w:t>
      </w:r>
    </w:p>
    <w:p w14:paraId="483D642C" w14:textId="47034BBD" w:rsidR="00326A77" w:rsidRDefault="0030080C" w:rsidP="00C7494F">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Conclusion</w:t>
      </w:r>
    </w:p>
    <w:p w14:paraId="64ED9472" w14:textId="77777777" w:rsidR="00326A77" w:rsidRDefault="00326A77">
      <w:pPr>
        <w:pStyle w:val="p1"/>
      </w:pPr>
      <w:r>
        <w:rPr>
          <w:rStyle w:val="s1"/>
        </w:rPr>
        <w:t>In conclusion, delivering high-quality care to individuals such as Mr Ahmed requires effective communication, strong administrative skills, and collaborative working between professionals. Communication must be adapted to meet his specific needs, particularly considering his stroke-related difficulties and language barrier. The Equality Act 2010 ensures that reasonable adjustments are made to promote inclusion and prevent discrimination.</w:t>
      </w:r>
    </w:p>
    <w:p w14:paraId="787CA7ED" w14:textId="77777777" w:rsidR="00326A77" w:rsidRDefault="00326A77">
      <w:pPr>
        <w:pStyle w:val="p1"/>
      </w:pPr>
      <w:r>
        <w:rPr>
          <w:rStyle w:val="s1"/>
        </w:rPr>
        <w:t>Administrative skills, including accurate record keeping and adherence to the Data Protection Act 2018, are essential for maintaining safe, consistent, and confidential care. The missed home visit in Mr Ahmed’s case highlights the potential risks of poor organisation and communication.</w:t>
      </w:r>
    </w:p>
    <w:p w14:paraId="69D94A60" w14:textId="4EA5137B" w:rsidR="00326A77" w:rsidRDefault="00326A77">
      <w:pPr>
        <w:pStyle w:val="p1"/>
      </w:pPr>
      <w:r>
        <w:rPr>
          <w:rStyle w:val="s1"/>
        </w:rPr>
        <w:t>Furthermore, collaborative working between the multidisciplinary team ensures a holistic and coordinated approach to care. By overcoming barriers in multi-agency working, professionals can improve outcomes and enhance Mr Ahmed’s quality of life. Overall, these elements are fundamental to delivering safe and person-centred care.</w:t>
      </w:r>
    </w:p>
    <w:p w14:paraId="58120838" w14:textId="77777777" w:rsidR="0030080C" w:rsidRDefault="0030080C" w:rsidP="00C7494F">
      <w:pPr>
        <w:spacing w:before="100" w:beforeAutospacing="1" w:after="100" w:afterAutospacing="1" w:line="240" w:lineRule="auto"/>
        <w:rPr>
          <w:rFonts w:ascii="Times New Roman" w:hAnsi="Times New Roman" w:cs="Times New Roman"/>
          <w:kern w:val="0"/>
          <w14:ligatures w14:val="none"/>
        </w:rPr>
      </w:pPr>
    </w:p>
    <w:p w14:paraId="1DFDABBD" w14:textId="7E144CAB" w:rsidR="00984821" w:rsidRDefault="00D803F4" w:rsidP="00C7494F">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References: </w:t>
      </w:r>
    </w:p>
    <w:p w14:paraId="1D902C76" w14:textId="77777777" w:rsidR="00984821" w:rsidRDefault="00984821">
      <w:pPr>
        <w:pStyle w:val="p1"/>
        <w:numPr>
          <w:ilvl w:val="0"/>
          <w:numId w:val="1"/>
        </w:numPr>
      </w:pPr>
      <w:r>
        <w:rPr>
          <w:rStyle w:val="s1"/>
        </w:rPr>
        <w:t xml:space="preserve">Department of Health and Social Care (2012) </w:t>
      </w:r>
      <w:r>
        <w:rPr>
          <w:rStyle w:val="s2"/>
        </w:rPr>
        <w:t>Compassion in Practice: Nursing, Midwifery and Care Staff Vision and Strategy</w:t>
      </w:r>
      <w:r>
        <w:rPr>
          <w:rStyle w:val="s1"/>
        </w:rPr>
        <w:t>. London: DHSC.</w:t>
      </w:r>
    </w:p>
    <w:p w14:paraId="3F065EDE" w14:textId="77777777" w:rsidR="00984821" w:rsidRDefault="00984821">
      <w:pPr>
        <w:pStyle w:val="p1"/>
        <w:numPr>
          <w:ilvl w:val="0"/>
          <w:numId w:val="1"/>
        </w:numPr>
      </w:pPr>
      <w:proofErr w:type="spellStart"/>
      <w:r>
        <w:rPr>
          <w:rStyle w:val="s1"/>
        </w:rPr>
        <w:t>Glasby</w:t>
      </w:r>
      <w:proofErr w:type="spellEnd"/>
      <w:r>
        <w:rPr>
          <w:rStyle w:val="s1"/>
        </w:rPr>
        <w:t xml:space="preserve">, J. and Dickinson, H. (2014) </w:t>
      </w:r>
      <w:r>
        <w:rPr>
          <w:rStyle w:val="s2"/>
        </w:rPr>
        <w:t>Partnership Working in Health and Social Care</w:t>
      </w:r>
      <w:r>
        <w:rPr>
          <w:rStyle w:val="s1"/>
        </w:rPr>
        <w:t xml:space="preserve">. 2nd </w:t>
      </w:r>
      <w:proofErr w:type="spellStart"/>
      <w:r>
        <w:rPr>
          <w:rStyle w:val="s1"/>
        </w:rPr>
        <w:t>edn</w:t>
      </w:r>
      <w:proofErr w:type="spellEnd"/>
      <w:r>
        <w:rPr>
          <w:rStyle w:val="s1"/>
        </w:rPr>
        <w:t>. Bristol: Policy Press.</w:t>
      </w:r>
    </w:p>
    <w:p w14:paraId="727246BC" w14:textId="77777777" w:rsidR="00984821" w:rsidRDefault="00984821">
      <w:pPr>
        <w:pStyle w:val="p1"/>
        <w:numPr>
          <w:ilvl w:val="0"/>
          <w:numId w:val="1"/>
        </w:numPr>
      </w:pPr>
      <w:r>
        <w:rPr>
          <w:rStyle w:val="s1"/>
        </w:rPr>
        <w:t xml:space="preserve">Health and Care Professions Council (HCPC) (2016) </w:t>
      </w:r>
      <w:r>
        <w:rPr>
          <w:rStyle w:val="s2"/>
        </w:rPr>
        <w:t>Standards of Conduct, Performance and Ethics</w:t>
      </w:r>
      <w:r>
        <w:rPr>
          <w:rStyle w:val="s1"/>
        </w:rPr>
        <w:t>. London: HCPC.</w:t>
      </w:r>
    </w:p>
    <w:p w14:paraId="25107D34" w14:textId="77777777" w:rsidR="00984821" w:rsidRDefault="00984821">
      <w:pPr>
        <w:pStyle w:val="p1"/>
        <w:numPr>
          <w:ilvl w:val="0"/>
          <w:numId w:val="1"/>
        </w:numPr>
      </w:pPr>
      <w:r>
        <w:rPr>
          <w:rStyle w:val="s1"/>
        </w:rPr>
        <w:t xml:space="preserve">Shannon, C.E. and Weaver, W. (1949) </w:t>
      </w:r>
      <w:r>
        <w:rPr>
          <w:rStyle w:val="s2"/>
        </w:rPr>
        <w:t>The Mathematical Theory of Communication</w:t>
      </w:r>
      <w:r>
        <w:rPr>
          <w:rStyle w:val="s1"/>
        </w:rPr>
        <w:t>. Urbana: University of Illinois Press.</w:t>
      </w:r>
    </w:p>
    <w:p w14:paraId="04A004BE" w14:textId="77777777" w:rsidR="00984821" w:rsidRDefault="00984821">
      <w:pPr>
        <w:pStyle w:val="p1"/>
        <w:numPr>
          <w:ilvl w:val="0"/>
          <w:numId w:val="1"/>
        </w:numPr>
      </w:pPr>
      <w:r>
        <w:rPr>
          <w:rStyle w:val="s1"/>
        </w:rPr>
        <w:t xml:space="preserve">The Stationery Office (2010) </w:t>
      </w:r>
      <w:r>
        <w:rPr>
          <w:rStyle w:val="s2"/>
        </w:rPr>
        <w:t>Equality Act 2010</w:t>
      </w:r>
      <w:r>
        <w:rPr>
          <w:rStyle w:val="s1"/>
        </w:rPr>
        <w:t>. London: HMSO.</w:t>
      </w:r>
    </w:p>
    <w:p w14:paraId="09E2A021" w14:textId="77777777" w:rsidR="00984821" w:rsidRDefault="00984821">
      <w:pPr>
        <w:pStyle w:val="p1"/>
        <w:numPr>
          <w:ilvl w:val="0"/>
          <w:numId w:val="1"/>
        </w:numPr>
      </w:pPr>
      <w:r>
        <w:rPr>
          <w:rStyle w:val="s1"/>
        </w:rPr>
        <w:t xml:space="preserve">The Stationery Office (2018) </w:t>
      </w:r>
      <w:r>
        <w:rPr>
          <w:rStyle w:val="s2"/>
        </w:rPr>
        <w:t>Data Protection Act 2018</w:t>
      </w:r>
      <w:r>
        <w:rPr>
          <w:rStyle w:val="s1"/>
        </w:rPr>
        <w:t>. London: HMSO.</w:t>
      </w:r>
    </w:p>
    <w:p w14:paraId="7CC26DC8" w14:textId="77777777" w:rsidR="00984821" w:rsidRDefault="00984821" w:rsidP="00C7494F">
      <w:pPr>
        <w:spacing w:before="100" w:beforeAutospacing="1" w:after="100" w:afterAutospacing="1" w:line="240" w:lineRule="auto"/>
        <w:rPr>
          <w:rFonts w:ascii="Times New Roman" w:hAnsi="Times New Roman" w:cs="Times New Roman"/>
          <w:kern w:val="0"/>
          <w14:ligatures w14:val="none"/>
        </w:rPr>
      </w:pPr>
    </w:p>
    <w:p w14:paraId="491D7055" w14:textId="77777777" w:rsidR="00984821" w:rsidRDefault="00984821" w:rsidP="00C7494F">
      <w:pPr>
        <w:spacing w:before="100" w:beforeAutospacing="1" w:after="100" w:afterAutospacing="1" w:line="240" w:lineRule="auto"/>
        <w:rPr>
          <w:rFonts w:ascii="Times New Roman" w:hAnsi="Times New Roman" w:cs="Times New Roman"/>
          <w:kern w:val="0"/>
          <w14:ligatures w14:val="none"/>
        </w:rPr>
      </w:pPr>
    </w:p>
    <w:p w14:paraId="71AA87DA" w14:textId="77777777" w:rsidR="00984821" w:rsidRPr="00C7494F" w:rsidRDefault="00984821" w:rsidP="00C7494F">
      <w:pPr>
        <w:spacing w:before="100" w:beforeAutospacing="1" w:after="100" w:afterAutospacing="1" w:line="240" w:lineRule="auto"/>
        <w:rPr>
          <w:rFonts w:ascii="Times New Roman" w:hAnsi="Times New Roman" w:cs="Times New Roman"/>
          <w:kern w:val="0"/>
          <w14:ligatures w14:val="none"/>
        </w:rPr>
      </w:pPr>
    </w:p>
    <w:p w14:paraId="5E8992F2" w14:textId="77777777" w:rsidR="00211448" w:rsidRPr="00211448" w:rsidRDefault="00211448" w:rsidP="00211448">
      <w:pPr>
        <w:spacing w:before="100" w:beforeAutospacing="1" w:after="100" w:afterAutospacing="1" w:line="240" w:lineRule="auto"/>
        <w:rPr>
          <w:rFonts w:ascii="Times New Roman" w:hAnsi="Times New Roman" w:cs="Times New Roman"/>
          <w:kern w:val="0"/>
          <w14:ligatures w14:val="none"/>
        </w:rPr>
      </w:pPr>
    </w:p>
    <w:p w14:paraId="3B2B479A" w14:textId="77777777" w:rsidR="00DC4EC0" w:rsidRDefault="00DC4EC0">
      <w:pPr>
        <w:pStyle w:val="p1"/>
      </w:pPr>
    </w:p>
    <w:p w14:paraId="66E9A307" w14:textId="77777777" w:rsidR="00DC4EC0" w:rsidRDefault="00DC4EC0"/>
    <w:p w14:paraId="0145CFE4" w14:textId="111B7F27" w:rsidR="00B07EAD" w:rsidRDefault="00B07EAD">
      <w:r>
        <w:t xml:space="preserve"> </w:t>
      </w:r>
    </w:p>
    <w:p w14:paraId="6632DF5B" w14:textId="77777777" w:rsidR="00B07EAD" w:rsidRDefault="00B07EAD"/>
    <w:sectPr w:rsidR="00B07EA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A27B0" w14:textId="77777777" w:rsidR="004B34C8" w:rsidRDefault="004B34C8" w:rsidP="00194CA9">
      <w:pPr>
        <w:spacing w:after="0" w:line="240" w:lineRule="auto"/>
      </w:pPr>
      <w:r>
        <w:separator/>
      </w:r>
    </w:p>
  </w:endnote>
  <w:endnote w:type="continuationSeparator" w:id="0">
    <w:p w14:paraId="36DBD922" w14:textId="77777777" w:rsidR="004B34C8" w:rsidRDefault="004B34C8" w:rsidP="00194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6723" w14:textId="77777777" w:rsidR="00194CA9" w:rsidRDefault="00194C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64077" w14:textId="77777777" w:rsidR="00194CA9" w:rsidRDefault="00194C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248BE" w14:textId="77777777" w:rsidR="00194CA9" w:rsidRDefault="00194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5AE39" w14:textId="77777777" w:rsidR="004B34C8" w:rsidRDefault="004B34C8" w:rsidP="00194CA9">
      <w:pPr>
        <w:spacing w:after="0" w:line="240" w:lineRule="auto"/>
      </w:pPr>
      <w:r>
        <w:separator/>
      </w:r>
    </w:p>
  </w:footnote>
  <w:footnote w:type="continuationSeparator" w:id="0">
    <w:p w14:paraId="7542CCF5" w14:textId="77777777" w:rsidR="004B34C8" w:rsidRDefault="004B34C8" w:rsidP="00194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A4F9F" w14:textId="77777777" w:rsidR="00194CA9" w:rsidRDefault="00194C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863A" w14:textId="77777777" w:rsidR="00194CA9" w:rsidRDefault="00194C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B0A7B" w14:textId="77777777" w:rsidR="00194CA9" w:rsidRDefault="00194C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FA2D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766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584"/>
    <w:rsid w:val="00030E36"/>
    <w:rsid w:val="00086D5F"/>
    <w:rsid w:val="000B0BC2"/>
    <w:rsid w:val="00125273"/>
    <w:rsid w:val="00127A9E"/>
    <w:rsid w:val="00194CA9"/>
    <w:rsid w:val="001D4988"/>
    <w:rsid w:val="00211448"/>
    <w:rsid w:val="00237402"/>
    <w:rsid w:val="00291B3C"/>
    <w:rsid w:val="0029533A"/>
    <w:rsid w:val="002B3AC1"/>
    <w:rsid w:val="002C1465"/>
    <w:rsid w:val="0030080C"/>
    <w:rsid w:val="00326A77"/>
    <w:rsid w:val="003564EF"/>
    <w:rsid w:val="003A71A1"/>
    <w:rsid w:val="003B2097"/>
    <w:rsid w:val="003E39A8"/>
    <w:rsid w:val="0041438C"/>
    <w:rsid w:val="004B34C8"/>
    <w:rsid w:val="005304C0"/>
    <w:rsid w:val="00723C7C"/>
    <w:rsid w:val="007A1627"/>
    <w:rsid w:val="00806B97"/>
    <w:rsid w:val="00820530"/>
    <w:rsid w:val="008461A4"/>
    <w:rsid w:val="00885FEB"/>
    <w:rsid w:val="008F1B2D"/>
    <w:rsid w:val="008F4EB1"/>
    <w:rsid w:val="00984821"/>
    <w:rsid w:val="009B3143"/>
    <w:rsid w:val="00A4053B"/>
    <w:rsid w:val="00A43247"/>
    <w:rsid w:val="00A63471"/>
    <w:rsid w:val="00AB698A"/>
    <w:rsid w:val="00AE6ED1"/>
    <w:rsid w:val="00B07EAD"/>
    <w:rsid w:val="00B506D6"/>
    <w:rsid w:val="00B553CB"/>
    <w:rsid w:val="00C02388"/>
    <w:rsid w:val="00C51CF8"/>
    <w:rsid w:val="00C7494F"/>
    <w:rsid w:val="00C81CD0"/>
    <w:rsid w:val="00C8712B"/>
    <w:rsid w:val="00CD4215"/>
    <w:rsid w:val="00CF2ABF"/>
    <w:rsid w:val="00CF6C1B"/>
    <w:rsid w:val="00D100C9"/>
    <w:rsid w:val="00D803F4"/>
    <w:rsid w:val="00DC4EC0"/>
    <w:rsid w:val="00DE55B7"/>
    <w:rsid w:val="00DE68A0"/>
    <w:rsid w:val="00E00584"/>
    <w:rsid w:val="00E31122"/>
    <w:rsid w:val="00E71428"/>
    <w:rsid w:val="00E80285"/>
    <w:rsid w:val="00EA4B3F"/>
    <w:rsid w:val="00EC2C48"/>
    <w:rsid w:val="00ED7248"/>
    <w:rsid w:val="00EE00CD"/>
    <w:rsid w:val="00F0444A"/>
    <w:rsid w:val="00F22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84CDF1"/>
  <w15:chartTrackingRefBased/>
  <w15:docId w15:val="{48D2828D-F486-40A5-AE20-1703D1FA5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5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05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5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5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5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5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5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5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5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5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5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5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5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5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584"/>
    <w:rPr>
      <w:rFonts w:eastAsiaTheme="majorEastAsia" w:cstheme="majorBidi"/>
      <w:color w:val="272727" w:themeColor="text1" w:themeTint="D8"/>
    </w:rPr>
  </w:style>
  <w:style w:type="paragraph" w:styleId="Title">
    <w:name w:val="Title"/>
    <w:basedOn w:val="Normal"/>
    <w:next w:val="Normal"/>
    <w:link w:val="TitleChar"/>
    <w:uiPriority w:val="10"/>
    <w:qFormat/>
    <w:rsid w:val="00E005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584"/>
    <w:pPr>
      <w:spacing w:before="160"/>
      <w:jc w:val="center"/>
    </w:pPr>
    <w:rPr>
      <w:i/>
      <w:iCs/>
      <w:color w:val="404040" w:themeColor="text1" w:themeTint="BF"/>
    </w:rPr>
  </w:style>
  <w:style w:type="character" w:customStyle="1" w:styleId="QuoteChar">
    <w:name w:val="Quote Char"/>
    <w:basedOn w:val="DefaultParagraphFont"/>
    <w:link w:val="Quote"/>
    <w:uiPriority w:val="29"/>
    <w:rsid w:val="00E00584"/>
    <w:rPr>
      <w:i/>
      <w:iCs/>
      <w:color w:val="404040" w:themeColor="text1" w:themeTint="BF"/>
    </w:rPr>
  </w:style>
  <w:style w:type="paragraph" w:styleId="ListParagraph">
    <w:name w:val="List Paragraph"/>
    <w:basedOn w:val="Normal"/>
    <w:uiPriority w:val="34"/>
    <w:qFormat/>
    <w:rsid w:val="00E00584"/>
    <w:pPr>
      <w:ind w:left="720"/>
      <w:contextualSpacing/>
    </w:pPr>
  </w:style>
  <w:style w:type="character" w:styleId="IntenseEmphasis">
    <w:name w:val="Intense Emphasis"/>
    <w:basedOn w:val="DefaultParagraphFont"/>
    <w:uiPriority w:val="21"/>
    <w:qFormat/>
    <w:rsid w:val="00E00584"/>
    <w:rPr>
      <w:i/>
      <w:iCs/>
      <w:color w:val="0F4761" w:themeColor="accent1" w:themeShade="BF"/>
    </w:rPr>
  </w:style>
  <w:style w:type="paragraph" w:styleId="IntenseQuote">
    <w:name w:val="Intense Quote"/>
    <w:basedOn w:val="Normal"/>
    <w:next w:val="Normal"/>
    <w:link w:val="IntenseQuoteChar"/>
    <w:uiPriority w:val="30"/>
    <w:qFormat/>
    <w:rsid w:val="00E005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584"/>
    <w:rPr>
      <w:i/>
      <w:iCs/>
      <w:color w:val="0F4761" w:themeColor="accent1" w:themeShade="BF"/>
    </w:rPr>
  </w:style>
  <w:style w:type="character" w:styleId="IntenseReference">
    <w:name w:val="Intense Reference"/>
    <w:basedOn w:val="DefaultParagraphFont"/>
    <w:uiPriority w:val="32"/>
    <w:qFormat/>
    <w:rsid w:val="00E00584"/>
    <w:rPr>
      <w:b/>
      <w:bCs/>
      <w:smallCaps/>
      <w:color w:val="0F4761" w:themeColor="accent1" w:themeShade="BF"/>
      <w:spacing w:val="5"/>
    </w:rPr>
  </w:style>
  <w:style w:type="paragraph" w:customStyle="1" w:styleId="p1">
    <w:name w:val="p1"/>
    <w:basedOn w:val="Normal"/>
    <w:rsid w:val="00DC4EC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C4EC0"/>
  </w:style>
  <w:style w:type="paragraph" w:customStyle="1" w:styleId="p2">
    <w:name w:val="p2"/>
    <w:basedOn w:val="Normal"/>
    <w:rsid w:val="00DC4EC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11448"/>
  </w:style>
  <w:style w:type="paragraph" w:customStyle="1" w:styleId="p3">
    <w:name w:val="p3"/>
    <w:basedOn w:val="Normal"/>
    <w:rsid w:val="00211448"/>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194C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CA9"/>
  </w:style>
  <w:style w:type="paragraph" w:styleId="Footer">
    <w:name w:val="footer"/>
    <w:basedOn w:val="Normal"/>
    <w:link w:val="FooterChar"/>
    <w:uiPriority w:val="99"/>
    <w:unhideWhenUsed/>
    <w:rsid w:val="00194C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1299</Words>
  <Characters>7407</Characters>
  <Application>Microsoft Office Word</Application>
  <DocSecurity>4</DocSecurity>
  <Lines>61</Lines>
  <Paragraphs>17</Paragraphs>
  <ScaleCrop>false</ScaleCrop>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Aribah Shaffiq (2504748)</dc:creator>
  <cp:keywords/>
  <dc:description/>
  <cp:lastModifiedBy>Aribah Shaffiq (2504748)</cp:lastModifiedBy>
  <cp:revision>42</cp:revision>
  <dcterms:created xsi:type="dcterms:W3CDTF">2026-03-22T22:40:00Z</dcterms:created>
  <dcterms:modified xsi:type="dcterms:W3CDTF">2026-03-22T15:48:00Z</dcterms:modified>
</cp:coreProperties>
</file>