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43E0AC" w14:textId="77777777" w:rsidR="007B4C38" w:rsidRDefault="007B4C38">
      <w:pPr>
        <w:spacing w:before="200" w:after="200" w:line="360" w:lineRule="auto"/>
        <w:jc w:val="center"/>
        <w:rPr>
          <w:sz w:val="40"/>
          <w:szCs w:val="40"/>
        </w:rPr>
      </w:pPr>
    </w:p>
    <w:p w14:paraId="510ED038" w14:textId="77777777" w:rsidR="007B4C38" w:rsidRDefault="007B4C38">
      <w:pPr>
        <w:spacing w:before="200" w:after="200" w:line="360" w:lineRule="auto"/>
        <w:jc w:val="center"/>
        <w:rPr>
          <w:sz w:val="40"/>
          <w:szCs w:val="40"/>
        </w:rPr>
      </w:pPr>
    </w:p>
    <w:p w14:paraId="4056D4DA" w14:textId="77777777" w:rsidR="007B4C38" w:rsidRDefault="00763391">
      <w:pPr>
        <w:spacing w:before="200" w:after="200" w:line="360" w:lineRule="auto"/>
        <w:jc w:val="center"/>
        <w:rPr>
          <w:sz w:val="40"/>
          <w:szCs w:val="40"/>
        </w:rPr>
      </w:pPr>
      <w:r>
        <w:rPr>
          <w:noProof/>
          <w:lang w:val="en-IN"/>
        </w:rPr>
        <w:drawing>
          <wp:inline distT="0" distB="0" distL="0" distR="0" wp14:anchorId="3862CCD9" wp14:editId="41596E02">
            <wp:extent cx="3724275" cy="16478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724275" cy="1647825"/>
                    </a:xfrm>
                    <a:prstGeom prst="rect">
                      <a:avLst/>
                    </a:prstGeom>
                    <a:ln/>
                  </pic:spPr>
                </pic:pic>
              </a:graphicData>
            </a:graphic>
          </wp:inline>
        </w:drawing>
      </w:r>
    </w:p>
    <w:p w14:paraId="5E30873C" w14:textId="77777777" w:rsidR="007B4C38" w:rsidRDefault="007B4C38">
      <w:pPr>
        <w:spacing w:before="200" w:after="200" w:line="360" w:lineRule="auto"/>
        <w:jc w:val="center"/>
        <w:rPr>
          <w:sz w:val="40"/>
          <w:szCs w:val="40"/>
        </w:rPr>
      </w:pPr>
    </w:p>
    <w:p w14:paraId="06C0F30D" w14:textId="77777777" w:rsidR="007B4C38" w:rsidRDefault="007B4C38">
      <w:pPr>
        <w:spacing w:before="200" w:after="200" w:line="360" w:lineRule="auto"/>
        <w:jc w:val="center"/>
        <w:rPr>
          <w:sz w:val="40"/>
          <w:szCs w:val="40"/>
        </w:rPr>
      </w:pPr>
    </w:p>
    <w:p w14:paraId="3338DC91" w14:textId="77777777" w:rsidR="007B4C38" w:rsidRDefault="00763391">
      <w:pPr>
        <w:spacing w:before="200" w:after="200" w:line="360" w:lineRule="auto"/>
        <w:jc w:val="center"/>
        <w:rPr>
          <w:sz w:val="40"/>
          <w:szCs w:val="40"/>
        </w:rPr>
      </w:pPr>
      <w:r>
        <w:rPr>
          <w:sz w:val="40"/>
          <w:szCs w:val="40"/>
        </w:rPr>
        <w:t xml:space="preserve">BMIH5001 Entrepreneurship </w:t>
      </w:r>
    </w:p>
    <w:p w14:paraId="27726BE9" w14:textId="77777777" w:rsidR="007B4C38" w:rsidRDefault="00763391">
      <w:pPr>
        <w:spacing w:before="200" w:after="200" w:line="360" w:lineRule="auto"/>
        <w:jc w:val="center"/>
        <w:rPr>
          <w:sz w:val="40"/>
          <w:szCs w:val="40"/>
        </w:rPr>
      </w:pPr>
      <w:r>
        <w:rPr>
          <w:sz w:val="40"/>
          <w:szCs w:val="40"/>
        </w:rPr>
        <w:t xml:space="preserve"> Assessment 1</w:t>
      </w:r>
    </w:p>
    <w:p w14:paraId="6BA29D30" w14:textId="77777777" w:rsidR="007B4C38" w:rsidRDefault="00763391">
      <w:pPr>
        <w:spacing w:before="200" w:after="200" w:line="360" w:lineRule="auto"/>
        <w:jc w:val="center"/>
        <w:rPr>
          <w:sz w:val="40"/>
          <w:szCs w:val="40"/>
        </w:rPr>
      </w:pPr>
      <w:r>
        <w:rPr>
          <w:sz w:val="40"/>
          <w:szCs w:val="40"/>
        </w:rPr>
        <w:t>Essay</w:t>
      </w:r>
    </w:p>
    <w:p w14:paraId="58752895" w14:textId="77777777" w:rsidR="007B4C38" w:rsidRDefault="007B4C38">
      <w:pPr>
        <w:spacing w:before="200" w:after="200" w:line="360" w:lineRule="auto"/>
        <w:jc w:val="left"/>
      </w:pPr>
    </w:p>
    <w:p w14:paraId="21A2B692" w14:textId="77777777" w:rsidR="007B4C38" w:rsidRDefault="00763391">
      <w:pPr>
        <w:spacing w:before="200" w:after="200" w:line="360" w:lineRule="auto"/>
        <w:jc w:val="center"/>
        <w:rPr>
          <w:rFonts w:ascii="Arial" w:eastAsia="Arial" w:hAnsi="Arial" w:cs="Arial"/>
          <w:b/>
        </w:rPr>
      </w:pPr>
      <w:r>
        <w:rPr>
          <w:rFonts w:ascii="Arial" w:eastAsia="Arial" w:hAnsi="Arial" w:cs="Arial"/>
          <w:b/>
        </w:rPr>
        <w:t>Student Name: Ion Popa</w:t>
      </w:r>
    </w:p>
    <w:p w14:paraId="7A42BBBA" w14:textId="77777777" w:rsidR="007B4C38" w:rsidRDefault="00763391">
      <w:pPr>
        <w:spacing w:before="200" w:after="200" w:line="360" w:lineRule="auto"/>
        <w:jc w:val="center"/>
        <w:rPr>
          <w:rFonts w:ascii="Arial" w:eastAsia="Arial" w:hAnsi="Arial" w:cs="Arial"/>
          <w:b/>
        </w:rPr>
      </w:pPr>
      <w:r>
        <w:rPr>
          <w:rFonts w:ascii="Arial" w:eastAsia="Arial" w:hAnsi="Arial" w:cs="Arial"/>
          <w:b/>
        </w:rPr>
        <w:t>Student ID number: (2208502)</w:t>
      </w:r>
    </w:p>
    <w:p w14:paraId="6D28D3B7" w14:textId="77777777" w:rsidR="007B4C38" w:rsidRDefault="00763391">
      <w:pPr>
        <w:spacing w:before="200" w:after="200" w:line="360" w:lineRule="auto"/>
        <w:jc w:val="center"/>
        <w:rPr>
          <w:rFonts w:ascii="Arial" w:eastAsia="Arial" w:hAnsi="Arial" w:cs="Arial"/>
          <w:b/>
        </w:rPr>
      </w:pPr>
      <w:r>
        <w:rPr>
          <w:rFonts w:ascii="Arial" w:eastAsia="Arial" w:hAnsi="Arial" w:cs="Arial"/>
          <w:b/>
        </w:rPr>
        <w:t>Module Mame: Entrepreneurship</w:t>
      </w:r>
    </w:p>
    <w:p w14:paraId="524F0B24" w14:textId="77777777" w:rsidR="007B4C38" w:rsidRDefault="00763391">
      <w:pPr>
        <w:spacing w:before="200" w:after="200" w:line="360" w:lineRule="auto"/>
        <w:jc w:val="center"/>
        <w:rPr>
          <w:rFonts w:ascii="Arial" w:eastAsia="Arial" w:hAnsi="Arial" w:cs="Arial"/>
          <w:b/>
        </w:rPr>
      </w:pPr>
      <w:r>
        <w:rPr>
          <w:rFonts w:ascii="Arial" w:eastAsia="Arial" w:hAnsi="Arial" w:cs="Arial"/>
          <w:b/>
        </w:rPr>
        <w:t>Module Code: BMIH5001</w:t>
      </w:r>
    </w:p>
    <w:p w14:paraId="3D6B4111" w14:textId="77777777" w:rsidR="007B4C38" w:rsidRDefault="00763391">
      <w:pPr>
        <w:spacing w:before="200" w:after="200" w:line="360" w:lineRule="auto"/>
        <w:jc w:val="center"/>
        <w:rPr>
          <w:rFonts w:ascii="Arial" w:eastAsia="Arial" w:hAnsi="Arial" w:cs="Arial"/>
          <w:b/>
        </w:rPr>
      </w:pPr>
      <w:r>
        <w:rPr>
          <w:rFonts w:ascii="Arial" w:eastAsia="Arial" w:hAnsi="Arial" w:cs="Arial"/>
          <w:b/>
        </w:rPr>
        <w:t>Lecturer Name: Charlotte Joyner</w:t>
      </w:r>
    </w:p>
    <w:p w14:paraId="56ABEC9C" w14:textId="22B8F54E" w:rsidR="007B4C38" w:rsidRDefault="00763391">
      <w:pPr>
        <w:spacing w:before="200" w:after="200" w:line="360" w:lineRule="auto"/>
        <w:jc w:val="center"/>
        <w:rPr>
          <w:b/>
          <w:color w:val="2F5496"/>
          <w:sz w:val="32"/>
          <w:szCs w:val="32"/>
        </w:rPr>
      </w:pPr>
      <w:r>
        <w:rPr>
          <w:rFonts w:ascii="Arial" w:eastAsia="Arial" w:hAnsi="Arial" w:cs="Arial"/>
          <w:b/>
        </w:rPr>
        <w:t>Word Count:</w:t>
      </w:r>
      <w:r>
        <w:t xml:space="preserve"> </w:t>
      </w:r>
      <w:r w:rsidR="00145008">
        <w:rPr>
          <w:rFonts w:ascii="Arial" w:eastAsia="Arial" w:hAnsi="Arial" w:cs="Arial"/>
          <w:b/>
        </w:rPr>
        <w:t>1867</w:t>
      </w:r>
      <w:r>
        <w:br w:type="page"/>
      </w:r>
    </w:p>
    <w:p w14:paraId="1CA108CC" w14:textId="77777777" w:rsidR="007B4C38" w:rsidRPr="00145008" w:rsidRDefault="00763391">
      <w:pPr>
        <w:pStyle w:val="Heading1"/>
        <w:spacing w:before="200" w:after="200" w:line="360" w:lineRule="auto"/>
        <w:rPr>
          <w:rFonts w:ascii="Arial" w:eastAsia="Arial" w:hAnsi="Arial" w:cs="Arial"/>
          <w:color w:val="000000" w:themeColor="text1"/>
          <w:sz w:val="22"/>
          <w:szCs w:val="22"/>
        </w:rPr>
      </w:pPr>
      <w:bookmarkStart w:id="0" w:name="_gjdgxs" w:colFirst="0" w:colLast="0"/>
      <w:bookmarkEnd w:id="0"/>
      <w:r w:rsidRPr="00145008">
        <w:rPr>
          <w:rFonts w:ascii="Arial" w:eastAsia="Arial" w:hAnsi="Arial" w:cs="Arial"/>
          <w:color w:val="000000" w:themeColor="text1"/>
          <w:sz w:val="22"/>
          <w:szCs w:val="22"/>
        </w:rPr>
        <w:lastRenderedPageBreak/>
        <w:t>Part 1</w:t>
      </w:r>
    </w:p>
    <w:p w14:paraId="68DB31B4" w14:textId="77777777" w:rsidR="007B4C38" w:rsidRPr="00145008" w:rsidRDefault="00763391">
      <w:pPr>
        <w:pStyle w:val="Heading2"/>
        <w:spacing w:before="200" w:after="200" w:line="360" w:lineRule="auto"/>
        <w:rPr>
          <w:rFonts w:ascii="Arial" w:eastAsia="Arial" w:hAnsi="Arial" w:cs="Arial"/>
          <w:color w:val="000000" w:themeColor="text1"/>
          <w:sz w:val="22"/>
          <w:szCs w:val="22"/>
        </w:rPr>
      </w:pPr>
      <w:bookmarkStart w:id="1" w:name="_30j0zll" w:colFirst="0" w:colLast="0"/>
      <w:bookmarkEnd w:id="1"/>
      <w:r w:rsidRPr="00145008">
        <w:rPr>
          <w:rFonts w:ascii="Arial" w:eastAsia="Arial" w:hAnsi="Arial" w:cs="Arial"/>
          <w:color w:val="000000" w:themeColor="text1"/>
          <w:sz w:val="22"/>
          <w:szCs w:val="22"/>
        </w:rPr>
        <w:t>Introduction</w:t>
      </w:r>
    </w:p>
    <w:p w14:paraId="3C0EBE0D" w14:textId="77777777" w:rsidR="007B4C38" w:rsidRPr="00145008" w:rsidRDefault="00763391">
      <w:pPr>
        <w:spacing w:before="200" w:after="200" w:line="360" w:lineRule="auto"/>
        <w:rPr>
          <w:rFonts w:ascii="Arial" w:eastAsia="Arial" w:hAnsi="Arial" w:cs="Arial"/>
          <w:color w:val="000000" w:themeColor="text1"/>
          <w:sz w:val="22"/>
          <w:szCs w:val="22"/>
        </w:rPr>
        <w:sectPr w:rsidR="007B4C38" w:rsidRPr="0014500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pgNumType w:start="1"/>
          <w:cols w:space="720"/>
        </w:sectPr>
      </w:pPr>
      <w:r w:rsidRPr="00145008">
        <w:rPr>
          <w:rFonts w:ascii="Arial" w:eastAsia="Arial" w:hAnsi="Arial" w:cs="Arial"/>
          <w:color w:val="000000" w:themeColor="text1"/>
          <w:sz w:val="22"/>
          <w:szCs w:val="22"/>
        </w:rPr>
        <w:t xml:space="preserve">With a projected worldwide market value of over £611 billion by 2024, the hospitality business is booming. In the domain of the hospitality industry, there is a rising interest in foundations that offer extraordinary administration as well as focus on natural sustainability (Barringer and Ireland, 2012). This exposition presents a proposition for a special friendliness business idea 'Haven Vistas', stressing eco-hospitality practices and development. The action plan is created utilising the Business Model Canvas (BMC), with cautious thought given to each part. The aim of this report is to discuss the new entrepreneurship idea where different supportable business practices would be recommended. </w:t>
      </w:r>
    </w:p>
    <w:p w14:paraId="1C9DD5A3" w14:textId="77777777" w:rsidR="007B4C38" w:rsidRPr="00145008" w:rsidRDefault="007B4C38">
      <w:pPr>
        <w:widowControl w:val="0"/>
        <w:pBdr>
          <w:top w:val="nil"/>
          <w:left w:val="nil"/>
          <w:bottom w:val="nil"/>
          <w:right w:val="nil"/>
          <w:between w:val="nil"/>
        </w:pBdr>
        <w:spacing w:before="200" w:after="200" w:line="360" w:lineRule="auto"/>
        <w:jc w:val="left"/>
        <w:rPr>
          <w:rFonts w:ascii="Arial" w:eastAsia="Arial" w:hAnsi="Arial" w:cs="Arial"/>
          <w:color w:val="000000" w:themeColor="text1"/>
          <w:sz w:val="22"/>
          <w:szCs w:val="22"/>
        </w:rPr>
      </w:pPr>
    </w:p>
    <w:p w14:paraId="36151D6D" w14:textId="3BA8A082" w:rsidR="007B4C38" w:rsidRPr="00145008" w:rsidRDefault="0089577C">
      <w:pPr>
        <w:spacing w:before="200" w:after="200" w:line="360" w:lineRule="auto"/>
        <w:rPr>
          <w:rFonts w:ascii="Arial" w:eastAsia="Arial" w:hAnsi="Arial" w:cs="Arial"/>
          <w:color w:val="000000" w:themeColor="text1"/>
          <w:sz w:val="22"/>
          <w:szCs w:val="22"/>
        </w:rPr>
        <w:sectPr w:rsidR="007B4C38" w:rsidRPr="00145008">
          <w:pgSz w:w="16838" w:h="11906" w:orient="landscape"/>
          <w:pgMar w:top="720" w:right="720" w:bottom="720" w:left="720" w:header="720" w:footer="720" w:gutter="0"/>
          <w:cols w:space="720"/>
        </w:sectPr>
      </w:pPr>
      <w:bookmarkStart w:id="2" w:name="_1fob9te" w:colFirst="0" w:colLast="0"/>
      <w:bookmarkEnd w:id="2"/>
      <w:r w:rsidRPr="00145008">
        <w:rPr>
          <w:noProof/>
          <w:color w:val="000000" w:themeColor="text1"/>
        </w:rPr>
        <w:drawing>
          <wp:inline distT="0" distB="0" distL="0" distR="0" wp14:anchorId="01487308" wp14:editId="1A19F41C">
            <wp:extent cx="9777730" cy="5212080"/>
            <wp:effectExtent l="0" t="0" r="0" b="7620"/>
            <wp:docPr id="177355797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557979" name="Picture 2" descr="A screenshot of a compu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9777730" cy="5212080"/>
                    </a:xfrm>
                    <a:prstGeom prst="rect">
                      <a:avLst/>
                    </a:prstGeom>
                    <a:noFill/>
                    <a:ln>
                      <a:noFill/>
                    </a:ln>
                  </pic:spPr>
                </pic:pic>
              </a:graphicData>
            </a:graphic>
          </wp:inline>
        </w:drawing>
      </w:r>
    </w:p>
    <w:p w14:paraId="6316B7D6" w14:textId="77777777" w:rsidR="007B4C38" w:rsidRPr="00145008" w:rsidRDefault="00763391">
      <w:pPr>
        <w:pStyle w:val="Heading2"/>
        <w:spacing w:before="200" w:after="200" w:line="360" w:lineRule="auto"/>
        <w:rPr>
          <w:rFonts w:ascii="Arial" w:eastAsia="Arial" w:hAnsi="Arial" w:cs="Arial"/>
          <w:color w:val="000000" w:themeColor="text1"/>
          <w:sz w:val="22"/>
          <w:szCs w:val="22"/>
        </w:rPr>
      </w:pPr>
      <w:bookmarkStart w:id="3" w:name="_3znysh7" w:colFirst="0" w:colLast="0"/>
      <w:bookmarkEnd w:id="3"/>
      <w:r w:rsidRPr="00145008">
        <w:rPr>
          <w:rFonts w:ascii="Arial" w:eastAsia="Arial" w:hAnsi="Arial" w:cs="Arial"/>
          <w:color w:val="000000" w:themeColor="text1"/>
          <w:sz w:val="22"/>
          <w:szCs w:val="22"/>
        </w:rPr>
        <w:lastRenderedPageBreak/>
        <w:t>Body</w:t>
      </w:r>
    </w:p>
    <w:p w14:paraId="79977364"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In the Customer segment, buyers are concerned about the quality of food products and the overall eating behaviour is changed based on the type of quality of food.</w:t>
      </w:r>
    </w:p>
    <w:p w14:paraId="4232BDB0"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The two local people and guests who are keen on ecologically cognizant and stand-out culinary encounters are the ideal interest group for the business (Williams, 2021). The value proposition is fixated on the arrangement of a vivid culinary encounter that puts an accentuation on natural food varieties that are gained from the neighbourhood commercial centre. This company will utilise state-of-the-art feasible practices, for example, the overall efficient power energy arrangements, to separate ourselves from the opposition. Notwithstanding the eating experience, instructive projects zeroed in on ecological obligation will be given. In the Channel segment, Virtual entertainment, associations with organisations that are earth cognizant, and coordinated efforts with neighbourhood powerhouses will be the essential focal points of our advertising plan, which will participate in both traditional and computerised stages. A business site that has quality food service products is always able to attract more customers based on the existing food products. For customer relationships, there will be serious areas of strength to put on growing long-haul associations with the customer base. The foundation of a sensation of local area and faithfulness among the clients will be achieved through the execution of steadfastness programs, customised encounters, and material that is connected via virtual entertainment. In the case of revenue generation, the service of culinary delicacy, sustainable stay-over, and instructive projects will all add to the age of income. Making restricted releases harmless to the ecosystem through joint efforts with nearby craftsmen and specialists will likewise add to the pay. For key resources, Natural food varieties that are assembled from the neighbourhood are a significant asset (Ndubisi and Nwankwo, 2013).</w:t>
      </w:r>
    </w:p>
    <w:p w14:paraId="2FA3D43E"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 xml:space="preserve">Moreover, coordinated efforts will be created with nearby ranchers, craftspeople, and firms that produce sustainable energy. Giving representatives preparing programs on manageable practices will be of basic significance. The key activities from the eco-hospitality business, of the company are fostering a store network that is harmless to the ecosystem, setting in motion programs that produce zero waste, and constantly growing new culinary offers. The company will lead normal preparation programs for the group on different practices connected with sustainability (Rickman, 2013). Using sustainable materials in construction means constructing the hotel and its facilities using environmentally friendly products like recycled materials, sustainable wood, biodegradable construction materials, and so on. Renewable energy sources, such as solar panels and energy-efficient light bulbs, are also a part of this. Difference sustainable and organic product procurement entails acquiring all food and grocery </w:t>
      </w:r>
      <w:r w:rsidRPr="00145008">
        <w:rPr>
          <w:rFonts w:ascii="Arial" w:eastAsia="Arial" w:hAnsi="Arial" w:cs="Arial"/>
          <w:color w:val="000000" w:themeColor="text1"/>
          <w:sz w:val="22"/>
          <w:szCs w:val="22"/>
        </w:rPr>
        <w:lastRenderedPageBreak/>
        <w:t xml:space="preserve">items used in the hotel from nearby farms and markets. Finding environmentally friendly cleaning supplies and laundry detergent is also part of the process. Local eco-tours (including bird viewing, animal safaris, hiking, and more) and other environmentally friendly activities are organised for tourists. </w:t>
      </w:r>
    </w:p>
    <w:p w14:paraId="3B12170E"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 xml:space="preserve">Moreover, sustainability-themed educational trips and seminars will be provided. To educate the public about sustainability issues like water and energy conservation, pollution avoidance, recycling, and so on, it is recommended to organise frequent lectures, short courses, and workshops. The key partners are neighbourhood ranchers, organisations that give harmless to the ecosystem bundling, and associations that promote economic practices that will be in every way remembered for the drive to shape associations (Blackwell, 2013). At the point when we network with non-legislative associations and natural associations, the obligation to sustainability will be reinforced. The primary venture will be utilised to build harmless to the ecosystem framework, give preparation to representatives, and send off showcasing endeavours. Even though there will be an expansion in the expense of tasks because of the utilisation of natural items (Dani, </w:t>
      </w:r>
      <w:proofErr w:type="gramStart"/>
      <w:r w:rsidRPr="00145008">
        <w:rPr>
          <w:rFonts w:ascii="Arial" w:eastAsia="Arial" w:hAnsi="Arial" w:cs="Arial"/>
          <w:color w:val="000000" w:themeColor="text1"/>
          <w:sz w:val="22"/>
          <w:szCs w:val="22"/>
        </w:rPr>
        <w:t>Tiwari</w:t>
      </w:r>
      <w:proofErr w:type="gramEnd"/>
      <w:r w:rsidRPr="00145008">
        <w:rPr>
          <w:rFonts w:ascii="Arial" w:eastAsia="Arial" w:hAnsi="Arial" w:cs="Arial"/>
          <w:color w:val="000000" w:themeColor="text1"/>
          <w:sz w:val="22"/>
          <w:szCs w:val="22"/>
        </w:rPr>
        <w:t xml:space="preserve"> and Negi, 2021), there will be cost decreases acquired through the activity of supportable strategies. To separate the company from the opposition, the organisation won't just give earth dependable eating choices, but it will likewise be effectively associated with ecological instruction. There will be a contrast between the company and the opponents because of the devotion to straightforwardness and continuous advancement.</w:t>
      </w:r>
    </w:p>
    <w:p w14:paraId="400B4755"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 xml:space="preserve">The company has decided to shape joint efforts with nearby ranchers to meet the objective of getting privately obtained natural fixings. This will guarantee that the inventory network is both immediate and reasonable. To act as an illustration of an ongoing model, consider the prominence of "Farm-to-Table" eateries in adjoining regions (Pesci and Brinkley, 2022). These cafés have demonstrated the fascination of utilising food sources that are acquired locally. Through the execution of drives, for example, fertilising the soil, reusing, and recycling, the company can show its commitment to accomplishing zero waste. This decision is supported by the outcome of notable eateries, for example, Noma in Denmark (Adetunji, 2022), which has been lauded for its imaginative waste decrease drives across the world. The establishment of environmentally friendly power energy arrangements, for example, sunlight-based chargers and apparatuses that are productive in their utilisation of energy, will be totally vital. The </w:t>
      </w:r>
      <w:proofErr w:type="spellStart"/>
      <w:r w:rsidRPr="00145008">
        <w:rPr>
          <w:rFonts w:ascii="Arial" w:eastAsia="Arial" w:hAnsi="Arial" w:cs="Arial"/>
          <w:color w:val="000000" w:themeColor="text1"/>
          <w:sz w:val="22"/>
          <w:szCs w:val="22"/>
        </w:rPr>
        <w:t>Grootbos</w:t>
      </w:r>
      <w:proofErr w:type="spellEnd"/>
      <w:r w:rsidRPr="00145008">
        <w:rPr>
          <w:rFonts w:ascii="Arial" w:eastAsia="Arial" w:hAnsi="Arial" w:cs="Arial"/>
          <w:color w:val="000000" w:themeColor="text1"/>
          <w:sz w:val="22"/>
          <w:szCs w:val="22"/>
        </w:rPr>
        <w:t xml:space="preserve"> Private Nature Save in South Africa is a genuine illustration of a spot that has successfully integrated harmless ecosystem energy arrangements into its hospitality exercises (Jorgensen, 2021). The </w:t>
      </w:r>
      <w:proofErr w:type="spellStart"/>
      <w:r w:rsidRPr="00145008">
        <w:rPr>
          <w:rFonts w:ascii="Arial" w:eastAsia="Arial" w:hAnsi="Arial" w:cs="Arial"/>
          <w:color w:val="000000" w:themeColor="text1"/>
          <w:sz w:val="22"/>
          <w:szCs w:val="22"/>
        </w:rPr>
        <w:t>Grootbos</w:t>
      </w:r>
      <w:proofErr w:type="spellEnd"/>
      <w:r w:rsidRPr="00145008">
        <w:rPr>
          <w:rFonts w:ascii="Arial" w:eastAsia="Arial" w:hAnsi="Arial" w:cs="Arial"/>
          <w:color w:val="000000" w:themeColor="text1"/>
          <w:sz w:val="22"/>
          <w:szCs w:val="22"/>
        </w:rPr>
        <w:t xml:space="preserve"> Private Nature Save is considered one of the direct competitors of the selected business organisation. </w:t>
      </w:r>
    </w:p>
    <w:p w14:paraId="0BBC5A27" w14:textId="2233037F"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lastRenderedPageBreak/>
        <w:t xml:space="preserve">The demand of consumers towards sustainability is increasing. In the eco-hospitality business, there is a developing degree of information and interest in ecologically mindful exercises, which makes a great market for our thoughts. In the present market, clients are effectively searching for organisations that share their convictions and standards (Chua and Han, 2022). The availability of fresh, organic goods for visitors may be assured by forming agreements with local organic food producers. These collaborations can also bring economic and environmental advantages. Sourcing from nearby farmers, for example, may cut down on pollution and transportation costs while simultaneously boosting local farms' and companies' bottom lines (Kostić, Ratković and Forlani, 2019). The company’s success will be impacted by the obligation to constant advancement in naturally capable practices, like the </w:t>
      </w:r>
      <w:r w:rsidR="0089577C" w:rsidRPr="00145008">
        <w:rPr>
          <w:rFonts w:ascii="Arial" w:eastAsia="Arial" w:hAnsi="Arial" w:cs="Arial"/>
          <w:color w:val="000000" w:themeColor="text1"/>
          <w:sz w:val="22"/>
          <w:szCs w:val="22"/>
        </w:rPr>
        <w:t>utilisation</w:t>
      </w:r>
      <w:r w:rsidRPr="00145008">
        <w:rPr>
          <w:rFonts w:ascii="Arial" w:eastAsia="Arial" w:hAnsi="Arial" w:cs="Arial"/>
          <w:color w:val="000000" w:themeColor="text1"/>
          <w:sz w:val="22"/>
          <w:szCs w:val="22"/>
        </w:rPr>
        <w:t xml:space="preserve"> of state-of-the-art innovation for the decrease of waste and improved energy effectiveness. Staying aware of the most recent improvements in the ecological area will be fundamental. The company won't simply be adding to social obligation by remembering instructive projects for supportability into this business system, yet the business will likewise be drawing in clients who are naturally careful about their buying choices. This is in accordance with the developing pattern of clients searching for firms to take on more moral and straightforward strategic policies.</w:t>
      </w:r>
    </w:p>
    <w:p w14:paraId="53DB4E94" w14:textId="77777777" w:rsidR="007B4C38" w:rsidRPr="00145008" w:rsidRDefault="00763391">
      <w:pPr>
        <w:pStyle w:val="Heading2"/>
        <w:spacing w:before="200" w:after="200" w:line="360" w:lineRule="auto"/>
        <w:rPr>
          <w:rFonts w:ascii="Arial" w:eastAsia="Arial" w:hAnsi="Arial" w:cs="Arial"/>
          <w:color w:val="000000" w:themeColor="text1"/>
          <w:sz w:val="22"/>
          <w:szCs w:val="22"/>
        </w:rPr>
      </w:pPr>
      <w:bookmarkStart w:id="4" w:name="_2et92p0" w:colFirst="0" w:colLast="0"/>
      <w:bookmarkEnd w:id="4"/>
      <w:r w:rsidRPr="00145008">
        <w:rPr>
          <w:rFonts w:ascii="Arial" w:eastAsia="Arial" w:hAnsi="Arial" w:cs="Arial"/>
          <w:color w:val="000000" w:themeColor="text1"/>
          <w:sz w:val="22"/>
          <w:szCs w:val="22"/>
        </w:rPr>
        <w:t>Conclusion</w:t>
      </w:r>
    </w:p>
    <w:p w14:paraId="1F625763" w14:textId="45400E6D"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 xml:space="preserve">A data-driven approach to building a thorough business plan may provide excellent results, as shown by the Haven Vistas Business Model Canvas project. It can take advantage of new technologies, simplify operations, and base choices on solid metrics using our model, and we always keep the environment in mind. The ecohotel should also undertake the best suitable activities which could have more positive implications for the residing environment. Those practices may involve serving organic foods to the local hotels and reutilising the linens where guests would stay </w:t>
      </w:r>
      <w:r w:rsidR="0089577C" w:rsidRPr="00145008">
        <w:rPr>
          <w:rFonts w:ascii="Arial" w:eastAsia="Arial" w:hAnsi="Arial" w:cs="Arial"/>
          <w:color w:val="000000" w:themeColor="text1"/>
          <w:sz w:val="22"/>
          <w:szCs w:val="22"/>
        </w:rPr>
        <w:t xml:space="preserve">for </w:t>
      </w:r>
      <w:r w:rsidRPr="00145008">
        <w:rPr>
          <w:rFonts w:ascii="Arial" w:eastAsia="Arial" w:hAnsi="Arial" w:cs="Arial"/>
          <w:color w:val="000000" w:themeColor="text1"/>
          <w:sz w:val="22"/>
          <w:szCs w:val="22"/>
        </w:rPr>
        <w:t>more than one night. Another aspect could be determined as undertaking different composting programs and the overall room recycling.</w:t>
      </w:r>
    </w:p>
    <w:p w14:paraId="1ABF3FB8"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color w:val="000000" w:themeColor="text1"/>
        </w:rPr>
        <w:br w:type="page"/>
      </w:r>
    </w:p>
    <w:p w14:paraId="35FC25A6" w14:textId="77777777" w:rsidR="007B4C38" w:rsidRPr="00145008" w:rsidRDefault="00763391">
      <w:pPr>
        <w:pStyle w:val="Heading1"/>
        <w:spacing w:before="200" w:after="200" w:line="360" w:lineRule="auto"/>
        <w:rPr>
          <w:rFonts w:ascii="Arial" w:eastAsia="Arial" w:hAnsi="Arial" w:cs="Arial"/>
          <w:color w:val="000000" w:themeColor="text1"/>
          <w:sz w:val="22"/>
          <w:szCs w:val="22"/>
        </w:rPr>
      </w:pPr>
      <w:bookmarkStart w:id="5" w:name="_tyjcwt" w:colFirst="0" w:colLast="0"/>
      <w:bookmarkEnd w:id="5"/>
      <w:r w:rsidRPr="00145008">
        <w:rPr>
          <w:rFonts w:ascii="Arial" w:eastAsia="Arial" w:hAnsi="Arial" w:cs="Arial"/>
          <w:color w:val="000000" w:themeColor="text1"/>
          <w:sz w:val="22"/>
          <w:szCs w:val="22"/>
        </w:rPr>
        <w:lastRenderedPageBreak/>
        <w:t>Part 2</w:t>
      </w:r>
    </w:p>
    <w:p w14:paraId="253D26CD" w14:textId="77777777" w:rsidR="007B4C38" w:rsidRPr="00145008" w:rsidRDefault="00763391">
      <w:pPr>
        <w:pStyle w:val="Heading2"/>
        <w:spacing w:before="200" w:after="200" w:line="360" w:lineRule="auto"/>
        <w:rPr>
          <w:rFonts w:ascii="Arial" w:eastAsia="Arial" w:hAnsi="Arial" w:cs="Arial"/>
          <w:color w:val="000000" w:themeColor="text1"/>
          <w:sz w:val="22"/>
          <w:szCs w:val="22"/>
        </w:rPr>
      </w:pPr>
      <w:bookmarkStart w:id="6" w:name="_3dy6vkm" w:colFirst="0" w:colLast="0"/>
      <w:bookmarkEnd w:id="6"/>
      <w:r w:rsidRPr="00145008">
        <w:rPr>
          <w:rFonts w:ascii="Arial" w:eastAsia="Arial" w:hAnsi="Arial" w:cs="Arial"/>
          <w:color w:val="000000" w:themeColor="text1"/>
          <w:sz w:val="22"/>
          <w:szCs w:val="22"/>
        </w:rPr>
        <w:t>Introduction</w:t>
      </w:r>
    </w:p>
    <w:p w14:paraId="3606439D"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With the assistance of the Gibbs Reflective Cycle, I will look at the individual credits and reasons that I have for turning into a business visionary, as shown by the surveys and tests that were controlled in class. To go full circle, I should initially depict the occasion, then dissect my feelings, then, at that point, assess the experience, make determinations, and last give a proposition to the activity.</w:t>
      </w:r>
    </w:p>
    <w:p w14:paraId="295CC045" w14:textId="77777777" w:rsidR="007B4C38" w:rsidRPr="00145008" w:rsidRDefault="00763391">
      <w:pPr>
        <w:pStyle w:val="Heading2"/>
        <w:spacing w:before="200" w:after="200" w:line="360" w:lineRule="auto"/>
        <w:rPr>
          <w:rFonts w:ascii="Arial" w:eastAsia="Arial" w:hAnsi="Arial" w:cs="Arial"/>
          <w:color w:val="000000" w:themeColor="text1"/>
          <w:sz w:val="22"/>
          <w:szCs w:val="22"/>
        </w:rPr>
      </w:pPr>
      <w:bookmarkStart w:id="7" w:name="_1t3h5sf" w:colFirst="0" w:colLast="0"/>
      <w:bookmarkEnd w:id="7"/>
      <w:r w:rsidRPr="00145008">
        <w:rPr>
          <w:rFonts w:ascii="Arial" w:eastAsia="Arial" w:hAnsi="Arial" w:cs="Arial"/>
          <w:color w:val="000000" w:themeColor="text1"/>
          <w:sz w:val="22"/>
          <w:szCs w:val="22"/>
        </w:rPr>
        <w:t xml:space="preserve">Self-Reflection - Gibbs Reflective Cycle </w:t>
      </w:r>
    </w:p>
    <w:p w14:paraId="6648CF8F"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b/>
          <w:color w:val="000000" w:themeColor="text1"/>
          <w:sz w:val="22"/>
          <w:szCs w:val="22"/>
        </w:rPr>
        <w:t>Description:</w:t>
      </w:r>
      <w:r w:rsidRPr="00145008">
        <w:rPr>
          <w:rFonts w:ascii="Arial" w:eastAsia="Arial" w:hAnsi="Arial" w:cs="Arial"/>
          <w:color w:val="000000" w:themeColor="text1"/>
          <w:sz w:val="22"/>
          <w:szCs w:val="22"/>
        </w:rPr>
        <w:t xml:space="preserve"> Throughout the pioneering and the executives’ assessments, it was found that there was a huge inclination towards development and facing challenges. The qualities that </w:t>
      </w:r>
      <w:proofErr w:type="gramStart"/>
      <w:r w:rsidRPr="00145008">
        <w:rPr>
          <w:rFonts w:ascii="Arial" w:eastAsia="Arial" w:hAnsi="Arial" w:cs="Arial"/>
          <w:color w:val="000000" w:themeColor="text1"/>
          <w:sz w:val="22"/>
          <w:szCs w:val="22"/>
        </w:rPr>
        <w:t>are connected with</w:t>
      </w:r>
      <w:proofErr w:type="gramEnd"/>
      <w:r w:rsidRPr="00145008">
        <w:rPr>
          <w:rFonts w:ascii="Arial" w:eastAsia="Arial" w:hAnsi="Arial" w:cs="Arial"/>
          <w:color w:val="000000" w:themeColor="text1"/>
          <w:sz w:val="22"/>
          <w:szCs w:val="22"/>
        </w:rPr>
        <w:t xml:space="preserve"> innovativeness, adaptability, and a craving to investigate new choices were all regions wherein I scored well. One of the </w:t>
      </w:r>
      <w:proofErr w:type="gramStart"/>
      <w:r w:rsidRPr="00145008">
        <w:rPr>
          <w:rFonts w:ascii="Arial" w:eastAsia="Arial" w:hAnsi="Arial" w:cs="Arial"/>
          <w:color w:val="000000" w:themeColor="text1"/>
          <w:sz w:val="22"/>
          <w:szCs w:val="22"/>
        </w:rPr>
        <w:t>evidence</w:t>
      </w:r>
      <w:proofErr w:type="gramEnd"/>
      <w:r w:rsidRPr="00145008">
        <w:rPr>
          <w:rFonts w:ascii="Arial" w:eastAsia="Arial" w:hAnsi="Arial" w:cs="Arial"/>
          <w:color w:val="000000" w:themeColor="text1"/>
          <w:sz w:val="22"/>
          <w:szCs w:val="22"/>
        </w:rPr>
        <w:t xml:space="preserve"> could be identified as adapting more of the qualified activities which are mostly related to innovation and resolution. </w:t>
      </w:r>
    </w:p>
    <w:p w14:paraId="124F9F82" w14:textId="66020378"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b/>
          <w:color w:val="000000" w:themeColor="text1"/>
          <w:sz w:val="22"/>
          <w:szCs w:val="22"/>
        </w:rPr>
        <w:t>Feelings:</w:t>
      </w:r>
      <w:r w:rsidRPr="00145008">
        <w:rPr>
          <w:rFonts w:ascii="Arial" w:eastAsia="Arial" w:hAnsi="Arial" w:cs="Arial"/>
          <w:color w:val="000000" w:themeColor="text1"/>
          <w:sz w:val="22"/>
          <w:szCs w:val="22"/>
        </w:rPr>
        <w:t xml:space="preserve"> The discoveries were empowering, yet they additionally exposed regions that might have serious room for improvement (Hisrich, Peters and Shepherd, 2013). The penchant </w:t>
      </w:r>
      <w:r w:rsidR="0089577C" w:rsidRPr="00145008">
        <w:rPr>
          <w:rFonts w:ascii="Arial" w:eastAsia="Arial" w:hAnsi="Arial" w:cs="Arial"/>
          <w:color w:val="000000" w:themeColor="text1"/>
          <w:sz w:val="22"/>
          <w:szCs w:val="22"/>
        </w:rPr>
        <w:t>for facing</w:t>
      </w:r>
      <w:r w:rsidRPr="00145008">
        <w:rPr>
          <w:rFonts w:ascii="Arial" w:eastAsia="Arial" w:hAnsi="Arial" w:cs="Arial"/>
          <w:color w:val="000000" w:themeColor="text1"/>
          <w:sz w:val="22"/>
          <w:szCs w:val="22"/>
        </w:rPr>
        <w:t xml:space="preserve"> challenges prodded excitement, yet the issue lay in finding some kind of harmony between this propensity and a precise way to deal with direction.</w:t>
      </w:r>
    </w:p>
    <w:p w14:paraId="13A6E9B0"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b/>
          <w:color w:val="000000" w:themeColor="text1"/>
          <w:sz w:val="22"/>
          <w:szCs w:val="22"/>
        </w:rPr>
        <w:t>Evaluation:</w:t>
      </w:r>
      <w:r w:rsidRPr="00145008">
        <w:rPr>
          <w:rFonts w:ascii="Arial" w:eastAsia="Arial" w:hAnsi="Arial" w:cs="Arial"/>
          <w:color w:val="000000" w:themeColor="text1"/>
          <w:sz w:val="22"/>
          <w:szCs w:val="22"/>
        </w:rPr>
        <w:t xml:space="preserve"> In the wake of assessing the consequences of the test, I have arrived at the place of understanding that inventiveness and development are vital during the time spent turning into a business visionary (Burns, 2022). Then again, to work with effective vital preparation, I want to channel these qualities into a coordinated structure appropriately. In terms of my experience, I would be able to say that I am more comfortable in group work or collaborative work. Hence, from my own entrepreneurship perspective, I have gained the ability to communicate more effectively with others. </w:t>
      </w:r>
    </w:p>
    <w:p w14:paraId="055FC5E7" w14:textId="662660B8" w:rsidR="007B4C38" w:rsidRPr="00145008" w:rsidRDefault="00763391">
      <w:pPr>
        <w:pBdr>
          <w:top w:val="nil"/>
          <w:left w:val="nil"/>
          <w:bottom w:val="nil"/>
          <w:right w:val="nil"/>
          <w:between w:val="nil"/>
        </w:pBdr>
        <w:spacing w:before="200" w:after="200" w:line="360" w:lineRule="auto"/>
        <w:rPr>
          <w:rFonts w:ascii="Arial" w:eastAsia="Arial" w:hAnsi="Arial" w:cs="Arial"/>
          <w:color w:val="000000" w:themeColor="text1"/>
          <w:sz w:val="22"/>
          <w:szCs w:val="22"/>
        </w:rPr>
      </w:pPr>
      <w:r w:rsidRPr="00145008">
        <w:rPr>
          <w:rFonts w:ascii="Arial" w:eastAsia="Arial" w:hAnsi="Arial" w:cs="Arial"/>
          <w:b/>
          <w:color w:val="000000" w:themeColor="text1"/>
          <w:sz w:val="22"/>
          <w:szCs w:val="22"/>
        </w:rPr>
        <w:t>Conclusion:</w:t>
      </w:r>
      <w:r w:rsidRPr="00145008">
        <w:rPr>
          <w:rFonts w:ascii="Arial" w:eastAsia="Arial" w:hAnsi="Arial" w:cs="Arial"/>
          <w:color w:val="000000" w:themeColor="text1"/>
          <w:sz w:val="22"/>
          <w:szCs w:val="22"/>
        </w:rPr>
        <w:t xml:space="preserve"> The entrepreneurial characteristics that were found using the tests are harmonious with the rules that support the cordiality organisation model that has been advertised (Mariotti and Glackin, 2013). Since I have a propensity towards imagination, the emphasis put on supportability and development is something that </w:t>
      </w:r>
      <w:r w:rsidR="0089577C" w:rsidRPr="00145008">
        <w:rPr>
          <w:rFonts w:ascii="Arial" w:eastAsia="Arial" w:hAnsi="Arial" w:cs="Arial"/>
          <w:color w:val="000000" w:themeColor="text1"/>
          <w:sz w:val="22"/>
          <w:szCs w:val="22"/>
        </w:rPr>
        <w:t xml:space="preserve">I </w:t>
      </w:r>
      <w:r w:rsidRPr="00145008">
        <w:rPr>
          <w:rFonts w:ascii="Arial" w:eastAsia="Arial" w:hAnsi="Arial" w:cs="Arial"/>
          <w:color w:val="000000" w:themeColor="text1"/>
          <w:sz w:val="22"/>
          <w:szCs w:val="22"/>
        </w:rPr>
        <w:t xml:space="preserve">associate with </w:t>
      </w:r>
      <w:r w:rsidR="0089577C" w:rsidRPr="00145008">
        <w:rPr>
          <w:rFonts w:ascii="Arial" w:eastAsia="Arial" w:hAnsi="Arial" w:cs="Arial"/>
          <w:color w:val="000000" w:themeColor="text1"/>
          <w:sz w:val="22"/>
          <w:szCs w:val="22"/>
        </w:rPr>
        <w:t>myself</w:t>
      </w:r>
      <w:r w:rsidRPr="00145008">
        <w:rPr>
          <w:rFonts w:ascii="Arial" w:eastAsia="Arial" w:hAnsi="Arial" w:cs="Arial"/>
          <w:color w:val="000000" w:themeColor="text1"/>
          <w:sz w:val="22"/>
          <w:szCs w:val="22"/>
        </w:rPr>
        <w:t>. In any case, the way that there is an acknowledgement of the requirement for more noteworthy administration capacities, particularly in essential preparation, features the need to embrace a decent methodology.</w:t>
      </w:r>
    </w:p>
    <w:p w14:paraId="4637F4E7"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b/>
          <w:color w:val="000000" w:themeColor="text1"/>
          <w:sz w:val="22"/>
          <w:szCs w:val="22"/>
        </w:rPr>
        <w:lastRenderedPageBreak/>
        <w:t>Action Plan:</w:t>
      </w:r>
      <w:r w:rsidRPr="00145008">
        <w:rPr>
          <w:rFonts w:ascii="Arial" w:eastAsia="Arial" w:hAnsi="Arial" w:cs="Arial"/>
          <w:color w:val="000000" w:themeColor="text1"/>
          <w:sz w:val="22"/>
          <w:szCs w:val="22"/>
        </w:rPr>
        <w:t xml:space="preserve"> An exhaustive activity plan has been laid out to address the regions that have been featured as requiring improvement. I, first and foremost, will focus on forcefully looking for tutoring from old pros working in the accommodation and reasonable business areas (Williams, 2018). Acquiring information from their encounters and viewpoints will provide me with significant guidance during the time spent levelling up my administration skills. To upgrade my insight into hierarchical designs, risk appraisal, and dynamic techniques, I need to take part in essential administration courses and classes (Timmons, </w:t>
      </w:r>
      <w:proofErr w:type="gramStart"/>
      <w:r w:rsidRPr="00145008">
        <w:rPr>
          <w:rFonts w:ascii="Arial" w:eastAsia="Arial" w:hAnsi="Arial" w:cs="Arial"/>
          <w:color w:val="000000" w:themeColor="text1"/>
          <w:sz w:val="22"/>
          <w:szCs w:val="22"/>
        </w:rPr>
        <w:t>Spinelli</w:t>
      </w:r>
      <w:proofErr w:type="gramEnd"/>
      <w:r w:rsidRPr="00145008">
        <w:rPr>
          <w:rFonts w:ascii="Arial" w:eastAsia="Arial" w:hAnsi="Arial" w:cs="Arial"/>
          <w:color w:val="000000" w:themeColor="text1"/>
          <w:sz w:val="22"/>
          <w:szCs w:val="22"/>
        </w:rPr>
        <w:t xml:space="preserve"> and Ensign, 2014).  I have also learned that there are different skills or knowledge bases that could be gathered while applying to those Individual courses. Those have </w:t>
      </w:r>
      <w:proofErr w:type="gramStart"/>
      <w:r w:rsidRPr="00145008">
        <w:rPr>
          <w:rFonts w:ascii="Arial" w:eastAsia="Arial" w:hAnsi="Arial" w:cs="Arial"/>
          <w:color w:val="000000" w:themeColor="text1"/>
          <w:sz w:val="22"/>
          <w:szCs w:val="22"/>
        </w:rPr>
        <w:t>been considered to be</w:t>
      </w:r>
      <w:proofErr w:type="gramEnd"/>
      <w:r w:rsidRPr="00145008">
        <w:rPr>
          <w:rFonts w:ascii="Arial" w:eastAsia="Arial" w:hAnsi="Arial" w:cs="Arial"/>
          <w:color w:val="000000" w:themeColor="text1"/>
          <w:sz w:val="22"/>
          <w:szCs w:val="22"/>
        </w:rPr>
        <w:t xml:space="preserve"> the administrative skills which are supposed to be more useful in my personal and professional life. </w:t>
      </w:r>
    </w:p>
    <w:p w14:paraId="6BBB0E6B" w14:textId="77777777" w:rsidR="007B4C38" w:rsidRPr="00145008" w:rsidRDefault="00763391">
      <w:pPr>
        <w:pStyle w:val="Heading2"/>
        <w:spacing w:before="200" w:after="200" w:line="360" w:lineRule="auto"/>
        <w:rPr>
          <w:rFonts w:ascii="Arial" w:eastAsia="Arial" w:hAnsi="Arial" w:cs="Arial"/>
          <w:color w:val="000000" w:themeColor="text1"/>
          <w:sz w:val="22"/>
          <w:szCs w:val="22"/>
        </w:rPr>
      </w:pPr>
      <w:bookmarkStart w:id="8" w:name="_4d34og8" w:colFirst="0" w:colLast="0"/>
      <w:bookmarkEnd w:id="8"/>
      <w:r w:rsidRPr="00145008">
        <w:rPr>
          <w:rFonts w:ascii="Arial" w:eastAsia="Arial" w:hAnsi="Arial" w:cs="Arial"/>
          <w:color w:val="000000" w:themeColor="text1"/>
          <w:sz w:val="22"/>
          <w:szCs w:val="22"/>
        </w:rPr>
        <w:t>Conclusion</w:t>
      </w:r>
    </w:p>
    <w:p w14:paraId="02250A2C"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This way of self-reflection has been enlightening, as it has affirmed my business goals while likewise facing up regions in which I could move along. My inventive and creative propensities are all around lined up with the organisation model that has been advertised. By showing a guarantee to ceaseless turn of events and variation, the activity plan that was laid out to conquer the executives’ shortcomings delineates that responsibility.</w:t>
      </w:r>
    </w:p>
    <w:p w14:paraId="6203F1A8" w14:textId="77777777" w:rsidR="007B4C38" w:rsidRPr="00145008" w:rsidRDefault="007B4C38">
      <w:pPr>
        <w:spacing w:before="200" w:after="200" w:line="360" w:lineRule="auto"/>
        <w:rPr>
          <w:rFonts w:ascii="Arial" w:eastAsia="Arial" w:hAnsi="Arial" w:cs="Arial"/>
          <w:color w:val="000000" w:themeColor="text1"/>
          <w:sz w:val="22"/>
          <w:szCs w:val="22"/>
        </w:rPr>
      </w:pPr>
    </w:p>
    <w:p w14:paraId="4C5A924C" w14:textId="77777777" w:rsidR="007B4C38" w:rsidRPr="00145008" w:rsidRDefault="00763391">
      <w:pPr>
        <w:spacing w:before="200" w:after="200" w:line="360" w:lineRule="auto"/>
        <w:rPr>
          <w:rFonts w:ascii="Arial" w:eastAsia="Arial" w:hAnsi="Arial" w:cs="Arial"/>
          <w:b/>
          <w:color w:val="000000" w:themeColor="text1"/>
          <w:sz w:val="22"/>
          <w:szCs w:val="22"/>
        </w:rPr>
      </w:pPr>
      <w:r w:rsidRPr="00145008">
        <w:rPr>
          <w:color w:val="000000" w:themeColor="text1"/>
        </w:rPr>
        <w:br w:type="page"/>
      </w:r>
    </w:p>
    <w:p w14:paraId="49AB5D67" w14:textId="77777777" w:rsidR="007B4C38" w:rsidRPr="00145008" w:rsidRDefault="00763391">
      <w:pPr>
        <w:pStyle w:val="Heading1"/>
        <w:spacing w:before="200" w:after="200" w:line="360" w:lineRule="auto"/>
        <w:rPr>
          <w:rFonts w:ascii="Arial" w:eastAsia="Arial" w:hAnsi="Arial" w:cs="Arial"/>
          <w:color w:val="000000" w:themeColor="text1"/>
          <w:sz w:val="22"/>
          <w:szCs w:val="22"/>
        </w:rPr>
      </w:pPr>
      <w:bookmarkStart w:id="9" w:name="_2s8eyo1" w:colFirst="0" w:colLast="0"/>
      <w:bookmarkEnd w:id="9"/>
      <w:r w:rsidRPr="00145008">
        <w:rPr>
          <w:rFonts w:ascii="Arial" w:eastAsia="Arial" w:hAnsi="Arial" w:cs="Arial"/>
          <w:color w:val="000000" w:themeColor="text1"/>
          <w:sz w:val="22"/>
          <w:szCs w:val="22"/>
        </w:rPr>
        <w:lastRenderedPageBreak/>
        <w:t>References</w:t>
      </w:r>
    </w:p>
    <w:p w14:paraId="4E2B128E"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 xml:space="preserve">Adetunji (2022) </w:t>
      </w:r>
      <w:r w:rsidRPr="00145008">
        <w:rPr>
          <w:rFonts w:ascii="Arial" w:eastAsia="Arial" w:hAnsi="Arial" w:cs="Arial"/>
          <w:i/>
          <w:color w:val="000000" w:themeColor="text1"/>
          <w:sz w:val="22"/>
          <w:szCs w:val="22"/>
        </w:rPr>
        <w:t>Noma to close: why it’s so hard to run a sustainable innovation-focused restaurant</w:t>
      </w:r>
      <w:r w:rsidRPr="00145008">
        <w:rPr>
          <w:rFonts w:ascii="Arial" w:eastAsia="Arial" w:hAnsi="Arial" w:cs="Arial"/>
          <w:color w:val="000000" w:themeColor="text1"/>
          <w:sz w:val="22"/>
          <w:szCs w:val="22"/>
        </w:rPr>
        <w:t>. Available at: https://theconversation.com/noma-to-close-why-its-so-hard-to-run-a-sustainable-innovation-focused-restaurant-197733 (Accessed: 27 January 2024).</w:t>
      </w:r>
    </w:p>
    <w:p w14:paraId="6573BF21"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Barringer, B.R. and Ireland, R. Duane. (2012) ‘Entrepreneurship: successfully launching new ventures’, p. 563.</w:t>
      </w:r>
    </w:p>
    <w:p w14:paraId="24784442"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Blackwell, E. (2013) ‘How to Prepare a Business Plan (Business Enterprise)’, p. 192. Available at: https://books.google.com/books/about/How_to_Prepare_a_Business_Plan.html?id=4F0FraQ5e-MC (Accessed: 27 January 2024).</w:t>
      </w:r>
    </w:p>
    <w:p w14:paraId="34DF67B4"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Burns, P. (2022) ‘Entrepreneurship and small business: start-up, growth and maturity’, p. 516.</w:t>
      </w:r>
    </w:p>
    <w:p w14:paraId="799A220E"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 xml:space="preserve">Chua, B.L. and Han, H. (2022) ‘Green hotels: the state of green hotel research and </w:t>
      </w:r>
      <w:proofErr w:type="gramStart"/>
      <w:r w:rsidRPr="00145008">
        <w:rPr>
          <w:rFonts w:ascii="Arial" w:eastAsia="Arial" w:hAnsi="Arial" w:cs="Arial"/>
          <w:color w:val="000000" w:themeColor="text1"/>
          <w:sz w:val="22"/>
          <w:szCs w:val="22"/>
        </w:rPr>
        <w:t>future prospects</w:t>
      </w:r>
      <w:proofErr w:type="gramEnd"/>
      <w:r w:rsidRPr="00145008">
        <w:rPr>
          <w:rFonts w:ascii="Arial" w:eastAsia="Arial" w:hAnsi="Arial" w:cs="Arial"/>
          <w:color w:val="000000" w:themeColor="text1"/>
          <w:sz w:val="22"/>
          <w:szCs w:val="22"/>
        </w:rPr>
        <w:t xml:space="preserve">’, </w:t>
      </w:r>
      <w:r w:rsidRPr="00145008">
        <w:rPr>
          <w:rFonts w:ascii="Arial" w:eastAsia="Arial" w:hAnsi="Arial" w:cs="Arial"/>
          <w:i/>
          <w:color w:val="000000" w:themeColor="text1"/>
          <w:sz w:val="22"/>
          <w:szCs w:val="22"/>
        </w:rPr>
        <w:t>Journal of Travel &amp; Tourism Marketing</w:t>
      </w:r>
      <w:r w:rsidRPr="00145008">
        <w:rPr>
          <w:rFonts w:ascii="Arial" w:eastAsia="Arial" w:hAnsi="Arial" w:cs="Arial"/>
          <w:color w:val="000000" w:themeColor="text1"/>
          <w:sz w:val="22"/>
          <w:szCs w:val="22"/>
        </w:rPr>
        <w:t>, 39(5), pp. 465–483. Available at: https://doi.org/10.1080/10548408.2022.2136329.</w:t>
      </w:r>
    </w:p>
    <w:p w14:paraId="29195FBC"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 xml:space="preserve">Dani, R., Tiwari, K. and Negi, P. (2021) ‘Ecological approach towards sustainability in hotel industry’, </w:t>
      </w:r>
      <w:r w:rsidRPr="00145008">
        <w:rPr>
          <w:rFonts w:ascii="Arial" w:eastAsia="Arial" w:hAnsi="Arial" w:cs="Arial"/>
          <w:i/>
          <w:color w:val="000000" w:themeColor="text1"/>
          <w:sz w:val="22"/>
          <w:szCs w:val="22"/>
        </w:rPr>
        <w:t>Materials Today: Proceedings</w:t>
      </w:r>
      <w:r w:rsidRPr="00145008">
        <w:rPr>
          <w:rFonts w:ascii="Arial" w:eastAsia="Arial" w:hAnsi="Arial" w:cs="Arial"/>
          <w:color w:val="000000" w:themeColor="text1"/>
          <w:sz w:val="22"/>
          <w:szCs w:val="22"/>
        </w:rPr>
        <w:t>, 46, pp. 10439–10442. Available at: https://doi.org/10.1016/J.MATPR.2020.12.1020.</w:t>
      </w:r>
    </w:p>
    <w:p w14:paraId="4D7A7175"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Haltiwanger, J., (2022). Entrepreneurship in the twenty-first century. </w:t>
      </w:r>
      <w:r w:rsidRPr="00145008">
        <w:rPr>
          <w:rFonts w:ascii="Arial" w:eastAsia="Arial" w:hAnsi="Arial" w:cs="Arial"/>
          <w:i/>
          <w:color w:val="000000" w:themeColor="text1"/>
          <w:sz w:val="22"/>
          <w:szCs w:val="22"/>
        </w:rPr>
        <w:t>Small Business Economics</w:t>
      </w:r>
      <w:r w:rsidRPr="00145008">
        <w:rPr>
          <w:rFonts w:ascii="Arial" w:eastAsia="Arial" w:hAnsi="Arial" w:cs="Arial"/>
          <w:color w:val="000000" w:themeColor="text1"/>
          <w:sz w:val="22"/>
          <w:szCs w:val="22"/>
        </w:rPr>
        <w:t>, pp.1-14.</w:t>
      </w:r>
    </w:p>
    <w:p w14:paraId="6D5F7E40"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Hisrich, R.D., Peters, M.P. and Shepherd, D.A. (2013) ‘Entrepreneurship’, p. 580.</w:t>
      </w:r>
    </w:p>
    <w:p w14:paraId="037B5AE9"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Hisrich, R.D., Peters, M.P. and Shepherd, D.A., (2017). </w:t>
      </w:r>
      <w:r w:rsidRPr="00145008">
        <w:rPr>
          <w:rFonts w:ascii="Arial" w:eastAsia="Arial" w:hAnsi="Arial" w:cs="Arial"/>
          <w:i/>
          <w:color w:val="000000" w:themeColor="text1"/>
          <w:sz w:val="22"/>
          <w:szCs w:val="22"/>
        </w:rPr>
        <w:t>Entrepreneurship</w:t>
      </w:r>
      <w:r w:rsidRPr="00145008">
        <w:rPr>
          <w:rFonts w:ascii="Arial" w:eastAsia="Arial" w:hAnsi="Arial" w:cs="Arial"/>
          <w:color w:val="000000" w:themeColor="text1"/>
          <w:sz w:val="22"/>
          <w:szCs w:val="22"/>
        </w:rPr>
        <w:t>. McGraw-Hill Education.</w:t>
      </w:r>
    </w:p>
    <w:p w14:paraId="2E5B4149"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 xml:space="preserve">Jorgensen (2021) </w:t>
      </w:r>
      <w:proofErr w:type="spellStart"/>
      <w:r w:rsidRPr="00145008">
        <w:rPr>
          <w:rFonts w:ascii="Arial" w:eastAsia="Arial" w:hAnsi="Arial" w:cs="Arial"/>
          <w:i/>
          <w:color w:val="000000" w:themeColor="text1"/>
          <w:sz w:val="22"/>
          <w:szCs w:val="22"/>
        </w:rPr>
        <w:t>Grootbos</w:t>
      </w:r>
      <w:proofErr w:type="spellEnd"/>
      <w:r w:rsidRPr="00145008">
        <w:rPr>
          <w:rFonts w:ascii="Arial" w:eastAsia="Arial" w:hAnsi="Arial" w:cs="Arial"/>
          <w:i/>
          <w:color w:val="000000" w:themeColor="text1"/>
          <w:sz w:val="22"/>
          <w:szCs w:val="22"/>
        </w:rPr>
        <w:t xml:space="preserve"> Private Nature Reserve. Set idyllically between Mountain and Sea. Cape Overberg. | by Dawn </w:t>
      </w:r>
      <w:proofErr w:type="spellStart"/>
      <w:r w:rsidRPr="00145008">
        <w:rPr>
          <w:rFonts w:ascii="Arial" w:eastAsia="Arial" w:hAnsi="Arial" w:cs="Arial"/>
          <w:i/>
          <w:color w:val="000000" w:themeColor="text1"/>
          <w:sz w:val="22"/>
          <w:szCs w:val="22"/>
        </w:rPr>
        <w:t>Bradnick</w:t>
      </w:r>
      <w:proofErr w:type="spellEnd"/>
      <w:r w:rsidRPr="00145008">
        <w:rPr>
          <w:rFonts w:ascii="Arial" w:eastAsia="Arial" w:hAnsi="Arial" w:cs="Arial"/>
          <w:i/>
          <w:color w:val="000000" w:themeColor="text1"/>
          <w:sz w:val="22"/>
          <w:szCs w:val="22"/>
        </w:rPr>
        <w:t xml:space="preserve"> Jorgensen | Medium</w:t>
      </w:r>
      <w:r w:rsidRPr="00145008">
        <w:rPr>
          <w:rFonts w:ascii="Arial" w:eastAsia="Arial" w:hAnsi="Arial" w:cs="Arial"/>
          <w:color w:val="000000" w:themeColor="text1"/>
          <w:sz w:val="22"/>
          <w:szCs w:val="22"/>
        </w:rPr>
        <w:t>. Available at: https://dawnjorgensen.medium.com/grootbos-private-nature-reserve-set-idyllically-between-mountain-and-sea-cape-overberg-6c9c428e3233 (Accessed: 27 January 2024).</w:t>
      </w:r>
    </w:p>
    <w:p w14:paraId="7DE46089"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 xml:space="preserve">Kostić, M., Ratković, M. and Forlani, F. (2019) ‘Eco-hotels as an example of environmental responsibility and innovation in savings in the hotel industry’, </w:t>
      </w:r>
      <w:proofErr w:type="spellStart"/>
      <w:r w:rsidRPr="00145008">
        <w:rPr>
          <w:rFonts w:ascii="Arial" w:eastAsia="Arial" w:hAnsi="Arial" w:cs="Arial"/>
          <w:i/>
          <w:color w:val="000000" w:themeColor="text1"/>
          <w:sz w:val="22"/>
          <w:szCs w:val="22"/>
        </w:rPr>
        <w:t>Menadzment</w:t>
      </w:r>
      <w:proofErr w:type="spellEnd"/>
      <w:r w:rsidRPr="00145008">
        <w:rPr>
          <w:rFonts w:ascii="Arial" w:eastAsia="Arial" w:hAnsi="Arial" w:cs="Arial"/>
          <w:i/>
          <w:color w:val="000000" w:themeColor="text1"/>
          <w:sz w:val="22"/>
          <w:szCs w:val="22"/>
        </w:rPr>
        <w:t xml:space="preserve"> u </w:t>
      </w:r>
      <w:proofErr w:type="spellStart"/>
      <w:r w:rsidRPr="00145008">
        <w:rPr>
          <w:rFonts w:ascii="Arial" w:eastAsia="Arial" w:hAnsi="Arial" w:cs="Arial"/>
          <w:i/>
          <w:color w:val="000000" w:themeColor="text1"/>
          <w:sz w:val="22"/>
          <w:szCs w:val="22"/>
        </w:rPr>
        <w:t>hotelijerstvu</w:t>
      </w:r>
      <w:proofErr w:type="spellEnd"/>
      <w:r w:rsidRPr="00145008">
        <w:rPr>
          <w:rFonts w:ascii="Arial" w:eastAsia="Arial" w:hAnsi="Arial" w:cs="Arial"/>
          <w:i/>
          <w:color w:val="000000" w:themeColor="text1"/>
          <w:sz w:val="22"/>
          <w:szCs w:val="22"/>
        </w:rPr>
        <w:t xml:space="preserve"> </w:t>
      </w:r>
      <w:proofErr w:type="spellStart"/>
      <w:r w:rsidRPr="00145008">
        <w:rPr>
          <w:rFonts w:ascii="Arial" w:eastAsia="Arial" w:hAnsi="Arial" w:cs="Arial"/>
          <w:i/>
          <w:color w:val="000000" w:themeColor="text1"/>
          <w:sz w:val="22"/>
          <w:szCs w:val="22"/>
        </w:rPr>
        <w:t>i</w:t>
      </w:r>
      <w:proofErr w:type="spellEnd"/>
      <w:r w:rsidRPr="00145008">
        <w:rPr>
          <w:rFonts w:ascii="Arial" w:eastAsia="Arial" w:hAnsi="Arial" w:cs="Arial"/>
          <w:i/>
          <w:color w:val="000000" w:themeColor="text1"/>
          <w:sz w:val="22"/>
          <w:szCs w:val="22"/>
        </w:rPr>
        <w:t xml:space="preserve"> tourism</w:t>
      </w:r>
      <w:r w:rsidRPr="00145008">
        <w:rPr>
          <w:rFonts w:ascii="Arial" w:eastAsia="Arial" w:hAnsi="Arial" w:cs="Arial"/>
          <w:color w:val="000000" w:themeColor="text1"/>
          <w:sz w:val="22"/>
          <w:szCs w:val="22"/>
        </w:rPr>
        <w:t>, 7(2), pp. 47–56. Available at: https://doi.org/10.5937/MENHOTTUR1902047K.</w:t>
      </w:r>
    </w:p>
    <w:p w14:paraId="3D5871DD"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lastRenderedPageBreak/>
        <w:t xml:space="preserve">Kuratko, D.F. and </w:t>
      </w:r>
      <w:proofErr w:type="spellStart"/>
      <w:r w:rsidRPr="00145008">
        <w:rPr>
          <w:rFonts w:ascii="Arial" w:eastAsia="Arial" w:hAnsi="Arial" w:cs="Arial"/>
          <w:color w:val="000000" w:themeColor="text1"/>
          <w:sz w:val="22"/>
          <w:szCs w:val="22"/>
        </w:rPr>
        <w:t>Audretsch</w:t>
      </w:r>
      <w:proofErr w:type="spellEnd"/>
      <w:r w:rsidRPr="00145008">
        <w:rPr>
          <w:rFonts w:ascii="Arial" w:eastAsia="Arial" w:hAnsi="Arial" w:cs="Arial"/>
          <w:color w:val="000000" w:themeColor="text1"/>
          <w:sz w:val="22"/>
          <w:szCs w:val="22"/>
        </w:rPr>
        <w:t xml:space="preserve">, D.B., (2021). The future of entrepreneurship: the few or the </w:t>
      </w:r>
      <w:proofErr w:type="gramStart"/>
      <w:r w:rsidRPr="00145008">
        <w:rPr>
          <w:rFonts w:ascii="Arial" w:eastAsia="Arial" w:hAnsi="Arial" w:cs="Arial"/>
          <w:color w:val="000000" w:themeColor="text1"/>
          <w:sz w:val="22"/>
          <w:szCs w:val="22"/>
        </w:rPr>
        <w:t>many?.</w:t>
      </w:r>
      <w:proofErr w:type="gramEnd"/>
      <w:r w:rsidRPr="00145008">
        <w:rPr>
          <w:rFonts w:ascii="Arial" w:eastAsia="Arial" w:hAnsi="Arial" w:cs="Arial"/>
          <w:color w:val="000000" w:themeColor="text1"/>
          <w:sz w:val="22"/>
          <w:szCs w:val="22"/>
        </w:rPr>
        <w:t> </w:t>
      </w:r>
      <w:r w:rsidRPr="00145008">
        <w:rPr>
          <w:rFonts w:ascii="Arial" w:eastAsia="Arial" w:hAnsi="Arial" w:cs="Arial"/>
          <w:i/>
          <w:color w:val="000000" w:themeColor="text1"/>
          <w:sz w:val="22"/>
          <w:szCs w:val="22"/>
        </w:rPr>
        <w:t>Small Business Economics</w:t>
      </w:r>
      <w:r w:rsidRPr="00145008">
        <w:rPr>
          <w:rFonts w:ascii="Arial" w:eastAsia="Arial" w:hAnsi="Arial" w:cs="Arial"/>
          <w:color w:val="000000" w:themeColor="text1"/>
          <w:sz w:val="22"/>
          <w:szCs w:val="22"/>
        </w:rPr>
        <w:t>, pp.1-10.</w:t>
      </w:r>
    </w:p>
    <w:p w14:paraId="0514FC23"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Mariotti, S. and Glackin, Caroline. (2013) ‘Entrepreneurship: starting and operating a small business’, p. 570.</w:t>
      </w:r>
    </w:p>
    <w:p w14:paraId="11197DD2"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 xml:space="preserve">Ndubisi, N.O. and Nwankwo, S. (2013) ‘Preface’, </w:t>
      </w:r>
      <w:r w:rsidRPr="00145008">
        <w:rPr>
          <w:rFonts w:ascii="Arial" w:eastAsia="Arial" w:hAnsi="Arial" w:cs="Arial"/>
          <w:i/>
          <w:color w:val="000000" w:themeColor="text1"/>
          <w:sz w:val="22"/>
          <w:szCs w:val="22"/>
        </w:rPr>
        <w:t xml:space="preserve">Enterprise Development in </w:t>
      </w:r>
      <w:proofErr w:type="gramStart"/>
      <w:r w:rsidRPr="00145008">
        <w:rPr>
          <w:rFonts w:ascii="Arial" w:eastAsia="Arial" w:hAnsi="Arial" w:cs="Arial"/>
          <w:i/>
          <w:color w:val="000000" w:themeColor="text1"/>
          <w:sz w:val="22"/>
          <w:szCs w:val="22"/>
        </w:rPr>
        <w:t>SMEs</w:t>
      </w:r>
      <w:proofErr w:type="gramEnd"/>
      <w:r w:rsidRPr="00145008">
        <w:rPr>
          <w:rFonts w:ascii="Arial" w:eastAsia="Arial" w:hAnsi="Arial" w:cs="Arial"/>
          <w:i/>
          <w:color w:val="000000" w:themeColor="text1"/>
          <w:sz w:val="22"/>
          <w:szCs w:val="22"/>
        </w:rPr>
        <w:t xml:space="preserve"> and Entrepreneurial Firms: Dynamic Processes</w:t>
      </w:r>
      <w:r w:rsidRPr="00145008">
        <w:rPr>
          <w:rFonts w:ascii="Arial" w:eastAsia="Arial" w:hAnsi="Arial" w:cs="Arial"/>
          <w:color w:val="000000" w:themeColor="text1"/>
          <w:sz w:val="22"/>
          <w:szCs w:val="22"/>
        </w:rPr>
        <w:t>, pp. xv–xvi. Available at: https://doi.org/10.4018/978-1-4666-2952-3.</w:t>
      </w:r>
    </w:p>
    <w:p w14:paraId="19FC901F"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 xml:space="preserve">Pesci, S. and Brinkley, C. (2022) ‘Can a Farm-to-Table restaurant bring about change in the food system? A case study of Chez Panisse’, </w:t>
      </w:r>
      <w:r w:rsidRPr="00145008">
        <w:rPr>
          <w:rFonts w:ascii="Arial" w:eastAsia="Arial" w:hAnsi="Arial" w:cs="Arial"/>
          <w:i/>
          <w:color w:val="000000" w:themeColor="text1"/>
          <w:sz w:val="22"/>
          <w:szCs w:val="22"/>
        </w:rPr>
        <w:t>Food, Culture and Society</w:t>
      </w:r>
      <w:r w:rsidRPr="00145008">
        <w:rPr>
          <w:rFonts w:ascii="Arial" w:eastAsia="Arial" w:hAnsi="Arial" w:cs="Arial"/>
          <w:color w:val="000000" w:themeColor="text1"/>
          <w:sz w:val="22"/>
          <w:szCs w:val="22"/>
        </w:rPr>
        <w:t>, 25(5), pp. 997–1018. Available at: https://doi.org/10.1080/15528014.2021.1948754.</w:t>
      </w:r>
    </w:p>
    <w:p w14:paraId="0931BCE6"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Rickman, C.D. (2013) ‘The small business start-up workbook: a step-by-step guide to starting the business you’ve dreamed of’, p. 270.</w:t>
      </w:r>
    </w:p>
    <w:p w14:paraId="5428698B" w14:textId="77777777" w:rsidR="007B4C38" w:rsidRPr="00145008" w:rsidRDefault="00763391">
      <w:pPr>
        <w:spacing w:before="200" w:after="200" w:line="360" w:lineRule="auto"/>
        <w:rPr>
          <w:rFonts w:ascii="Arial" w:eastAsia="Arial" w:hAnsi="Arial" w:cs="Arial"/>
          <w:color w:val="000000" w:themeColor="text1"/>
          <w:sz w:val="22"/>
          <w:szCs w:val="22"/>
        </w:rPr>
      </w:pPr>
      <w:proofErr w:type="spellStart"/>
      <w:r w:rsidRPr="00145008">
        <w:rPr>
          <w:rFonts w:ascii="Arial" w:eastAsia="Arial" w:hAnsi="Arial" w:cs="Arial"/>
          <w:color w:val="000000" w:themeColor="text1"/>
          <w:sz w:val="22"/>
          <w:szCs w:val="22"/>
        </w:rPr>
        <w:t>Sahut</w:t>
      </w:r>
      <w:proofErr w:type="spellEnd"/>
      <w:r w:rsidRPr="00145008">
        <w:rPr>
          <w:rFonts w:ascii="Arial" w:eastAsia="Arial" w:hAnsi="Arial" w:cs="Arial"/>
          <w:color w:val="000000" w:themeColor="text1"/>
          <w:sz w:val="22"/>
          <w:szCs w:val="22"/>
        </w:rPr>
        <w:t>, J.M. and Peris-Ortiz, M., (2014). Small business, innovation, and entrepreneurship. </w:t>
      </w:r>
      <w:r w:rsidRPr="00145008">
        <w:rPr>
          <w:rFonts w:ascii="Arial" w:eastAsia="Arial" w:hAnsi="Arial" w:cs="Arial"/>
          <w:i/>
          <w:color w:val="000000" w:themeColor="text1"/>
          <w:sz w:val="22"/>
          <w:szCs w:val="22"/>
        </w:rPr>
        <w:t>Small Business Economics</w:t>
      </w:r>
      <w:r w:rsidRPr="00145008">
        <w:rPr>
          <w:rFonts w:ascii="Arial" w:eastAsia="Arial" w:hAnsi="Arial" w:cs="Arial"/>
          <w:color w:val="000000" w:themeColor="text1"/>
          <w:sz w:val="22"/>
          <w:szCs w:val="22"/>
        </w:rPr>
        <w:t>, </w:t>
      </w:r>
      <w:r w:rsidRPr="00145008">
        <w:rPr>
          <w:rFonts w:ascii="Arial" w:eastAsia="Arial" w:hAnsi="Arial" w:cs="Arial"/>
          <w:i/>
          <w:color w:val="000000" w:themeColor="text1"/>
          <w:sz w:val="22"/>
          <w:szCs w:val="22"/>
        </w:rPr>
        <w:t>42</w:t>
      </w:r>
      <w:r w:rsidRPr="00145008">
        <w:rPr>
          <w:rFonts w:ascii="Arial" w:eastAsia="Arial" w:hAnsi="Arial" w:cs="Arial"/>
          <w:color w:val="000000" w:themeColor="text1"/>
          <w:sz w:val="22"/>
          <w:szCs w:val="22"/>
        </w:rPr>
        <w:t>, pp.663-668.</w:t>
      </w:r>
    </w:p>
    <w:p w14:paraId="2D65D6DC"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 xml:space="preserve">Timmons, </w:t>
      </w:r>
      <w:proofErr w:type="gramStart"/>
      <w:r w:rsidRPr="00145008">
        <w:rPr>
          <w:rFonts w:ascii="Arial" w:eastAsia="Arial" w:hAnsi="Arial" w:cs="Arial"/>
          <w:color w:val="000000" w:themeColor="text1"/>
          <w:sz w:val="22"/>
          <w:szCs w:val="22"/>
        </w:rPr>
        <w:t>Spinelli</w:t>
      </w:r>
      <w:proofErr w:type="gramEnd"/>
      <w:r w:rsidRPr="00145008">
        <w:rPr>
          <w:rFonts w:ascii="Arial" w:eastAsia="Arial" w:hAnsi="Arial" w:cs="Arial"/>
          <w:color w:val="000000" w:themeColor="text1"/>
          <w:sz w:val="22"/>
          <w:szCs w:val="22"/>
        </w:rPr>
        <w:t xml:space="preserve"> and Ensign (2014) </w:t>
      </w:r>
      <w:r w:rsidRPr="00145008">
        <w:rPr>
          <w:rFonts w:ascii="Arial" w:eastAsia="Arial" w:hAnsi="Arial" w:cs="Arial"/>
          <w:i/>
          <w:color w:val="000000" w:themeColor="text1"/>
          <w:sz w:val="22"/>
          <w:szCs w:val="22"/>
        </w:rPr>
        <w:t>(1) (PDF) New Venture Creation</w:t>
      </w:r>
      <w:r w:rsidRPr="00145008">
        <w:rPr>
          <w:rFonts w:ascii="Arial" w:eastAsia="Arial" w:hAnsi="Arial" w:cs="Arial"/>
          <w:color w:val="000000" w:themeColor="text1"/>
          <w:sz w:val="22"/>
          <w:szCs w:val="22"/>
        </w:rPr>
        <w:t>. Available at: https://www.researchgate.net/publication/272682121_New_Venture_Creation (Accessed: 27 January 2024).</w:t>
      </w:r>
    </w:p>
    <w:p w14:paraId="36F075D6"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Williams, R.G. (2018) ‘New from Palgrave Macmillan’, 38(3).</w:t>
      </w:r>
    </w:p>
    <w:p w14:paraId="41E56A42" w14:textId="77777777" w:rsidR="007B4C38" w:rsidRPr="00145008" w:rsidRDefault="00763391">
      <w:pPr>
        <w:spacing w:before="200" w:after="200" w:line="360" w:lineRule="auto"/>
        <w:rPr>
          <w:rFonts w:ascii="Arial" w:eastAsia="Arial" w:hAnsi="Arial" w:cs="Arial"/>
          <w:color w:val="000000" w:themeColor="text1"/>
          <w:sz w:val="22"/>
          <w:szCs w:val="22"/>
        </w:rPr>
      </w:pPr>
      <w:r w:rsidRPr="00145008">
        <w:rPr>
          <w:rFonts w:ascii="Arial" w:eastAsia="Arial" w:hAnsi="Arial" w:cs="Arial"/>
          <w:color w:val="000000" w:themeColor="text1"/>
          <w:sz w:val="22"/>
          <w:szCs w:val="22"/>
        </w:rPr>
        <w:t>Williams, S. (2021) ‘FT guide to business startup 2021-2023’.</w:t>
      </w:r>
    </w:p>
    <w:p w14:paraId="192A45D0" w14:textId="77777777" w:rsidR="007B4C38" w:rsidRDefault="00763391">
      <w:pPr>
        <w:spacing w:before="200" w:after="200" w:line="360" w:lineRule="auto"/>
        <w:rPr>
          <w:rFonts w:ascii="Arial" w:eastAsia="Arial" w:hAnsi="Arial" w:cs="Arial"/>
          <w:sz w:val="22"/>
          <w:szCs w:val="22"/>
        </w:rPr>
      </w:pPr>
      <w:r>
        <w:br w:type="page"/>
      </w:r>
    </w:p>
    <w:p w14:paraId="05C4FC41" w14:textId="77777777" w:rsidR="007B4C38" w:rsidRDefault="00763391">
      <w:pPr>
        <w:pStyle w:val="Heading1"/>
        <w:spacing w:before="200" w:after="200" w:line="360" w:lineRule="auto"/>
        <w:rPr>
          <w:rFonts w:ascii="Arial" w:eastAsia="Arial" w:hAnsi="Arial" w:cs="Arial"/>
          <w:sz w:val="24"/>
          <w:szCs w:val="24"/>
        </w:rPr>
      </w:pPr>
      <w:bookmarkStart w:id="10" w:name="_sdrdh3qvjmr0" w:colFirst="0" w:colLast="0"/>
      <w:bookmarkEnd w:id="10"/>
      <w:r>
        <w:rPr>
          <w:rFonts w:ascii="Arial" w:eastAsia="Arial" w:hAnsi="Arial" w:cs="Arial"/>
          <w:sz w:val="24"/>
          <w:szCs w:val="24"/>
        </w:rPr>
        <w:lastRenderedPageBreak/>
        <w:t>Appendix</w:t>
      </w:r>
    </w:p>
    <w:p w14:paraId="710E0C39" w14:textId="77777777" w:rsidR="007B4C38" w:rsidRDefault="00763391">
      <w:pPr>
        <w:spacing w:before="200" w:after="200" w:line="360" w:lineRule="auto"/>
        <w:jc w:val="center"/>
        <w:rPr>
          <w:rFonts w:ascii="Arial" w:eastAsia="Arial" w:hAnsi="Arial" w:cs="Arial"/>
          <w:sz w:val="22"/>
          <w:szCs w:val="22"/>
        </w:rPr>
      </w:pPr>
      <w:r>
        <w:rPr>
          <w:rFonts w:ascii="Arial" w:eastAsia="Arial" w:hAnsi="Arial" w:cs="Arial"/>
          <w:noProof/>
          <w:sz w:val="22"/>
          <w:szCs w:val="22"/>
          <w:lang w:val="en-IN"/>
        </w:rPr>
        <w:drawing>
          <wp:inline distT="114300" distB="114300" distL="114300" distR="114300" wp14:anchorId="1EDE2004" wp14:editId="4A7EF266">
            <wp:extent cx="2296950" cy="3903737"/>
            <wp:effectExtent l="0" t="0" r="0" b="0"/>
            <wp:docPr id="3"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4"/>
                    <a:srcRect t="9347" b="14428"/>
                    <a:stretch>
                      <a:fillRect/>
                    </a:stretch>
                  </pic:blipFill>
                  <pic:spPr>
                    <a:xfrm>
                      <a:off x="0" y="0"/>
                      <a:ext cx="2296950" cy="3903737"/>
                    </a:xfrm>
                    <a:prstGeom prst="rect">
                      <a:avLst/>
                    </a:prstGeom>
                    <a:ln/>
                  </pic:spPr>
                </pic:pic>
              </a:graphicData>
            </a:graphic>
          </wp:inline>
        </w:drawing>
      </w:r>
    </w:p>
    <w:p w14:paraId="42F7D2E7" w14:textId="77777777" w:rsidR="007B4C38" w:rsidRDefault="00763391">
      <w:pPr>
        <w:spacing w:before="200" w:after="200" w:line="360" w:lineRule="auto"/>
        <w:jc w:val="center"/>
        <w:rPr>
          <w:rFonts w:ascii="Arial" w:eastAsia="Arial" w:hAnsi="Arial" w:cs="Arial"/>
          <w:sz w:val="22"/>
          <w:szCs w:val="22"/>
        </w:rPr>
      </w:pPr>
      <w:r>
        <w:rPr>
          <w:rFonts w:ascii="Arial" w:eastAsia="Arial" w:hAnsi="Arial" w:cs="Arial"/>
          <w:noProof/>
          <w:sz w:val="22"/>
          <w:szCs w:val="22"/>
          <w:lang w:val="en-IN"/>
        </w:rPr>
        <w:drawing>
          <wp:inline distT="114300" distB="114300" distL="114300" distR="114300" wp14:anchorId="03260EB2" wp14:editId="660E7BC2">
            <wp:extent cx="2249325" cy="3115262"/>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5"/>
                    <a:srcRect t="15198" b="22684"/>
                    <a:stretch>
                      <a:fillRect/>
                    </a:stretch>
                  </pic:blipFill>
                  <pic:spPr>
                    <a:xfrm>
                      <a:off x="0" y="0"/>
                      <a:ext cx="2249325" cy="3115262"/>
                    </a:xfrm>
                    <a:prstGeom prst="rect">
                      <a:avLst/>
                    </a:prstGeom>
                    <a:ln/>
                  </pic:spPr>
                </pic:pic>
              </a:graphicData>
            </a:graphic>
          </wp:inline>
        </w:drawing>
      </w:r>
    </w:p>
    <w:sectPr w:rsidR="007B4C3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3AB7DF" w14:textId="77777777" w:rsidR="00101DA1" w:rsidRDefault="00101DA1" w:rsidP="002D2009">
      <w:pPr>
        <w:spacing w:after="0" w:line="240" w:lineRule="auto"/>
      </w:pPr>
      <w:r>
        <w:separator/>
      </w:r>
    </w:p>
  </w:endnote>
  <w:endnote w:type="continuationSeparator" w:id="0">
    <w:p w14:paraId="6110BE89" w14:textId="77777777" w:rsidR="00101DA1" w:rsidRDefault="00101DA1" w:rsidP="002D20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622305" w14:textId="77777777" w:rsidR="002D2009" w:rsidRDefault="002D20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91F2A9" w14:textId="77777777" w:rsidR="002D2009" w:rsidRDefault="002D200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F3588C" w14:textId="77777777" w:rsidR="002D2009" w:rsidRDefault="002D20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F33EC0" w14:textId="77777777" w:rsidR="00101DA1" w:rsidRDefault="00101DA1" w:rsidP="002D2009">
      <w:pPr>
        <w:spacing w:after="0" w:line="240" w:lineRule="auto"/>
      </w:pPr>
      <w:r>
        <w:separator/>
      </w:r>
    </w:p>
  </w:footnote>
  <w:footnote w:type="continuationSeparator" w:id="0">
    <w:p w14:paraId="79BA1FB3" w14:textId="77777777" w:rsidR="00101DA1" w:rsidRDefault="00101DA1" w:rsidP="002D20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1A7B73" w14:textId="77777777" w:rsidR="002D2009" w:rsidRDefault="002D20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431BAF" w14:textId="77777777" w:rsidR="002D2009" w:rsidRDefault="002D20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48F683" w14:textId="77777777" w:rsidR="002D2009" w:rsidRDefault="002D20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4C38"/>
    <w:rsid w:val="00101DA1"/>
    <w:rsid w:val="00104461"/>
    <w:rsid w:val="00145008"/>
    <w:rsid w:val="002D2009"/>
    <w:rsid w:val="00332444"/>
    <w:rsid w:val="003F2DBA"/>
    <w:rsid w:val="00477602"/>
    <w:rsid w:val="005224AD"/>
    <w:rsid w:val="00763391"/>
    <w:rsid w:val="007B4C38"/>
    <w:rsid w:val="0089577C"/>
    <w:rsid w:val="008D501A"/>
    <w:rsid w:val="009E04B8"/>
    <w:rsid w:val="00AB1140"/>
    <w:rsid w:val="00F26325"/>
    <w:rsid w:val="00F622A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BA7300A"/>
  <w15:docId w15:val="{E9DECB76-7EEF-409F-8302-B365DAC65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0"/>
      <w:outlineLvl w:val="0"/>
    </w:pPr>
    <w:rPr>
      <w:b/>
      <w:color w:val="2F5496"/>
      <w:sz w:val="32"/>
      <w:szCs w:val="32"/>
    </w:rPr>
  </w:style>
  <w:style w:type="paragraph" w:styleId="Heading2">
    <w:name w:val="heading 2"/>
    <w:basedOn w:val="Normal"/>
    <w:next w:val="Normal"/>
    <w:pPr>
      <w:keepNext/>
      <w:keepLines/>
      <w:spacing w:before="40" w:after="0"/>
      <w:outlineLvl w:val="1"/>
    </w:pPr>
    <w:rPr>
      <w:b/>
      <w:color w:val="2F5496"/>
      <w:sz w:val="28"/>
      <w:szCs w:val="28"/>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CellMar>
        <w:right w:w="113" w:type="dxa"/>
      </w:tblCellMar>
    </w:tblPr>
  </w:style>
  <w:style w:type="paragraph" w:styleId="Header">
    <w:name w:val="header"/>
    <w:basedOn w:val="Normal"/>
    <w:link w:val="HeaderChar"/>
    <w:uiPriority w:val="99"/>
    <w:unhideWhenUsed/>
    <w:rsid w:val="002D20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009"/>
  </w:style>
  <w:style w:type="paragraph" w:styleId="Footer">
    <w:name w:val="footer"/>
    <w:basedOn w:val="Normal"/>
    <w:link w:val="FooterChar"/>
    <w:uiPriority w:val="99"/>
    <w:unhideWhenUsed/>
    <w:rsid w:val="002D20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0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5" Type="http://schemas.openxmlformats.org/officeDocument/2006/relationships/image" Target="media/image4.jpg"/><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TotalTime>
  <Pages>11</Pages>
  <Words>2276</Words>
  <Characters>13961</Characters>
  <Application>Microsoft Office Word</Application>
  <DocSecurity>0</DocSecurity>
  <Lines>228</Lines>
  <Paragraphs>54</Paragraphs>
  <ScaleCrop>false</ScaleCrop>
  <Company/>
  <LinksUpToDate>false</LinksUpToDate>
  <CharactersWithSpaces>16186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Popa</cp:lastModifiedBy>
  <cp:revision>6</cp:revision>
  <dcterms:created xsi:type="dcterms:W3CDTF">2024-05-01T11:20:00Z</dcterms:created>
  <dcterms:modified xsi:type="dcterms:W3CDTF">2024-05-30T14:16:00Z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c8c5df53086cd9b6f53c610594be2413906a0d45ad359974e94cb530f8a15a6a</vt:lpwstr>
  </property>
</Properties>
</file>