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A91AF" w14:textId="77777777" w:rsidR="0019601C" w:rsidRDefault="0019601C" w:rsidP="0019601C">
      <w:pPr>
        <w:spacing w:line="360" w:lineRule="auto"/>
      </w:pPr>
      <w:r>
        <w:rPr>
          <w:noProof/>
        </w:rPr>
        <w:drawing>
          <wp:inline distT="0" distB="0" distL="0" distR="0" wp14:anchorId="7A741C97" wp14:editId="5379CB7C">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D6395EE" w14:textId="77777777" w:rsidR="0019601C" w:rsidRDefault="0019601C" w:rsidP="0019601C">
      <w:pPr>
        <w:spacing w:line="360" w:lineRule="auto"/>
        <w:rPr>
          <w:rStyle w:val="Strong"/>
          <w:rFonts w:ascii="Segoe UI" w:hAnsi="Segoe UI" w:cs="Segoe UI"/>
          <w:color w:val="1D2125"/>
        </w:rPr>
      </w:pPr>
    </w:p>
    <w:p w14:paraId="107B9D83" w14:textId="77777777" w:rsidR="0019601C" w:rsidRDefault="0019601C" w:rsidP="0019601C">
      <w:pPr>
        <w:spacing w:line="360" w:lineRule="auto"/>
        <w:rPr>
          <w:rStyle w:val="Strong"/>
          <w:rFonts w:ascii="Arial" w:hAnsi="Arial" w:cs="Arial"/>
          <w:color w:val="1D2125"/>
          <w:sz w:val="36"/>
          <w:szCs w:val="36"/>
        </w:rPr>
      </w:pPr>
    </w:p>
    <w:p w14:paraId="71565A17" w14:textId="77777777" w:rsidR="0019601C" w:rsidRDefault="0019601C" w:rsidP="0019601C">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18CB2AB4" w14:textId="77777777" w:rsidR="0019601C" w:rsidRDefault="0019601C" w:rsidP="0019601C">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45320917" w14:textId="77777777" w:rsidR="0019601C" w:rsidRDefault="0019601C" w:rsidP="0019601C">
      <w:pPr>
        <w:spacing w:line="360" w:lineRule="auto"/>
        <w:jc w:val="center"/>
        <w:rPr>
          <w:rStyle w:val="Strong"/>
          <w:rFonts w:ascii="Arial" w:hAnsi="Arial" w:cs="Arial"/>
          <w:color w:val="1D2125"/>
          <w:sz w:val="36"/>
          <w:szCs w:val="36"/>
        </w:rPr>
      </w:pPr>
    </w:p>
    <w:p w14:paraId="2B939F0F" w14:textId="77777777" w:rsidR="0019601C" w:rsidRDefault="0019601C" w:rsidP="0019601C">
      <w:pPr>
        <w:spacing w:line="360" w:lineRule="auto"/>
        <w:jc w:val="center"/>
        <w:rPr>
          <w:rStyle w:val="Strong"/>
          <w:rFonts w:ascii="Arial" w:hAnsi="Arial" w:cs="Arial"/>
          <w:color w:val="1D2125"/>
          <w:sz w:val="36"/>
          <w:szCs w:val="36"/>
        </w:rPr>
      </w:pPr>
    </w:p>
    <w:p w14:paraId="5949C4E9" w14:textId="77777777" w:rsidR="0019601C" w:rsidRDefault="0019601C" w:rsidP="0019601C">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7E13FCE7" w14:textId="77777777" w:rsidR="0019601C" w:rsidRDefault="0019601C" w:rsidP="0019601C">
      <w:pPr>
        <w:spacing w:line="360" w:lineRule="auto"/>
        <w:rPr>
          <w:rStyle w:val="Strong"/>
          <w:rFonts w:ascii="Arial" w:hAnsi="Arial" w:cs="Arial"/>
          <w:color w:val="1D2125"/>
          <w:sz w:val="32"/>
          <w:szCs w:val="32"/>
        </w:rPr>
      </w:pPr>
    </w:p>
    <w:p w14:paraId="5FDA1716" w14:textId="29E40392" w:rsidR="0019601C" w:rsidRPr="00492F65" w:rsidRDefault="0019601C" w:rsidP="0019601C">
      <w:pPr>
        <w:spacing w:line="360" w:lineRule="auto"/>
        <w:rPr>
          <w:rStyle w:val="Strong"/>
          <w:rFonts w:ascii="Arial" w:hAnsi="Arial" w:cs="Arial"/>
          <w:color w:val="1D2125"/>
          <w:sz w:val="32"/>
          <w:szCs w:val="32"/>
        </w:rPr>
      </w:pPr>
      <w:r w:rsidRPr="00492F65">
        <w:rPr>
          <w:rStyle w:val="Strong"/>
          <w:rFonts w:ascii="Arial" w:hAnsi="Arial" w:cs="Arial"/>
          <w:color w:val="1D2125"/>
          <w:sz w:val="32"/>
          <w:szCs w:val="32"/>
        </w:rPr>
        <w:t>Student name:</w:t>
      </w:r>
      <w:r w:rsidR="00CA192B" w:rsidRPr="00492F65">
        <w:rPr>
          <w:rStyle w:val="Strong"/>
          <w:rFonts w:ascii="Arial" w:hAnsi="Arial" w:cs="Arial"/>
          <w:color w:val="1D2125"/>
          <w:sz w:val="32"/>
          <w:szCs w:val="32"/>
        </w:rPr>
        <w:t xml:space="preserve"> Gloria</w:t>
      </w:r>
      <w:r w:rsidR="000037B5" w:rsidRPr="00492F65">
        <w:rPr>
          <w:rStyle w:val="Strong"/>
          <w:rFonts w:ascii="Arial" w:hAnsi="Arial" w:cs="Arial"/>
          <w:color w:val="1D2125"/>
          <w:sz w:val="32"/>
          <w:szCs w:val="32"/>
        </w:rPr>
        <w:t xml:space="preserve"> </w:t>
      </w:r>
      <w:r w:rsidR="008D0BDF" w:rsidRPr="00492F65">
        <w:rPr>
          <w:rStyle w:val="Strong"/>
          <w:rFonts w:ascii="Arial" w:hAnsi="Arial" w:cs="Arial"/>
          <w:color w:val="1D2125"/>
          <w:sz w:val="32"/>
          <w:szCs w:val="32"/>
        </w:rPr>
        <w:t>Abimbola</w:t>
      </w:r>
      <w:r w:rsidR="00CA192B" w:rsidRPr="00492F65">
        <w:rPr>
          <w:rStyle w:val="Strong"/>
          <w:rFonts w:ascii="Arial" w:hAnsi="Arial" w:cs="Arial"/>
          <w:color w:val="1D2125"/>
          <w:sz w:val="32"/>
          <w:szCs w:val="32"/>
        </w:rPr>
        <w:t xml:space="preserve"> Oke</w:t>
      </w:r>
    </w:p>
    <w:p w14:paraId="4CB499DB" w14:textId="0A652277" w:rsidR="0019601C" w:rsidRPr="00492F65" w:rsidRDefault="0019601C" w:rsidP="0019601C">
      <w:pPr>
        <w:spacing w:line="360" w:lineRule="auto"/>
        <w:rPr>
          <w:rStyle w:val="Strong"/>
          <w:rFonts w:ascii="Arial" w:hAnsi="Arial" w:cs="Arial"/>
          <w:color w:val="1D2125"/>
          <w:sz w:val="32"/>
          <w:szCs w:val="32"/>
        </w:rPr>
      </w:pPr>
      <w:r w:rsidRPr="00492F65">
        <w:rPr>
          <w:rStyle w:val="Strong"/>
          <w:rFonts w:ascii="Arial" w:hAnsi="Arial" w:cs="Arial"/>
          <w:color w:val="1D2125"/>
          <w:sz w:val="32"/>
          <w:szCs w:val="32"/>
        </w:rPr>
        <w:t>Student number:</w:t>
      </w:r>
      <w:r w:rsidR="00492F65">
        <w:rPr>
          <w:rStyle w:val="Strong"/>
          <w:rFonts w:ascii="Arial" w:hAnsi="Arial" w:cs="Arial"/>
          <w:color w:val="1D2125"/>
          <w:sz w:val="32"/>
          <w:szCs w:val="32"/>
        </w:rPr>
        <w:t xml:space="preserve"> </w:t>
      </w:r>
      <w:r w:rsidR="00ED2597">
        <w:rPr>
          <w:rStyle w:val="Strong"/>
          <w:rFonts w:ascii="Arial" w:hAnsi="Arial" w:cs="Arial"/>
          <w:color w:val="1D2125"/>
          <w:sz w:val="32"/>
          <w:szCs w:val="32"/>
        </w:rPr>
        <w:t>2417815</w:t>
      </w:r>
    </w:p>
    <w:p w14:paraId="477F51DB" w14:textId="0A4CD7D9" w:rsidR="0019601C" w:rsidRDefault="0019601C" w:rsidP="0019601C">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492F65">
        <w:rPr>
          <w:rStyle w:val="Strong"/>
          <w:rFonts w:ascii="Arial" w:hAnsi="Arial" w:cs="Arial"/>
          <w:color w:val="1D2125"/>
          <w:sz w:val="32"/>
          <w:szCs w:val="32"/>
        </w:rPr>
        <w:t xml:space="preserve"> </w:t>
      </w:r>
      <w:r w:rsidR="003E74FB">
        <w:rPr>
          <w:rStyle w:val="Strong"/>
          <w:rFonts w:ascii="Arial" w:hAnsi="Arial" w:cs="Arial"/>
          <w:color w:val="1D2125"/>
          <w:sz w:val="32"/>
          <w:szCs w:val="32"/>
        </w:rPr>
        <w:t>Dr Soban Sadiq</w:t>
      </w:r>
    </w:p>
    <w:p w14:paraId="3DFA6D30" w14:textId="6A084844" w:rsidR="0019601C" w:rsidRDefault="0019601C">
      <w:r>
        <w:br w:type="page"/>
      </w:r>
    </w:p>
    <w:sdt>
      <w:sdtPr>
        <w:rPr>
          <w:rFonts w:ascii="Aptos" w:eastAsia="Aptos" w:hAnsi="Aptos" w:cs="Times New Roman"/>
          <w:b w:val="0"/>
          <w:color w:val="auto"/>
          <w:kern w:val="2"/>
          <w:sz w:val="24"/>
          <w:szCs w:val="24"/>
          <w:lang w:val="en-GB"/>
        </w:rPr>
        <w:id w:val="905579624"/>
        <w:docPartObj>
          <w:docPartGallery w:val="Table of Contents"/>
          <w:docPartUnique/>
        </w:docPartObj>
      </w:sdtPr>
      <w:sdtEndPr>
        <w:rPr>
          <w:bCs/>
          <w:noProof/>
        </w:rPr>
      </w:sdtEndPr>
      <w:sdtContent>
        <w:p w14:paraId="76930E69" w14:textId="7CD3CEAA" w:rsidR="0019601C" w:rsidRPr="00E638FD" w:rsidRDefault="0019601C" w:rsidP="00E638FD">
          <w:pPr>
            <w:pStyle w:val="TOCHeading"/>
            <w:jc w:val="center"/>
            <w:rPr>
              <w:rFonts w:ascii="Aptos" w:eastAsia="Aptos" w:hAnsi="Aptos" w:cs="Times New Roman"/>
              <w:b w:val="0"/>
              <w:color w:val="auto"/>
              <w:kern w:val="2"/>
              <w:sz w:val="24"/>
              <w:szCs w:val="24"/>
              <w:lang w:val="en-GB"/>
            </w:rPr>
          </w:pPr>
          <w:r>
            <w:t>Table of Contents</w:t>
          </w:r>
        </w:p>
        <w:p w14:paraId="5F122A12" w14:textId="4F78425D" w:rsidR="003B1431" w:rsidRDefault="0019601C">
          <w:pPr>
            <w:pStyle w:val="TOC1"/>
            <w:tabs>
              <w:tab w:val="right" w:leader="dot" w:pos="9016"/>
            </w:tabs>
            <w:rPr>
              <w:rFonts w:asciiTheme="minorHAnsi" w:eastAsiaTheme="minorEastAsia" w:hAnsiTheme="minorHAnsi" w:cstheme="minorBidi"/>
              <w:noProof/>
              <w:lang w:eastAsia="en-GB"/>
              <w14:ligatures w14:val="standardContextual"/>
            </w:rPr>
          </w:pPr>
          <w:r>
            <w:fldChar w:fldCharType="begin"/>
          </w:r>
          <w:r>
            <w:instrText xml:space="preserve"> TOC \o "1-3" \h \z \u </w:instrText>
          </w:r>
          <w:r>
            <w:fldChar w:fldCharType="separate"/>
          </w:r>
          <w:hyperlink w:anchor="_Toc234179976" w:history="1">
            <w:r w:rsidR="003B1431" w:rsidRPr="005A0816">
              <w:rPr>
                <w:rStyle w:val="Hyperlink"/>
                <w:b/>
                <w:bCs/>
                <w:noProof/>
              </w:rPr>
              <w:t>Task 1- Defining Key Concepts in Practice (350 words)</w:t>
            </w:r>
            <w:r w:rsidR="003B1431">
              <w:rPr>
                <w:noProof/>
                <w:webHidden/>
              </w:rPr>
              <w:tab/>
            </w:r>
            <w:r w:rsidR="003B1431">
              <w:rPr>
                <w:noProof/>
                <w:webHidden/>
              </w:rPr>
              <w:fldChar w:fldCharType="begin"/>
            </w:r>
            <w:r w:rsidR="003B1431">
              <w:rPr>
                <w:noProof/>
                <w:webHidden/>
              </w:rPr>
              <w:instrText xml:space="preserve"> PAGEREF _Toc234179976 \h </w:instrText>
            </w:r>
            <w:r w:rsidR="003B1431">
              <w:rPr>
                <w:noProof/>
                <w:webHidden/>
              </w:rPr>
            </w:r>
            <w:r w:rsidR="003B1431">
              <w:rPr>
                <w:noProof/>
                <w:webHidden/>
              </w:rPr>
              <w:fldChar w:fldCharType="separate"/>
            </w:r>
            <w:r w:rsidR="003B1431">
              <w:rPr>
                <w:noProof/>
                <w:webHidden/>
              </w:rPr>
              <w:t>3</w:t>
            </w:r>
            <w:r w:rsidR="003B1431">
              <w:rPr>
                <w:noProof/>
                <w:webHidden/>
              </w:rPr>
              <w:fldChar w:fldCharType="end"/>
            </w:r>
          </w:hyperlink>
        </w:p>
        <w:p w14:paraId="56E4D904" w14:textId="5B9C0E9F" w:rsidR="003B1431" w:rsidRDefault="003B1431">
          <w:pPr>
            <w:pStyle w:val="TOC1"/>
            <w:tabs>
              <w:tab w:val="right" w:leader="dot" w:pos="9016"/>
            </w:tabs>
            <w:rPr>
              <w:rFonts w:asciiTheme="minorHAnsi" w:eastAsiaTheme="minorEastAsia" w:hAnsiTheme="minorHAnsi" w:cstheme="minorBidi"/>
              <w:noProof/>
              <w:lang w:eastAsia="en-GB"/>
              <w14:ligatures w14:val="standardContextual"/>
            </w:rPr>
          </w:pPr>
          <w:hyperlink w:anchor="_Toc234179977" w:history="1">
            <w:r w:rsidRPr="005A0816">
              <w:rPr>
                <w:rStyle w:val="Hyperlink"/>
                <w:b/>
                <w:bCs/>
                <w:noProof/>
                <w:lang w:val="en-US" w:eastAsia="en-GB"/>
              </w:rPr>
              <w:t>Task 2 - Mind Map (130 words)</w:t>
            </w:r>
            <w:r>
              <w:rPr>
                <w:noProof/>
                <w:webHidden/>
              </w:rPr>
              <w:tab/>
            </w:r>
            <w:r>
              <w:rPr>
                <w:noProof/>
                <w:webHidden/>
              </w:rPr>
              <w:fldChar w:fldCharType="begin"/>
            </w:r>
            <w:r>
              <w:rPr>
                <w:noProof/>
                <w:webHidden/>
              </w:rPr>
              <w:instrText xml:space="preserve"> PAGEREF _Toc234179977 \h </w:instrText>
            </w:r>
            <w:r>
              <w:rPr>
                <w:noProof/>
                <w:webHidden/>
              </w:rPr>
            </w:r>
            <w:r>
              <w:rPr>
                <w:noProof/>
                <w:webHidden/>
              </w:rPr>
              <w:fldChar w:fldCharType="separate"/>
            </w:r>
            <w:r>
              <w:rPr>
                <w:noProof/>
                <w:webHidden/>
              </w:rPr>
              <w:t>4</w:t>
            </w:r>
            <w:r>
              <w:rPr>
                <w:noProof/>
                <w:webHidden/>
              </w:rPr>
              <w:fldChar w:fldCharType="end"/>
            </w:r>
          </w:hyperlink>
        </w:p>
        <w:p w14:paraId="24665E8C" w14:textId="0054ED5C" w:rsidR="003B1431" w:rsidRDefault="003B1431">
          <w:pPr>
            <w:pStyle w:val="TOC1"/>
            <w:tabs>
              <w:tab w:val="right" w:leader="dot" w:pos="9016"/>
            </w:tabs>
            <w:rPr>
              <w:rFonts w:asciiTheme="minorHAnsi" w:eastAsiaTheme="minorEastAsia" w:hAnsiTheme="minorHAnsi" w:cstheme="minorBidi"/>
              <w:noProof/>
              <w:lang w:eastAsia="en-GB"/>
              <w14:ligatures w14:val="standardContextual"/>
            </w:rPr>
          </w:pPr>
          <w:hyperlink w:anchor="_Toc234179978" w:history="1">
            <w:r w:rsidRPr="005A0816">
              <w:rPr>
                <w:rStyle w:val="Hyperlink"/>
                <w:b/>
                <w:bCs/>
                <w:noProof/>
              </w:rPr>
              <w:t>Task 3 - Self-Reflection of Group Activity (200 words)</w:t>
            </w:r>
            <w:r>
              <w:rPr>
                <w:noProof/>
                <w:webHidden/>
              </w:rPr>
              <w:tab/>
            </w:r>
            <w:r>
              <w:rPr>
                <w:noProof/>
                <w:webHidden/>
              </w:rPr>
              <w:fldChar w:fldCharType="begin"/>
            </w:r>
            <w:r>
              <w:rPr>
                <w:noProof/>
                <w:webHidden/>
              </w:rPr>
              <w:instrText xml:space="preserve"> PAGEREF _Toc234179978 \h </w:instrText>
            </w:r>
            <w:r>
              <w:rPr>
                <w:noProof/>
                <w:webHidden/>
              </w:rPr>
            </w:r>
            <w:r>
              <w:rPr>
                <w:noProof/>
                <w:webHidden/>
              </w:rPr>
              <w:fldChar w:fldCharType="separate"/>
            </w:r>
            <w:r>
              <w:rPr>
                <w:noProof/>
                <w:webHidden/>
              </w:rPr>
              <w:t>5</w:t>
            </w:r>
            <w:r>
              <w:rPr>
                <w:noProof/>
                <w:webHidden/>
              </w:rPr>
              <w:fldChar w:fldCharType="end"/>
            </w:r>
          </w:hyperlink>
        </w:p>
        <w:p w14:paraId="0645F083" w14:textId="2CA9558A" w:rsidR="003B1431" w:rsidRDefault="003B1431">
          <w:pPr>
            <w:pStyle w:val="TOC1"/>
            <w:tabs>
              <w:tab w:val="right" w:leader="dot" w:pos="9016"/>
            </w:tabs>
            <w:rPr>
              <w:rFonts w:asciiTheme="minorHAnsi" w:eastAsiaTheme="minorEastAsia" w:hAnsiTheme="minorHAnsi" w:cstheme="minorBidi"/>
              <w:noProof/>
              <w:lang w:eastAsia="en-GB"/>
              <w14:ligatures w14:val="standardContextual"/>
            </w:rPr>
          </w:pPr>
          <w:hyperlink w:anchor="_Toc234179979" w:history="1">
            <w:r w:rsidRPr="005A0816">
              <w:rPr>
                <w:rStyle w:val="Hyperlink"/>
                <w:b/>
                <w:bCs/>
                <w:noProof/>
              </w:rPr>
              <w:t>Task 4 – Case Study Analysis of a UK Innovation (200 words)</w:t>
            </w:r>
            <w:r>
              <w:rPr>
                <w:noProof/>
                <w:webHidden/>
              </w:rPr>
              <w:tab/>
            </w:r>
            <w:r>
              <w:rPr>
                <w:noProof/>
                <w:webHidden/>
              </w:rPr>
              <w:fldChar w:fldCharType="begin"/>
            </w:r>
            <w:r>
              <w:rPr>
                <w:noProof/>
                <w:webHidden/>
              </w:rPr>
              <w:instrText xml:space="preserve"> PAGEREF _Toc234179979 \h </w:instrText>
            </w:r>
            <w:r>
              <w:rPr>
                <w:noProof/>
                <w:webHidden/>
              </w:rPr>
            </w:r>
            <w:r>
              <w:rPr>
                <w:noProof/>
                <w:webHidden/>
              </w:rPr>
              <w:fldChar w:fldCharType="separate"/>
            </w:r>
            <w:r>
              <w:rPr>
                <w:noProof/>
                <w:webHidden/>
              </w:rPr>
              <w:t>5</w:t>
            </w:r>
            <w:r>
              <w:rPr>
                <w:noProof/>
                <w:webHidden/>
              </w:rPr>
              <w:fldChar w:fldCharType="end"/>
            </w:r>
          </w:hyperlink>
        </w:p>
        <w:p w14:paraId="4428884A" w14:textId="6B61E0B4" w:rsidR="003B1431" w:rsidRDefault="003B1431">
          <w:pPr>
            <w:pStyle w:val="TOC1"/>
            <w:tabs>
              <w:tab w:val="right" w:leader="dot" w:pos="9016"/>
            </w:tabs>
            <w:rPr>
              <w:rFonts w:asciiTheme="minorHAnsi" w:eastAsiaTheme="minorEastAsia" w:hAnsiTheme="minorHAnsi" w:cstheme="minorBidi"/>
              <w:noProof/>
              <w:lang w:eastAsia="en-GB"/>
              <w14:ligatures w14:val="standardContextual"/>
            </w:rPr>
          </w:pPr>
          <w:hyperlink w:anchor="_Toc234179980" w:history="1">
            <w:r w:rsidRPr="005A0816">
              <w:rPr>
                <w:rStyle w:val="Hyperlink"/>
                <w:b/>
                <w:bCs/>
                <w:noProof/>
              </w:rPr>
              <w:t>Task 5 - Research Task (200 words).</w:t>
            </w:r>
            <w:r>
              <w:rPr>
                <w:noProof/>
                <w:webHidden/>
              </w:rPr>
              <w:tab/>
            </w:r>
            <w:r>
              <w:rPr>
                <w:noProof/>
                <w:webHidden/>
              </w:rPr>
              <w:fldChar w:fldCharType="begin"/>
            </w:r>
            <w:r>
              <w:rPr>
                <w:noProof/>
                <w:webHidden/>
              </w:rPr>
              <w:instrText xml:space="preserve"> PAGEREF _Toc234179980 \h </w:instrText>
            </w:r>
            <w:r>
              <w:rPr>
                <w:noProof/>
                <w:webHidden/>
              </w:rPr>
            </w:r>
            <w:r>
              <w:rPr>
                <w:noProof/>
                <w:webHidden/>
              </w:rPr>
              <w:fldChar w:fldCharType="separate"/>
            </w:r>
            <w:r>
              <w:rPr>
                <w:noProof/>
                <w:webHidden/>
              </w:rPr>
              <w:t>6</w:t>
            </w:r>
            <w:r>
              <w:rPr>
                <w:noProof/>
                <w:webHidden/>
              </w:rPr>
              <w:fldChar w:fldCharType="end"/>
            </w:r>
          </w:hyperlink>
        </w:p>
        <w:p w14:paraId="62014949" w14:textId="15EF9AF9" w:rsidR="003B1431" w:rsidRDefault="003B1431">
          <w:pPr>
            <w:pStyle w:val="TOC1"/>
            <w:tabs>
              <w:tab w:val="right" w:leader="dot" w:pos="9016"/>
            </w:tabs>
            <w:rPr>
              <w:rFonts w:asciiTheme="minorHAnsi" w:eastAsiaTheme="minorEastAsia" w:hAnsiTheme="minorHAnsi" w:cstheme="minorBidi"/>
              <w:noProof/>
              <w:lang w:eastAsia="en-GB"/>
              <w14:ligatures w14:val="standardContextual"/>
            </w:rPr>
          </w:pPr>
          <w:hyperlink w:anchor="_Toc234179981" w:history="1">
            <w:r w:rsidRPr="005A0816">
              <w:rPr>
                <w:rStyle w:val="Hyperlink"/>
                <w:b/>
                <w:bCs/>
                <w:noProof/>
              </w:rPr>
              <w:t>Task 6 - Exploring Digital Innovation in Health and Social Care (140 words each= 420 words in total)</w:t>
            </w:r>
            <w:r>
              <w:rPr>
                <w:noProof/>
                <w:webHidden/>
              </w:rPr>
              <w:tab/>
            </w:r>
            <w:r>
              <w:rPr>
                <w:noProof/>
                <w:webHidden/>
              </w:rPr>
              <w:fldChar w:fldCharType="begin"/>
            </w:r>
            <w:r>
              <w:rPr>
                <w:noProof/>
                <w:webHidden/>
              </w:rPr>
              <w:instrText xml:space="preserve"> PAGEREF _Toc234179981 \h </w:instrText>
            </w:r>
            <w:r>
              <w:rPr>
                <w:noProof/>
                <w:webHidden/>
              </w:rPr>
            </w:r>
            <w:r>
              <w:rPr>
                <w:noProof/>
                <w:webHidden/>
              </w:rPr>
              <w:fldChar w:fldCharType="separate"/>
            </w:r>
            <w:r>
              <w:rPr>
                <w:noProof/>
                <w:webHidden/>
              </w:rPr>
              <w:t>6</w:t>
            </w:r>
            <w:r>
              <w:rPr>
                <w:noProof/>
                <w:webHidden/>
              </w:rPr>
              <w:fldChar w:fldCharType="end"/>
            </w:r>
          </w:hyperlink>
        </w:p>
        <w:p w14:paraId="66655D85" w14:textId="6FCD1EE5" w:rsidR="003B1431" w:rsidRDefault="003B1431">
          <w:pPr>
            <w:pStyle w:val="TOC1"/>
            <w:tabs>
              <w:tab w:val="right" w:leader="dot" w:pos="9016"/>
            </w:tabs>
            <w:rPr>
              <w:rFonts w:asciiTheme="minorHAnsi" w:eastAsiaTheme="minorEastAsia" w:hAnsiTheme="minorHAnsi" w:cstheme="minorBidi"/>
              <w:noProof/>
              <w:lang w:eastAsia="en-GB"/>
              <w14:ligatures w14:val="standardContextual"/>
            </w:rPr>
          </w:pPr>
          <w:hyperlink w:anchor="_Toc234179982" w:history="1">
            <w:r w:rsidRPr="005A0816">
              <w:rPr>
                <w:rStyle w:val="Hyperlink"/>
                <w:b/>
                <w:bCs/>
                <w:noProof/>
              </w:rPr>
              <w:t>Task 7 - Understanding the NHS Leadership Framework (350)</w:t>
            </w:r>
            <w:r>
              <w:rPr>
                <w:noProof/>
                <w:webHidden/>
              </w:rPr>
              <w:tab/>
            </w:r>
            <w:r>
              <w:rPr>
                <w:noProof/>
                <w:webHidden/>
              </w:rPr>
              <w:fldChar w:fldCharType="begin"/>
            </w:r>
            <w:r>
              <w:rPr>
                <w:noProof/>
                <w:webHidden/>
              </w:rPr>
              <w:instrText xml:space="preserve"> PAGEREF _Toc234179982 \h </w:instrText>
            </w:r>
            <w:r>
              <w:rPr>
                <w:noProof/>
                <w:webHidden/>
              </w:rPr>
            </w:r>
            <w:r>
              <w:rPr>
                <w:noProof/>
                <w:webHidden/>
              </w:rPr>
              <w:fldChar w:fldCharType="separate"/>
            </w:r>
            <w:r>
              <w:rPr>
                <w:noProof/>
                <w:webHidden/>
              </w:rPr>
              <w:t>7</w:t>
            </w:r>
            <w:r>
              <w:rPr>
                <w:noProof/>
                <w:webHidden/>
              </w:rPr>
              <w:fldChar w:fldCharType="end"/>
            </w:r>
          </w:hyperlink>
        </w:p>
        <w:p w14:paraId="59C195A6" w14:textId="18266AA7" w:rsidR="003B1431" w:rsidRDefault="003B1431">
          <w:pPr>
            <w:pStyle w:val="TOC1"/>
            <w:tabs>
              <w:tab w:val="right" w:leader="dot" w:pos="9016"/>
            </w:tabs>
            <w:rPr>
              <w:rFonts w:asciiTheme="minorHAnsi" w:eastAsiaTheme="minorEastAsia" w:hAnsiTheme="minorHAnsi" w:cstheme="minorBidi"/>
              <w:noProof/>
              <w:lang w:eastAsia="en-GB"/>
              <w14:ligatures w14:val="standardContextual"/>
            </w:rPr>
          </w:pPr>
          <w:hyperlink w:anchor="_Toc234179983" w:history="1">
            <w:r w:rsidRPr="005A0816">
              <w:rPr>
                <w:rStyle w:val="Hyperlink"/>
                <w:b/>
                <w:bCs/>
                <w:noProof/>
              </w:rPr>
              <w:t>Task 8 – Self-Reflection Journal Entry (150 words)</w:t>
            </w:r>
            <w:r>
              <w:rPr>
                <w:noProof/>
                <w:webHidden/>
              </w:rPr>
              <w:tab/>
            </w:r>
            <w:r>
              <w:rPr>
                <w:noProof/>
                <w:webHidden/>
              </w:rPr>
              <w:fldChar w:fldCharType="begin"/>
            </w:r>
            <w:r>
              <w:rPr>
                <w:noProof/>
                <w:webHidden/>
              </w:rPr>
              <w:instrText xml:space="preserve"> PAGEREF _Toc234179983 \h </w:instrText>
            </w:r>
            <w:r>
              <w:rPr>
                <w:noProof/>
                <w:webHidden/>
              </w:rPr>
            </w:r>
            <w:r>
              <w:rPr>
                <w:noProof/>
                <w:webHidden/>
              </w:rPr>
              <w:fldChar w:fldCharType="separate"/>
            </w:r>
            <w:r>
              <w:rPr>
                <w:noProof/>
                <w:webHidden/>
              </w:rPr>
              <w:t>8</w:t>
            </w:r>
            <w:r>
              <w:rPr>
                <w:noProof/>
                <w:webHidden/>
              </w:rPr>
              <w:fldChar w:fldCharType="end"/>
            </w:r>
          </w:hyperlink>
        </w:p>
        <w:p w14:paraId="7296F571" w14:textId="7D911DC9" w:rsidR="003B1431" w:rsidRDefault="003B1431">
          <w:pPr>
            <w:pStyle w:val="TOC1"/>
            <w:tabs>
              <w:tab w:val="right" w:leader="dot" w:pos="9016"/>
            </w:tabs>
            <w:rPr>
              <w:rFonts w:asciiTheme="minorHAnsi" w:eastAsiaTheme="minorEastAsia" w:hAnsiTheme="minorHAnsi" w:cstheme="minorBidi"/>
              <w:noProof/>
              <w:lang w:eastAsia="en-GB"/>
              <w14:ligatures w14:val="standardContextual"/>
            </w:rPr>
          </w:pPr>
          <w:hyperlink w:anchor="_Toc234179984" w:history="1">
            <w:r w:rsidRPr="005A0816">
              <w:rPr>
                <w:rStyle w:val="Hyperlink"/>
                <w:rFonts w:eastAsia="Times New Roman"/>
                <w:noProof/>
                <w:lang w:val="en-US"/>
              </w:rPr>
              <w:t>Reference list</w:t>
            </w:r>
            <w:r>
              <w:rPr>
                <w:noProof/>
                <w:webHidden/>
              </w:rPr>
              <w:tab/>
            </w:r>
            <w:r>
              <w:rPr>
                <w:noProof/>
                <w:webHidden/>
              </w:rPr>
              <w:fldChar w:fldCharType="begin"/>
            </w:r>
            <w:r>
              <w:rPr>
                <w:noProof/>
                <w:webHidden/>
              </w:rPr>
              <w:instrText xml:space="preserve"> PAGEREF _Toc234179984 \h </w:instrText>
            </w:r>
            <w:r>
              <w:rPr>
                <w:noProof/>
                <w:webHidden/>
              </w:rPr>
            </w:r>
            <w:r>
              <w:rPr>
                <w:noProof/>
                <w:webHidden/>
              </w:rPr>
              <w:fldChar w:fldCharType="separate"/>
            </w:r>
            <w:r>
              <w:rPr>
                <w:noProof/>
                <w:webHidden/>
              </w:rPr>
              <w:t>9</w:t>
            </w:r>
            <w:r>
              <w:rPr>
                <w:noProof/>
                <w:webHidden/>
              </w:rPr>
              <w:fldChar w:fldCharType="end"/>
            </w:r>
          </w:hyperlink>
        </w:p>
        <w:p w14:paraId="7FEEFCA1" w14:textId="2452DEB9" w:rsidR="0019601C" w:rsidRDefault="0019601C" w:rsidP="0019601C">
          <w:r>
            <w:rPr>
              <w:b/>
              <w:bCs/>
              <w:noProof/>
            </w:rPr>
            <w:fldChar w:fldCharType="end"/>
          </w:r>
        </w:p>
      </w:sdtContent>
    </w:sdt>
    <w:p w14:paraId="5AC94619" w14:textId="0E5E9671" w:rsidR="0019601C" w:rsidRDefault="0019601C">
      <w:r>
        <w:br w:type="page"/>
      </w:r>
    </w:p>
    <w:p w14:paraId="5F9D5E0A" w14:textId="7B883ABF" w:rsidR="0019601C" w:rsidRPr="0019601C" w:rsidRDefault="0019601C" w:rsidP="0019601C">
      <w:pPr>
        <w:rPr>
          <w:b/>
          <w:bCs/>
        </w:rPr>
      </w:pPr>
      <w:r w:rsidRPr="0019601C">
        <w:rPr>
          <w:b/>
          <w:bCs/>
        </w:rPr>
        <w:lastRenderedPageBreak/>
        <w:t xml:space="preserve">Introduction </w:t>
      </w:r>
    </w:p>
    <w:p w14:paraId="332D8A30" w14:textId="77777777" w:rsidR="0019601C" w:rsidRDefault="0019601C" w:rsidP="0019601C">
      <w:r>
        <w:t>This portfolio critically discusses innovation, creativity, value creation and change as fundamental agents of change in health and social care. Practical application of grounding theory makes sure that theoretical knowledge is applied in ways that help create a tangible positive change in patients, personnel, and systems. Regulatory science and service redesign is quicker with innovation (Calvert et al., 2020), whereas professional learning and problem-solving are more effective with creativity (Ridgway et al., 2025). The value creation should be evaluated in terms of the ability of the reforms to actually enhance the results or have the possibility of extraction (Llewellyn et al., 2020). Sustainable change is facilitated by structured change models (Harrison et al., 2021). Sources of evidence are peer-reviewed UK/NHS sources.</w:t>
      </w:r>
    </w:p>
    <w:p w14:paraId="751B2422" w14:textId="77777777" w:rsidR="0019601C" w:rsidRDefault="0019601C" w:rsidP="0019601C"/>
    <w:p w14:paraId="2D461E3E" w14:textId="77777777" w:rsidR="0019601C" w:rsidRPr="00187EAD" w:rsidRDefault="0019601C" w:rsidP="00187EAD">
      <w:pPr>
        <w:pStyle w:val="Heading1"/>
        <w:rPr>
          <w:b/>
          <w:bCs/>
          <w:color w:val="auto"/>
          <w:sz w:val="24"/>
          <w:szCs w:val="24"/>
        </w:rPr>
      </w:pPr>
      <w:bookmarkStart w:id="0" w:name="_Toc234179976"/>
      <w:r w:rsidRPr="00187EAD">
        <w:rPr>
          <w:b/>
          <w:bCs/>
          <w:color w:val="auto"/>
          <w:sz w:val="24"/>
          <w:szCs w:val="24"/>
        </w:rPr>
        <w:t>Task 1- Defining Key Concepts in Practice (350 words)</w:t>
      </w:r>
      <w:bookmarkEnd w:id="0"/>
    </w:p>
    <w:p w14:paraId="6E3B5D3F" w14:textId="77777777" w:rsidR="0019601C" w:rsidRPr="0019601C" w:rsidRDefault="0019601C" w:rsidP="0019601C">
      <w:pPr>
        <w:rPr>
          <w:b/>
          <w:bCs/>
        </w:rPr>
      </w:pPr>
      <w:r w:rsidRPr="0019601C">
        <w:rPr>
          <w:b/>
          <w:bCs/>
        </w:rPr>
        <w:t>Innovation</w:t>
      </w:r>
    </w:p>
    <w:p w14:paraId="767533CB" w14:textId="77777777" w:rsidR="0019601C" w:rsidRDefault="0019601C" w:rsidP="0019601C">
      <w:r>
        <w:t xml:space="preserve">Innovation in health and social care can be defined as the introduction and use of a new idea, technology or practice that enhances outcomes. The Diffusion of Innovation Theory by Rogers (2003) describes the process of diffusion of innovations within the organisation when innovations are perceived as helpful and simple to embrace. Digital triage systems within the NHS are a good example of such a process, allowing patients to obtain care more effectively and decreasing the burden on the staff. Calvert et al. (2020) emphasize the role of regulatory science in promoting such innovations, and </w:t>
      </w:r>
      <w:proofErr w:type="spellStart"/>
      <w:r>
        <w:t>Emicke</w:t>
      </w:r>
      <w:proofErr w:type="spellEnd"/>
      <w:r>
        <w:t xml:space="preserve"> et al. (2025) remark a lack of embedding of these innovations into higher education and practice. Importantly, it is not a uniform diffusion, since it must be adopted by organisational culture and staff willingness, which means that it is not easily scaled.</w:t>
      </w:r>
    </w:p>
    <w:p w14:paraId="0950E0F8" w14:textId="77777777" w:rsidR="0019601C" w:rsidRPr="0019601C" w:rsidRDefault="0019601C" w:rsidP="0019601C">
      <w:pPr>
        <w:rPr>
          <w:b/>
          <w:bCs/>
        </w:rPr>
      </w:pPr>
      <w:r w:rsidRPr="0019601C">
        <w:rPr>
          <w:b/>
          <w:bCs/>
        </w:rPr>
        <w:t>Creativity</w:t>
      </w:r>
    </w:p>
    <w:p w14:paraId="7ED3450F" w14:textId="77777777" w:rsidR="0019601C" w:rsidRDefault="0019601C" w:rsidP="0019601C">
      <w:r>
        <w:t>Creativity is the ability to come up with new and helpful ideas. Amabile (1996) Componential Theory of Creativity focuses on the interaction of knowledge, skills and motivation. Creative placements have demonstrated to be effective in health education to diversify problem solving and professional learning (Ridgway et al., 2025). Creativity is not just artistic expression but a process that helps to enhance the quality of care and is a structured process. Nonetheless, its dependence on personal motivation might not be able to provide uniformity within teamwork, and supportive leadership is needed to maintain an effect.</w:t>
      </w:r>
    </w:p>
    <w:p w14:paraId="0A0D4EC8" w14:textId="77777777" w:rsidR="0019601C" w:rsidRPr="0019601C" w:rsidRDefault="0019601C" w:rsidP="0019601C">
      <w:pPr>
        <w:rPr>
          <w:b/>
          <w:bCs/>
        </w:rPr>
      </w:pPr>
      <w:r w:rsidRPr="0019601C">
        <w:rPr>
          <w:b/>
          <w:bCs/>
        </w:rPr>
        <w:t>Value Creation</w:t>
      </w:r>
    </w:p>
    <w:p w14:paraId="3B940BB9" w14:textId="77777777" w:rsidR="0019601C" w:rsidRDefault="0019601C" w:rsidP="0019601C">
      <w:r>
        <w:lastRenderedPageBreak/>
        <w:t xml:space="preserve">Creating value in healthcare is about enhancing patient results in comparison to expenditure. Porter (2010) puts value in the context of efficiency of outcomes. According to </w:t>
      </w:r>
      <w:proofErr w:type="spellStart"/>
      <w:r>
        <w:t>Chilingerian</w:t>
      </w:r>
      <w:proofErr w:type="spellEnd"/>
      <w:r>
        <w:t xml:space="preserve"> et al. (2022), to quantify the value, it is necessary to balance clinical outcomes and patient views, whereas Llewellyn et al. (2020) warn that reforms can lead to the extraction of values in case the pricing mechanisms are based on financial profit rather than on the quality of care. Most importantly, value creation should be framed within the context of the NHS funding pressures with an emphasis on the tensions between efficiency and equity.</w:t>
      </w:r>
    </w:p>
    <w:p w14:paraId="39929378" w14:textId="77777777" w:rsidR="0019601C" w:rsidRDefault="0019601C" w:rsidP="0019601C">
      <w:r>
        <w:t xml:space="preserve"> </w:t>
      </w:r>
    </w:p>
    <w:p w14:paraId="47304593" w14:textId="77777777" w:rsidR="0019601C" w:rsidRPr="0019601C" w:rsidRDefault="0019601C" w:rsidP="0019601C">
      <w:pPr>
        <w:rPr>
          <w:b/>
          <w:bCs/>
        </w:rPr>
      </w:pPr>
      <w:r w:rsidRPr="0019601C">
        <w:rPr>
          <w:b/>
          <w:bCs/>
        </w:rPr>
        <w:t>Change</w:t>
      </w:r>
    </w:p>
    <w:p w14:paraId="21E9F038" w14:textId="77777777" w:rsidR="0019601C" w:rsidRDefault="0019601C" w:rsidP="0019601C">
      <w:r>
        <w:t>Change is the organised process of transitioning out of the existing practice to better systems. The Change Model by Lewin describes the unfreezing, implementing and refreezing behaviours. Harrison et al. (2021) demonstrate the intersection of change models with improvement frameworks, whereas Hastings (2025) highlights that change revolves around leadership. However, inflexible models may be too simplistic of complex adaptive systems, and will need to be flexible enough to deal with NHS realities. All these ideas form the basis of sustainable change, yet their constraints point to the necessity of a critical and context-specific use.</w:t>
      </w:r>
    </w:p>
    <w:p w14:paraId="5DBE1A88" w14:textId="48E93C1C" w:rsidR="000F3E71" w:rsidRDefault="000F3E71"/>
    <w:p w14:paraId="70288F73" w14:textId="77777777" w:rsidR="0019601C" w:rsidRPr="0019601C" w:rsidRDefault="0019601C" w:rsidP="0019601C">
      <w:pPr>
        <w:pStyle w:val="Heading1"/>
        <w:rPr>
          <w:b/>
          <w:bCs/>
          <w:color w:val="auto"/>
          <w:sz w:val="32"/>
          <w:szCs w:val="32"/>
          <w:lang w:val="en-US" w:eastAsia="en-GB"/>
        </w:rPr>
      </w:pPr>
      <w:bookmarkStart w:id="1" w:name="_Toc234179977"/>
      <w:r w:rsidRPr="0019601C">
        <w:rPr>
          <w:b/>
          <w:bCs/>
          <w:color w:val="auto"/>
          <w:sz w:val="32"/>
          <w:szCs w:val="32"/>
          <w:lang w:val="en-US" w:eastAsia="en-GB"/>
        </w:rPr>
        <w:t>Task 2 - Mind Map (130 words)</w:t>
      </w:r>
      <w:bookmarkEnd w:id="1"/>
      <w:r w:rsidRPr="0019601C">
        <w:rPr>
          <w:b/>
          <w:bCs/>
          <w:color w:val="auto"/>
          <w:sz w:val="32"/>
          <w:szCs w:val="32"/>
          <w:lang w:val="en-US" w:eastAsia="en-GB"/>
        </w:rPr>
        <w:t> </w:t>
      </w:r>
    </w:p>
    <w:p w14:paraId="5F142CA8" w14:textId="77777777" w:rsidR="0019601C" w:rsidRPr="000B1AFC" w:rsidRDefault="0019601C" w:rsidP="0019601C">
      <w:pPr>
        <w:rPr>
          <w:lang w:val="en-US" w:eastAsia="en-GB"/>
        </w:rPr>
      </w:pPr>
      <w:r>
        <w:rPr>
          <w:noProof/>
        </w:rPr>
        <w:drawing>
          <wp:inline distT="0" distB="0" distL="0" distR="0" wp14:anchorId="7D1AEC56" wp14:editId="0CE98838">
            <wp:extent cx="5618592" cy="2705100"/>
            <wp:effectExtent l="0" t="0" r="1270" b="0"/>
            <wp:docPr id="2" name="Picture 1" descr="NHS staff burnout mi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HS staff burnout mind map"/>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3508" t="4841" r="3295" b="11229"/>
                    <a:stretch>
                      <a:fillRect/>
                    </a:stretch>
                  </pic:blipFill>
                  <pic:spPr bwMode="auto">
                    <a:xfrm>
                      <a:off x="0" y="0"/>
                      <a:ext cx="5672830" cy="2731213"/>
                    </a:xfrm>
                    <a:prstGeom prst="rect">
                      <a:avLst/>
                    </a:prstGeom>
                    <a:noFill/>
                    <a:ln>
                      <a:noFill/>
                    </a:ln>
                    <a:extLst>
                      <a:ext uri="{53640926-AAD7-44D8-BBD7-CCE9431645EC}">
                        <a14:shadowObscured xmlns:a14="http://schemas.microsoft.com/office/drawing/2010/main"/>
                      </a:ext>
                    </a:extLst>
                  </pic:spPr>
                </pic:pic>
              </a:graphicData>
            </a:graphic>
          </wp:inline>
        </w:drawing>
      </w:r>
    </w:p>
    <w:p w14:paraId="7D0088C7" w14:textId="761B9240" w:rsidR="0019601C" w:rsidRPr="00377195" w:rsidRDefault="0019601C" w:rsidP="0019601C">
      <w:pPr>
        <w:rPr>
          <w:rFonts w:asciiTheme="minorHAnsi" w:hAnsiTheme="minorHAnsi" w:cs="Arial"/>
          <w:sz w:val="22"/>
          <w:szCs w:val="22"/>
        </w:rPr>
      </w:pPr>
      <w:r w:rsidRPr="00377195">
        <w:rPr>
          <w:rFonts w:asciiTheme="minorHAnsi" w:hAnsiTheme="minorHAnsi" w:cs="Arial"/>
          <w:sz w:val="22"/>
          <w:szCs w:val="22"/>
        </w:rPr>
        <w:t xml:space="preserve">The problem of staff burnout in the NHS hospitals is a systemic problem with far reaching consequences to patient safety and workforce sustainability. These are caused by workload, emotional pressure in the intensive care units and organisational cultures that do not put the wellbeing of staff as a priority. Hall et al. (2022) reveal the effects of ICU pressures during </w:t>
      </w:r>
      <w:r w:rsidRPr="00377195">
        <w:rPr>
          <w:rFonts w:asciiTheme="minorHAnsi" w:hAnsiTheme="minorHAnsi" w:cs="Arial"/>
          <w:sz w:val="22"/>
          <w:szCs w:val="22"/>
        </w:rPr>
        <w:lastRenderedPageBreak/>
        <w:t>COVID-19 on the psychological distress, and Salyers et al. (2016) directly correlate the burnout with the decrease in the quality of care and safety. Among the effects are low retention and poor patient outcomes. The solutions need some leadership assistance, monitoring software, and system reforms. Burnout is perceived as a multi-level problem that requires multi-level responses with the systems thinking approach described by Meadows (2008) system</w:t>
      </w:r>
    </w:p>
    <w:p w14:paraId="2CFA0145" w14:textId="77777777" w:rsidR="00377195" w:rsidRDefault="00377195" w:rsidP="0019601C">
      <w:pPr>
        <w:rPr>
          <w:rFonts w:ascii="Arial" w:hAnsi="Arial" w:cs="Arial"/>
          <w:sz w:val="22"/>
          <w:szCs w:val="22"/>
        </w:rPr>
      </w:pPr>
    </w:p>
    <w:p w14:paraId="0528A50C" w14:textId="2025AB40" w:rsidR="0019601C" w:rsidRPr="00377195" w:rsidRDefault="0019601C" w:rsidP="00377195">
      <w:pPr>
        <w:pStyle w:val="Heading1"/>
        <w:rPr>
          <w:b/>
          <w:bCs/>
          <w:color w:val="auto"/>
          <w:sz w:val="24"/>
          <w:szCs w:val="24"/>
        </w:rPr>
      </w:pPr>
      <w:bookmarkStart w:id="2" w:name="_Toc234179978"/>
      <w:r w:rsidRPr="00377195">
        <w:rPr>
          <w:b/>
          <w:bCs/>
          <w:color w:val="auto"/>
          <w:sz w:val="24"/>
          <w:szCs w:val="24"/>
        </w:rPr>
        <w:t>Task 3 - Self-Reflection of Group Activity (200 words)</w:t>
      </w:r>
      <w:bookmarkEnd w:id="2"/>
    </w:p>
    <w:p w14:paraId="035078DB" w14:textId="77777777" w:rsidR="0019601C" w:rsidRDefault="0019601C" w:rsidP="0019601C">
      <w:r>
        <w:t>Using Gibbs’ Reflective Cycle (1988), I evaluated my experience during the Convergent and Divergent Thinking group activity. Thinking divergently enabled our group to come up with several creative solutions, where ideas were freely explored. But this caused a disagreement as to feasibility. Convergent thinking was applied by making my solution a pros-and-cons list, which was used to reduce solution options to a workable solution. This experience has shown that I am strong in analytical thinking but I needed to appreciate the input of other people in terms of creativity. Ridgway et al. (2025) highlight that creativity in teamwork improves professional learning, where the collaboration is not skewed towards structure or imagination. Most importantly, I realised that a team with high functionality necessitates the incorporation of both thinking styles; the divergent type of thinking, which is needed in the creation of innovative ideas and the convergent type, which is needed in the execution of those ideas. The second thing I would do next time is to make the evaluation of ideas more of a momentum to sustain momentum and inclusivity. This reflection illustrates how well-organized self-analysis will turn creative tension into effective teamwork and enhance interpersonal and cognitive abilities needed to practice in health and social care.</w:t>
      </w:r>
    </w:p>
    <w:p w14:paraId="41392594" w14:textId="77777777" w:rsidR="0019601C" w:rsidRDefault="0019601C" w:rsidP="0019601C"/>
    <w:p w14:paraId="48636533" w14:textId="77777777" w:rsidR="0019601C" w:rsidRPr="00377195" w:rsidRDefault="0019601C" w:rsidP="00377195">
      <w:pPr>
        <w:pStyle w:val="Heading1"/>
        <w:rPr>
          <w:b/>
          <w:bCs/>
          <w:color w:val="auto"/>
          <w:sz w:val="24"/>
          <w:szCs w:val="24"/>
        </w:rPr>
      </w:pPr>
      <w:bookmarkStart w:id="3" w:name="_Toc234179979"/>
      <w:r w:rsidRPr="00377195">
        <w:rPr>
          <w:b/>
          <w:bCs/>
          <w:color w:val="auto"/>
          <w:sz w:val="24"/>
          <w:szCs w:val="24"/>
        </w:rPr>
        <w:t>Task 4 – Case Study Analysis of a UK Innovation (200 words)</w:t>
      </w:r>
      <w:bookmarkEnd w:id="3"/>
    </w:p>
    <w:p w14:paraId="10D30431" w14:textId="77777777" w:rsidR="0019601C" w:rsidRDefault="0019601C" w:rsidP="0019601C">
      <w:r>
        <w:t xml:space="preserve">One example of innovation in dealing with hospital overcrowding is the NHS Virtual Ward that deals with remote patient monitoring. Using the Diffusion of Innovation Theory (2003) proposed by Rogers, this model illustrates the relationship between the perceived usefulness and organisational readiness of adopting technology. Calvert et al. (2020) emphasize the use of regulatory science to enable such innovations, make them safe and scalable, and </w:t>
      </w:r>
      <w:proofErr w:type="spellStart"/>
      <w:r>
        <w:t>Emicke</w:t>
      </w:r>
      <w:proofErr w:type="spellEnd"/>
      <w:r>
        <w:t xml:space="preserve"> et al. (2025) indicate the need to incorporate innovation into the professional education to increase sustainability. The design of the ward was based on creativity- incorporating digital technology to provide care on a hospital level at home. This strategy led to quantifiable benefits in terms of minimised admissions, better patient outcomes, and resource allocation. More importantly, diffusion increased the rate of adoption but there are still issues of digital literacy and fair access. The program demonstrates the intersection of innovation, creativity and value creation to transform care delivery. Using the framework of Rogers, the NHS has </w:t>
      </w:r>
      <w:r>
        <w:lastRenderedPageBreak/>
        <w:t>shown that innovation can be successful through evidence-based support, leadership, and flexibility, which are the main principles to maintain the change in the complex health systems.</w:t>
      </w:r>
    </w:p>
    <w:p w14:paraId="0A54868C" w14:textId="77777777" w:rsidR="0019601C" w:rsidRDefault="0019601C" w:rsidP="0019601C"/>
    <w:p w14:paraId="08B293A9" w14:textId="60276C0C" w:rsidR="0019601C" w:rsidRPr="00377195" w:rsidRDefault="0019601C" w:rsidP="00377195">
      <w:pPr>
        <w:pStyle w:val="Heading1"/>
        <w:rPr>
          <w:b/>
          <w:bCs/>
          <w:color w:val="auto"/>
          <w:sz w:val="24"/>
          <w:szCs w:val="24"/>
        </w:rPr>
      </w:pPr>
      <w:bookmarkStart w:id="4" w:name="_Toc234179980"/>
      <w:r w:rsidRPr="00377195">
        <w:rPr>
          <w:b/>
          <w:bCs/>
          <w:color w:val="auto"/>
          <w:sz w:val="24"/>
          <w:szCs w:val="24"/>
        </w:rPr>
        <w:t>Task 5 - Research Task (200 words).</w:t>
      </w:r>
      <w:bookmarkEnd w:id="4"/>
    </w:p>
    <w:p w14:paraId="45D76388" w14:textId="77777777" w:rsidR="0019601C" w:rsidRDefault="0019601C" w:rsidP="0019601C">
      <w:r>
        <w:t>Staff stress and burnout have become one of the urgent issues in the NHS that negatively affect the wellbeing of the workforce and patient safety. Hall et al. (2022) reported that the surge of COVID-19 put the staff of the ICU in severe psychological distress due to excessive workload and emotional burnout. Conversely, Salyers et al. (2016) showed in a meta-analysis that burnout is associated with poor-quality care and safety, which has systemic cultural elements (poor organisational support). By using the Maslach Burnout Theory (1981), stress can be seen as a result of demands/resource imbalance whereas Systems Theory considers burnout a result of organisational pressures working in balance. Most importantly, in both studies, it is found that the problem of burnout is not a personal problem but a structural problem within healthcare systems. The intensity of work is a stimulus of emotions fatigue, but the lack of cultural aspects contributes to the disengagement. To manage burnout, systemic change, such as leadership responsibility, workload reallocation, and a sense of psychological safety is required to maintain staff resilience and maintain care standards throughout the NHS.</w:t>
      </w:r>
    </w:p>
    <w:p w14:paraId="44175285" w14:textId="77777777" w:rsidR="0019601C" w:rsidRDefault="0019601C" w:rsidP="0019601C">
      <w:pPr>
        <w:rPr>
          <w:b/>
          <w:bCs/>
          <w:sz w:val="28"/>
          <w:szCs w:val="28"/>
        </w:rPr>
      </w:pPr>
    </w:p>
    <w:p w14:paraId="73122787" w14:textId="4C21B486" w:rsidR="0019601C" w:rsidRPr="00377195" w:rsidRDefault="0019601C" w:rsidP="00377195">
      <w:pPr>
        <w:pStyle w:val="Heading1"/>
        <w:rPr>
          <w:b/>
          <w:bCs/>
          <w:color w:val="auto"/>
          <w:sz w:val="24"/>
          <w:szCs w:val="24"/>
        </w:rPr>
      </w:pPr>
      <w:bookmarkStart w:id="5" w:name="_Toc234179981"/>
      <w:r w:rsidRPr="00377195">
        <w:rPr>
          <w:b/>
          <w:bCs/>
          <w:color w:val="auto"/>
          <w:sz w:val="24"/>
          <w:szCs w:val="24"/>
        </w:rPr>
        <w:t>Task 6 - Exploring Digital Innovation in Health and Social Care (140 words each= 420 words in total)</w:t>
      </w:r>
      <w:bookmarkEnd w:id="5"/>
    </w:p>
    <w:p w14:paraId="3CE25D0D" w14:textId="77777777" w:rsidR="0019601C" w:rsidRDefault="0019601C" w:rsidP="0019601C">
      <w:r>
        <w:t>The digital innovation is transforming health and social care, increasing its accessibility, efficiency and preventing capacity. Technology Acceptance Model (Davis, 1989) describes the concept of adoption in terms of perceived usefulness and ease of use, which are principles that can be observed in wearable technologies, electronic health records (EHRs) and predictive prevention tools.</w:t>
      </w:r>
    </w:p>
    <w:p w14:paraId="531881B4" w14:textId="77777777" w:rsidR="0019601C" w:rsidRDefault="0019601C" w:rsidP="0019601C">
      <w:r>
        <w:t>Continuous monitoring and early intervention is achieved by wearable technologies like smartwatches to manage diabetes. Wearables aid in self-management and decrease hospital visits, which Tegegne et al. (2026) discovered, demonstrating how digital interaction empowers patients. Nevertheless, privacy issues and the trustworthiness of the data are the obstacles to mass usage, and it needs to be ethically governed and taught how to use digital literacy.</w:t>
      </w:r>
    </w:p>
    <w:p w14:paraId="6E34C941" w14:textId="77777777" w:rsidR="0019601C" w:rsidRDefault="0019601C" w:rsidP="0019601C">
      <w:r>
        <w:t xml:space="preserve">Interoperability of EHR improves the communication between healthcare providers. Li et al. (2025) found that enhanced data sharing in the NHS enhances multidisciplinary </w:t>
      </w:r>
      <w:r>
        <w:lastRenderedPageBreak/>
        <w:t>care and decreases care redundancy. However, technical fragmentation and non-cohesive data standards impede complete integration, which is why it is necessary to have a single digital infrastructure.</w:t>
      </w:r>
    </w:p>
    <w:p w14:paraId="7A19ADE8" w14:textId="77777777" w:rsidR="0019601C" w:rsidRDefault="0019601C" w:rsidP="0019601C">
      <w:r>
        <w:t>Predictive prevention changes the model of care to a proactive care model. Jain</w:t>
      </w:r>
      <w:r>
        <w:rPr>
          <w:rFonts w:ascii="Arial" w:hAnsi="Arial" w:cs="Arial"/>
        </w:rPr>
        <w:t> </w:t>
      </w:r>
      <w:r>
        <w:t>and</w:t>
      </w:r>
      <w:r>
        <w:rPr>
          <w:rFonts w:ascii="Arial" w:hAnsi="Arial" w:cs="Arial"/>
        </w:rPr>
        <w:t> </w:t>
      </w:r>
      <w:r>
        <w:t>Beaney</w:t>
      </w:r>
      <w:r>
        <w:rPr>
          <w:rFonts w:ascii="Arial" w:hAnsi="Arial" w:cs="Arial"/>
        </w:rPr>
        <w:t> </w:t>
      </w:r>
      <w:r>
        <w:t xml:space="preserve">(2025) believe that predictive analytics will be able to determine at-risk populations, allowing the implementation of interventions on a community level. Equally, </w:t>
      </w:r>
      <w:proofErr w:type="spellStart"/>
      <w:r>
        <w:t>Delbaere</w:t>
      </w:r>
      <w:proofErr w:type="spellEnd"/>
      <w:r>
        <w:t xml:space="preserve"> et al. (2010) showed the effectiveness of digital risk assessment tools in helping to prevent falls among the older adults, leading to less hospital admissions. The examples demonstrate how technology can help in creation of value by enhancing results in comparison to cost.</w:t>
      </w:r>
    </w:p>
    <w:p w14:paraId="4631A1AE" w14:textId="77777777" w:rsidR="0019601C" w:rsidRDefault="0019601C" w:rsidP="0019601C">
      <w:r>
        <w:t>Of crucial importance, although digital innovation can help to improve efficiency and empower patients, it can also reveal access disparities and digital preparedness. Adoption is based on organisational culture, commitment of the leadership and confidence of the staff to technology. The incorporation of the model suggested by Davis indicates that to become successful, the perceived usefulness needs to be matched with the practical usability. The digital transformation of the NHS, in this case, should thus strike the right balance between innovation and inclusivity- so that technological advancement can be converted into equal and sustainable care delivery benefits.</w:t>
      </w:r>
    </w:p>
    <w:p w14:paraId="7914688C" w14:textId="77777777" w:rsidR="0019601C" w:rsidRDefault="0019601C" w:rsidP="0019601C"/>
    <w:p w14:paraId="1EFBC8FC" w14:textId="77777777" w:rsidR="0019601C" w:rsidRPr="00377195" w:rsidRDefault="0019601C" w:rsidP="00377195">
      <w:pPr>
        <w:pStyle w:val="Heading1"/>
        <w:rPr>
          <w:b/>
          <w:bCs/>
          <w:color w:val="auto"/>
          <w:sz w:val="24"/>
          <w:szCs w:val="24"/>
        </w:rPr>
      </w:pPr>
      <w:bookmarkStart w:id="6" w:name="_Toc234179982"/>
      <w:r w:rsidRPr="00377195">
        <w:rPr>
          <w:b/>
          <w:bCs/>
          <w:color w:val="auto"/>
          <w:sz w:val="24"/>
          <w:szCs w:val="24"/>
        </w:rPr>
        <w:t>Task 7 - Understanding the NHS Leadership Framework (350)</w:t>
      </w:r>
      <w:bookmarkEnd w:id="6"/>
    </w:p>
    <w:p w14:paraId="3C5A246B" w14:textId="77777777" w:rsidR="0019601C" w:rsidRPr="0019601C" w:rsidRDefault="0019601C" w:rsidP="0019601C">
      <w:pPr>
        <w:rPr>
          <w:b/>
          <w:bCs/>
        </w:rPr>
      </w:pPr>
      <w:r w:rsidRPr="0019601C">
        <w:rPr>
          <w:b/>
          <w:bCs/>
        </w:rPr>
        <w:t xml:space="preserve">Summary </w:t>
      </w:r>
    </w:p>
    <w:p w14:paraId="6933F18A" w14:textId="77777777" w:rsidR="0019601C" w:rsidRDefault="0019601C" w:rsidP="0019601C">
      <w:r>
        <w:t>The NHS Leadership Framework identifies the behaviours of a good leader in a complex health system. They are inspirational purpose, care, and evaluation of information as core dimensions. NHS (2025) highlights that shared purpose makes staff aligned to organisational values, which guarantee patient-centred care. Leading with care requires compassion and attentiveness to staff wellbeing, fostering resilience in high</w:t>
      </w:r>
      <w:r>
        <w:rPr>
          <w:rFonts w:ascii="Cambria Math" w:hAnsi="Cambria Math" w:cs="Cambria Math"/>
        </w:rPr>
        <w:t>‑</w:t>
      </w:r>
      <w:r>
        <w:t>pressure environments. Information assessment emphasizes evidence-based decision-making making sure that leadership is not based on intuition but on data. Underwood (2024) states that the NHS is a complex adaptive system, and the leadership needs to find the balance between stability and innovation. Importantly, although the framework offers the structured behaviours, it is effective according to the situational application. Leaders need to be able to change behaviours to suit different environments realising that extreme adherence can lead to simplification of dynamic issues. Therefore, this framework can serve as a guiding resource but it needs to be combined with more general theories of adaptive and transformational leadership to have a lasting effect.</w:t>
      </w:r>
    </w:p>
    <w:p w14:paraId="08C61EB7" w14:textId="77777777" w:rsidR="0019601C" w:rsidRDefault="0019601C" w:rsidP="0019601C"/>
    <w:p w14:paraId="33951551" w14:textId="77777777" w:rsidR="0019601C" w:rsidRPr="0019601C" w:rsidRDefault="0019601C" w:rsidP="0019601C">
      <w:pPr>
        <w:rPr>
          <w:b/>
          <w:bCs/>
        </w:rPr>
      </w:pPr>
      <w:r w:rsidRPr="0019601C">
        <w:rPr>
          <w:b/>
          <w:bCs/>
        </w:rPr>
        <w:lastRenderedPageBreak/>
        <w:t xml:space="preserve">Behaviour </w:t>
      </w:r>
    </w:p>
    <w:p w14:paraId="795F9F29" w14:textId="77777777" w:rsidR="0019601C" w:rsidRDefault="0019601C" w:rsidP="0019601C">
      <w:r>
        <w:t xml:space="preserve">Motivating staff and instilling creativity in care delivery involves inspiring shared purpose. </w:t>
      </w:r>
      <w:proofErr w:type="spellStart"/>
      <w:r>
        <w:t>Tsapnidou</w:t>
      </w:r>
      <w:proofErr w:type="spellEnd"/>
      <w:r>
        <w:t xml:space="preserve"> et al. (2024) demonstrate that transformational leaders attain quality changes by expressing a powerful vision, and </w:t>
      </w:r>
      <w:proofErr w:type="spellStart"/>
      <w:r>
        <w:t>Ystaas</w:t>
      </w:r>
      <w:proofErr w:type="spellEnd"/>
      <w:r>
        <w:t xml:space="preserve"> et al. (2023) reveal its ability to improve patient outcomes by increasing staff engagement. In the NHS, motivation of shared purpose fosters innovation by harmonizing individual input with group aims. Importantly, such behaviour creates values as it makes sure that creativity is not divided but is aimed at quantifiable patient care improvements. But maintaining shared purpose needs regular communication and trust otherwise staffs may withdraw.</w:t>
      </w:r>
    </w:p>
    <w:p w14:paraId="6469E6D2" w14:textId="77777777" w:rsidR="0019601C" w:rsidRDefault="0019601C" w:rsidP="0019601C"/>
    <w:p w14:paraId="4DC8FB1A" w14:textId="77777777" w:rsidR="0019601C" w:rsidRPr="0019601C" w:rsidRDefault="0019601C" w:rsidP="0019601C">
      <w:pPr>
        <w:rPr>
          <w:b/>
          <w:bCs/>
        </w:rPr>
      </w:pPr>
      <w:r w:rsidRPr="0019601C">
        <w:rPr>
          <w:b/>
          <w:bCs/>
        </w:rPr>
        <w:t xml:space="preserve">Reflection </w:t>
      </w:r>
    </w:p>
    <w:p w14:paraId="3255F51B" w14:textId="77777777" w:rsidR="0019601C" w:rsidRDefault="0019601C" w:rsidP="0019601C">
      <w:r>
        <w:t>The experience with the NHS Leadership Framework has enhanced my comprehension of the influence of leadership behaviours on creativity and value creation. First, I thought creativity was about generating ideas at an individual level, but transformational leadership (Bass and Avolio, 1994) teaches me how a leader inspires people to innovate as a group with support and vision. Based on the comparison of the NHS framework with transformational leadership, it is possible to note that they are complementary: the former offers systematised behaviours, whereas the latter is focused on the relational dynamics. More importantly, both emphasize leadership does not involve authority but empowering staff to be innovative and value-creating. This understanding will influence my practice by focusing on collaborative leadership that will enable creativity and sustainable change.</w:t>
      </w:r>
    </w:p>
    <w:p w14:paraId="26A8CC6D" w14:textId="77777777" w:rsidR="0019601C" w:rsidRDefault="0019601C" w:rsidP="0019601C"/>
    <w:p w14:paraId="724F6D7A" w14:textId="6368F23B" w:rsidR="0019601C" w:rsidRPr="003B1431" w:rsidRDefault="0019601C" w:rsidP="003B1431">
      <w:pPr>
        <w:pStyle w:val="Heading1"/>
        <w:rPr>
          <w:b/>
          <w:bCs/>
          <w:color w:val="auto"/>
          <w:sz w:val="24"/>
          <w:szCs w:val="24"/>
        </w:rPr>
      </w:pPr>
      <w:bookmarkStart w:id="7" w:name="_Toc234179983"/>
      <w:r w:rsidRPr="003B1431">
        <w:rPr>
          <w:b/>
          <w:bCs/>
          <w:color w:val="auto"/>
          <w:sz w:val="24"/>
          <w:szCs w:val="24"/>
        </w:rPr>
        <w:t>Task 8 – Self-Reflection Journal Entry (150 words)</w:t>
      </w:r>
      <w:bookmarkEnd w:id="7"/>
    </w:p>
    <w:p w14:paraId="6C27C5DF" w14:textId="77777777" w:rsidR="0019601C" w:rsidRDefault="0019601C" w:rsidP="0019601C">
      <w:r>
        <w:t>Using the Reflective Cycle devised by Gibbs (1988), I realised that creativity in health and social care is not merely generation of ideas but is an evidence-based process. First, I perceived innovation as a spontaneous process, but as I completed portfolio activities, I realized that creativity has to be based on structures and practice. As an illustration, the investigation of NHS innovations revealed the value of planned creativity that generates quantifiable value. Ridgway et al. (2025) highlight that teamwork creativity boosts professional learning, and the NHS (2025) Leadership Framework demonstrates how shared purpose directs creativity towards patient-centred results. Importantly, I was taught that value creation requires association of creativity to organisational objectives. This understanding will inform my professional practice by making sure that I implement innovation strategically, based on evidence and collaboration to promote sustainable change in professional practice.</w:t>
      </w:r>
    </w:p>
    <w:p w14:paraId="17DF5354" w14:textId="6524A20A" w:rsidR="000F2E1B" w:rsidRDefault="000F2E1B">
      <w:r>
        <w:br w:type="page"/>
      </w:r>
    </w:p>
    <w:p w14:paraId="666F3D87" w14:textId="77777777" w:rsidR="000F2E1B" w:rsidRPr="000F2E1B" w:rsidRDefault="000F2E1B" w:rsidP="000F2E1B">
      <w:pPr>
        <w:pStyle w:val="Heading1"/>
        <w:rPr>
          <w:rFonts w:asciiTheme="minorHAnsi" w:eastAsia="Times New Roman" w:hAnsiTheme="minorHAnsi"/>
          <w:color w:val="auto"/>
          <w:sz w:val="36"/>
          <w:szCs w:val="36"/>
          <w:lang w:val="en-US"/>
        </w:rPr>
      </w:pPr>
      <w:bookmarkStart w:id="8" w:name="_Toc234179984"/>
      <w:r w:rsidRPr="000F2E1B">
        <w:rPr>
          <w:rFonts w:asciiTheme="minorHAnsi" w:eastAsia="Times New Roman" w:hAnsiTheme="minorHAnsi"/>
          <w:color w:val="auto"/>
          <w:sz w:val="36"/>
          <w:szCs w:val="36"/>
          <w:lang w:val="en-US"/>
        </w:rPr>
        <w:lastRenderedPageBreak/>
        <w:t>Reference list</w:t>
      </w:r>
      <w:bookmarkEnd w:id="8"/>
    </w:p>
    <w:p w14:paraId="54985D47"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t xml:space="preserve">Calvert, M.J., Marston, E., Samuels, M., Rivera, S.C., </w:t>
      </w:r>
      <w:proofErr w:type="spellStart"/>
      <w:r w:rsidRPr="00F27267">
        <w:rPr>
          <w:rFonts w:ascii="Times New Roman" w:eastAsia="Times New Roman" w:hAnsi="Times New Roman"/>
          <w:kern w:val="0"/>
          <w:lang w:val="en-US"/>
        </w:rPr>
        <w:t>Torlinska</w:t>
      </w:r>
      <w:proofErr w:type="spellEnd"/>
      <w:r w:rsidRPr="00F27267">
        <w:rPr>
          <w:rFonts w:ascii="Times New Roman" w:eastAsia="Times New Roman" w:hAnsi="Times New Roman"/>
          <w:kern w:val="0"/>
          <w:lang w:val="en-US"/>
        </w:rPr>
        <w:t xml:space="preserve">, B., Oliver, K., Denniston, A.K. and Hoare, S. (2020) ‘Advancing UK regulatory science and innovation in healthcare’, </w:t>
      </w:r>
      <w:r w:rsidRPr="00F27267">
        <w:rPr>
          <w:rFonts w:ascii="Times New Roman" w:eastAsia="Times New Roman" w:hAnsi="Times New Roman"/>
          <w:i/>
          <w:iCs/>
          <w:kern w:val="0"/>
          <w:lang w:val="en-US"/>
        </w:rPr>
        <w:t>Journal of the Royal Society of Medicine</w:t>
      </w:r>
      <w:r w:rsidRPr="00F27267">
        <w:rPr>
          <w:rFonts w:ascii="Times New Roman" w:eastAsia="Times New Roman" w:hAnsi="Times New Roman"/>
          <w:kern w:val="0"/>
          <w:lang w:val="en-US"/>
        </w:rPr>
        <w:t xml:space="preserve">, 114(1), pp. 5–11. Available at: </w:t>
      </w:r>
      <w:hyperlink r:id="rId6" w:history="1">
        <w:r w:rsidRPr="00960C76">
          <w:rPr>
            <w:rStyle w:val="Hyperlink"/>
            <w:rFonts w:ascii="Times New Roman" w:eastAsia="Times New Roman" w:hAnsi="Times New Roman"/>
            <w:kern w:val="0"/>
            <w:lang w:val="en-US"/>
          </w:rPr>
          <w:t>https://doi.org/10.1177/0141076820961776</w:t>
        </w:r>
      </w:hyperlink>
      <w:r>
        <w:rPr>
          <w:rFonts w:ascii="Times New Roman" w:eastAsia="Times New Roman" w:hAnsi="Times New Roman"/>
          <w:kern w:val="0"/>
          <w:lang w:val="en-US"/>
        </w:rPr>
        <w:t xml:space="preserve"> </w:t>
      </w:r>
    </w:p>
    <w:p w14:paraId="743F4295"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proofErr w:type="spellStart"/>
      <w:r w:rsidRPr="00F27267">
        <w:rPr>
          <w:rFonts w:ascii="Times New Roman" w:eastAsia="Times New Roman" w:hAnsi="Times New Roman"/>
          <w:kern w:val="0"/>
          <w:lang w:val="en-US"/>
        </w:rPr>
        <w:t>Chilingerian</w:t>
      </w:r>
      <w:proofErr w:type="spellEnd"/>
      <w:r w:rsidRPr="00F27267">
        <w:rPr>
          <w:rFonts w:ascii="Times New Roman" w:eastAsia="Times New Roman" w:hAnsi="Times New Roman"/>
          <w:kern w:val="0"/>
          <w:lang w:val="en-US"/>
        </w:rPr>
        <w:t xml:space="preserve">, J.A., Chick, S.E. and True, G. (2022) ‘Editorial: The science and art of value in healthcare: Measures, voices and methods’, </w:t>
      </w:r>
      <w:r w:rsidRPr="00F27267">
        <w:rPr>
          <w:rFonts w:ascii="Times New Roman" w:eastAsia="Times New Roman" w:hAnsi="Times New Roman"/>
          <w:i/>
          <w:iCs/>
          <w:kern w:val="0"/>
          <w:lang w:val="en-US"/>
        </w:rPr>
        <w:t>Frontiers in Public Health</w:t>
      </w:r>
      <w:r w:rsidRPr="00F27267">
        <w:rPr>
          <w:rFonts w:ascii="Times New Roman" w:eastAsia="Times New Roman" w:hAnsi="Times New Roman"/>
          <w:kern w:val="0"/>
          <w:lang w:val="en-US"/>
        </w:rPr>
        <w:t xml:space="preserve">, 10. Available at: </w:t>
      </w:r>
      <w:hyperlink r:id="rId7" w:history="1">
        <w:r w:rsidRPr="00960C76">
          <w:rPr>
            <w:rStyle w:val="Hyperlink"/>
            <w:rFonts w:ascii="Times New Roman" w:eastAsia="Times New Roman" w:hAnsi="Times New Roman"/>
            <w:kern w:val="0"/>
            <w:lang w:val="en-US"/>
          </w:rPr>
          <w:t>https://doi.org/10.3389/fpubh.2022.1089091</w:t>
        </w:r>
      </w:hyperlink>
      <w:r>
        <w:rPr>
          <w:rFonts w:ascii="Times New Roman" w:eastAsia="Times New Roman" w:hAnsi="Times New Roman"/>
          <w:kern w:val="0"/>
          <w:lang w:val="en-US"/>
        </w:rPr>
        <w:t xml:space="preserve"> </w:t>
      </w:r>
    </w:p>
    <w:p w14:paraId="39EA4D82"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proofErr w:type="spellStart"/>
      <w:r w:rsidRPr="00F27267">
        <w:rPr>
          <w:rFonts w:ascii="Times New Roman" w:eastAsia="Times New Roman" w:hAnsi="Times New Roman"/>
          <w:kern w:val="0"/>
          <w:lang w:val="en-US"/>
        </w:rPr>
        <w:t>Delbaere</w:t>
      </w:r>
      <w:proofErr w:type="spellEnd"/>
      <w:r w:rsidRPr="00F27267">
        <w:rPr>
          <w:rFonts w:ascii="Times New Roman" w:eastAsia="Times New Roman" w:hAnsi="Times New Roman"/>
          <w:kern w:val="0"/>
          <w:lang w:val="en-US"/>
        </w:rPr>
        <w:t xml:space="preserve">, K., Close, J.C.T., </w:t>
      </w:r>
      <w:proofErr w:type="spellStart"/>
      <w:r w:rsidRPr="00F27267">
        <w:rPr>
          <w:rFonts w:ascii="Times New Roman" w:eastAsia="Times New Roman" w:hAnsi="Times New Roman"/>
          <w:kern w:val="0"/>
          <w:lang w:val="en-US"/>
        </w:rPr>
        <w:t>Brodaty</w:t>
      </w:r>
      <w:proofErr w:type="spellEnd"/>
      <w:r w:rsidRPr="00F27267">
        <w:rPr>
          <w:rFonts w:ascii="Times New Roman" w:eastAsia="Times New Roman" w:hAnsi="Times New Roman"/>
          <w:kern w:val="0"/>
          <w:lang w:val="en-US"/>
        </w:rPr>
        <w:t xml:space="preserve">, H., Sachdev, P. and Lord, S.R. (2010) ‘Determinants of disparities between perceived and physiological risk of falling among elderly people: cohort study’, </w:t>
      </w:r>
      <w:r w:rsidRPr="00F27267">
        <w:rPr>
          <w:rFonts w:ascii="Times New Roman" w:eastAsia="Times New Roman" w:hAnsi="Times New Roman"/>
          <w:i/>
          <w:iCs/>
          <w:kern w:val="0"/>
          <w:lang w:val="en-US"/>
        </w:rPr>
        <w:t>BMJ</w:t>
      </w:r>
      <w:r w:rsidRPr="00F27267">
        <w:rPr>
          <w:rFonts w:ascii="Times New Roman" w:eastAsia="Times New Roman" w:hAnsi="Times New Roman"/>
          <w:kern w:val="0"/>
          <w:lang w:val="en-US"/>
        </w:rPr>
        <w:t xml:space="preserve">, 341(aug18 4), pp. c4165–c4165. Available at: </w:t>
      </w:r>
      <w:hyperlink r:id="rId8" w:history="1">
        <w:r w:rsidRPr="00960C76">
          <w:rPr>
            <w:rStyle w:val="Hyperlink"/>
            <w:rFonts w:ascii="Times New Roman" w:eastAsia="Times New Roman" w:hAnsi="Times New Roman"/>
            <w:kern w:val="0"/>
            <w:lang w:val="en-US"/>
          </w:rPr>
          <w:t>https://doi.org/10.1136/bmj.c4165</w:t>
        </w:r>
      </w:hyperlink>
      <w:r>
        <w:rPr>
          <w:rFonts w:ascii="Times New Roman" w:eastAsia="Times New Roman" w:hAnsi="Times New Roman"/>
          <w:kern w:val="0"/>
          <w:lang w:val="en-US"/>
        </w:rPr>
        <w:t xml:space="preserve"> </w:t>
      </w:r>
    </w:p>
    <w:p w14:paraId="6CAC45F9"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t xml:space="preserve">Emicke, R., Shepherd, A. and Powell, D. (2025) ‘Exploring the Opportunities and Challenges of Healthcare Innovation in UK Higher Education: A Narrative Review’, </w:t>
      </w:r>
      <w:r w:rsidRPr="00F27267">
        <w:rPr>
          <w:rFonts w:ascii="Times New Roman" w:eastAsia="Times New Roman" w:hAnsi="Times New Roman"/>
          <w:i/>
          <w:iCs/>
          <w:kern w:val="0"/>
          <w:lang w:val="en-US"/>
        </w:rPr>
        <w:t>Nursing Reports</w:t>
      </w:r>
      <w:r w:rsidRPr="00F27267">
        <w:rPr>
          <w:rFonts w:ascii="Times New Roman" w:eastAsia="Times New Roman" w:hAnsi="Times New Roman"/>
          <w:kern w:val="0"/>
          <w:lang w:val="en-US"/>
        </w:rPr>
        <w:t xml:space="preserve">, 15(5), pp. 171–171. Available at: </w:t>
      </w:r>
      <w:hyperlink r:id="rId9" w:history="1">
        <w:r w:rsidRPr="00960C76">
          <w:rPr>
            <w:rStyle w:val="Hyperlink"/>
            <w:rFonts w:ascii="Times New Roman" w:eastAsia="Times New Roman" w:hAnsi="Times New Roman"/>
            <w:kern w:val="0"/>
            <w:lang w:val="en-US"/>
          </w:rPr>
          <w:t>https://doi.org/10.3390/nursrep15050171</w:t>
        </w:r>
      </w:hyperlink>
      <w:r>
        <w:rPr>
          <w:rFonts w:ascii="Times New Roman" w:eastAsia="Times New Roman" w:hAnsi="Times New Roman"/>
          <w:kern w:val="0"/>
          <w:lang w:val="en-US"/>
        </w:rPr>
        <w:t xml:space="preserve"> </w:t>
      </w:r>
    </w:p>
    <w:p w14:paraId="280541D1"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t xml:space="preserve">Hall, C.E., Milward, J., </w:t>
      </w:r>
      <w:proofErr w:type="spellStart"/>
      <w:r w:rsidRPr="00F27267">
        <w:rPr>
          <w:rFonts w:ascii="Times New Roman" w:eastAsia="Times New Roman" w:hAnsi="Times New Roman"/>
          <w:kern w:val="0"/>
          <w:lang w:val="en-US"/>
        </w:rPr>
        <w:t>Spoiala</w:t>
      </w:r>
      <w:proofErr w:type="spellEnd"/>
      <w:r w:rsidRPr="00F27267">
        <w:rPr>
          <w:rFonts w:ascii="Times New Roman" w:eastAsia="Times New Roman" w:hAnsi="Times New Roman"/>
          <w:kern w:val="0"/>
          <w:lang w:val="en-US"/>
        </w:rPr>
        <w:t xml:space="preserve">, C., Bhogal, J.K., Weston, D., Potts, H.W.W., Caulfield, T., Toolan, M., Kanga, K., El-Sheikha, S., Fong, K. and Greenberg, N. (2022) ‘The mental health of staff working on intensive care units over the COVID-19 winter surge of 2020 in England: a cross sectional survey’, </w:t>
      </w:r>
      <w:r w:rsidRPr="00F27267">
        <w:rPr>
          <w:rFonts w:ascii="Times New Roman" w:eastAsia="Times New Roman" w:hAnsi="Times New Roman"/>
          <w:i/>
          <w:iCs/>
          <w:kern w:val="0"/>
          <w:lang w:val="en-US"/>
        </w:rPr>
        <w:t xml:space="preserve">British Journal of </w:t>
      </w:r>
      <w:proofErr w:type="spellStart"/>
      <w:r w:rsidRPr="00F27267">
        <w:rPr>
          <w:rFonts w:ascii="Times New Roman" w:eastAsia="Times New Roman" w:hAnsi="Times New Roman"/>
          <w:i/>
          <w:iCs/>
          <w:kern w:val="0"/>
          <w:lang w:val="en-US"/>
        </w:rPr>
        <w:t>Anaesthesia</w:t>
      </w:r>
      <w:proofErr w:type="spellEnd"/>
      <w:r w:rsidRPr="00F27267">
        <w:rPr>
          <w:rFonts w:ascii="Times New Roman" w:eastAsia="Times New Roman" w:hAnsi="Times New Roman"/>
          <w:kern w:val="0"/>
          <w:lang w:val="en-US"/>
        </w:rPr>
        <w:t xml:space="preserve">, 128(6), pp. 971–979. Available at: </w:t>
      </w:r>
      <w:hyperlink r:id="rId10" w:history="1">
        <w:r w:rsidRPr="00960C76">
          <w:rPr>
            <w:rStyle w:val="Hyperlink"/>
            <w:rFonts w:ascii="Times New Roman" w:eastAsia="Times New Roman" w:hAnsi="Times New Roman"/>
            <w:kern w:val="0"/>
            <w:lang w:val="en-US"/>
          </w:rPr>
          <w:t>https://doi.org/10.1016/j.bja.2022.03.016</w:t>
        </w:r>
      </w:hyperlink>
      <w:r>
        <w:rPr>
          <w:rFonts w:ascii="Times New Roman" w:eastAsia="Times New Roman" w:hAnsi="Times New Roman"/>
          <w:kern w:val="0"/>
          <w:lang w:val="en-US"/>
        </w:rPr>
        <w:t xml:space="preserve"> </w:t>
      </w:r>
    </w:p>
    <w:p w14:paraId="6CBAB92D"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t xml:space="preserve">Harrison, R., Fischer, S., </w:t>
      </w:r>
      <w:proofErr w:type="spellStart"/>
      <w:r w:rsidRPr="00F27267">
        <w:rPr>
          <w:rFonts w:ascii="Times New Roman" w:eastAsia="Times New Roman" w:hAnsi="Times New Roman"/>
          <w:kern w:val="0"/>
          <w:lang w:val="en-US"/>
        </w:rPr>
        <w:t>Walpola</w:t>
      </w:r>
      <w:proofErr w:type="spellEnd"/>
      <w:r w:rsidRPr="00F27267">
        <w:rPr>
          <w:rFonts w:ascii="Times New Roman" w:eastAsia="Times New Roman" w:hAnsi="Times New Roman"/>
          <w:kern w:val="0"/>
          <w:lang w:val="en-US"/>
        </w:rPr>
        <w:t xml:space="preserve">, R.L., Chauhan, A., Babalola, T., Mears, S. and Le-Dao, H. (2021) ‘Where Do Models for Change management, Improvement and Implementation meet? a Systematic Review of the Applications of Change Management Models in Healthcare’, </w:t>
      </w:r>
      <w:r w:rsidRPr="00F27267">
        <w:rPr>
          <w:rFonts w:ascii="Times New Roman" w:eastAsia="Times New Roman" w:hAnsi="Times New Roman"/>
          <w:i/>
          <w:iCs/>
          <w:kern w:val="0"/>
          <w:lang w:val="en-US"/>
        </w:rPr>
        <w:t>Journal of Healthcare Leadership</w:t>
      </w:r>
      <w:r w:rsidRPr="00F27267">
        <w:rPr>
          <w:rFonts w:ascii="Times New Roman" w:eastAsia="Times New Roman" w:hAnsi="Times New Roman"/>
          <w:kern w:val="0"/>
          <w:lang w:val="en-US"/>
        </w:rPr>
        <w:t xml:space="preserve">, 13(2), pp. 85–108. Available at: </w:t>
      </w:r>
      <w:hyperlink r:id="rId11" w:history="1">
        <w:r w:rsidRPr="00960C76">
          <w:rPr>
            <w:rStyle w:val="Hyperlink"/>
            <w:rFonts w:ascii="Times New Roman" w:eastAsia="Times New Roman" w:hAnsi="Times New Roman"/>
            <w:kern w:val="0"/>
            <w:lang w:val="en-US"/>
          </w:rPr>
          <w:t>https://doi.org/10.2147/JHL.S289176</w:t>
        </w:r>
      </w:hyperlink>
      <w:r>
        <w:rPr>
          <w:rFonts w:ascii="Times New Roman" w:eastAsia="Times New Roman" w:hAnsi="Times New Roman"/>
          <w:kern w:val="0"/>
          <w:lang w:val="en-US"/>
        </w:rPr>
        <w:t xml:space="preserve"> </w:t>
      </w:r>
    </w:p>
    <w:p w14:paraId="525EF3C6"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t xml:space="preserve">Hastings, B.J. (2025) ‘Guidance for Successful Healthcare transformation: a Systematic Review of Change Management Practices and Outcomes’, </w:t>
      </w:r>
      <w:r w:rsidRPr="00F27267">
        <w:rPr>
          <w:rFonts w:ascii="Times New Roman" w:eastAsia="Times New Roman" w:hAnsi="Times New Roman"/>
          <w:i/>
          <w:iCs/>
          <w:kern w:val="0"/>
          <w:lang w:val="en-US"/>
        </w:rPr>
        <w:t>Australian Journal of Management</w:t>
      </w:r>
      <w:r w:rsidRPr="00F27267">
        <w:rPr>
          <w:rFonts w:ascii="Times New Roman" w:eastAsia="Times New Roman" w:hAnsi="Times New Roman"/>
          <w:kern w:val="0"/>
          <w:lang w:val="en-US"/>
        </w:rPr>
        <w:t xml:space="preserve">, 0(0). Available at: </w:t>
      </w:r>
      <w:hyperlink r:id="rId12" w:history="1">
        <w:r w:rsidRPr="00960C76">
          <w:rPr>
            <w:rStyle w:val="Hyperlink"/>
            <w:rFonts w:ascii="Times New Roman" w:eastAsia="Times New Roman" w:hAnsi="Times New Roman"/>
            <w:kern w:val="0"/>
            <w:lang w:val="en-US"/>
          </w:rPr>
          <w:t>https://doi.org/10.1177/03128962241307347</w:t>
        </w:r>
      </w:hyperlink>
      <w:r>
        <w:rPr>
          <w:rFonts w:ascii="Times New Roman" w:eastAsia="Times New Roman" w:hAnsi="Times New Roman"/>
          <w:kern w:val="0"/>
          <w:lang w:val="en-US"/>
        </w:rPr>
        <w:t xml:space="preserve"> </w:t>
      </w:r>
    </w:p>
    <w:p w14:paraId="1FBAD9A9"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lastRenderedPageBreak/>
        <w:t xml:space="preserve">Jain, V. and Beaney, T. (2025) ‘Shifting to prevention in the NHS’, </w:t>
      </w:r>
      <w:r w:rsidRPr="00F27267">
        <w:rPr>
          <w:rFonts w:ascii="Times New Roman" w:eastAsia="Times New Roman" w:hAnsi="Times New Roman"/>
          <w:i/>
          <w:iCs/>
          <w:kern w:val="0"/>
          <w:lang w:val="en-US"/>
        </w:rPr>
        <w:t>BMJ</w:t>
      </w:r>
      <w:r w:rsidRPr="00F27267">
        <w:rPr>
          <w:rFonts w:ascii="Times New Roman" w:eastAsia="Times New Roman" w:hAnsi="Times New Roman"/>
          <w:kern w:val="0"/>
          <w:lang w:val="en-US"/>
        </w:rPr>
        <w:t xml:space="preserve">, 389, p. r804. Available at: </w:t>
      </w:r>
      <w:hyperlink r:id="rId13" w:history="1">
        <w:r w:rsidRPr="00960C76">
          <w:rPr>
            <w:rStyle w:val="Hyperlink"/>
            <w:rFonts w:ascii="Times New Roman" w:eastAsia="Times New Roman" w:hAnsi="Times New Roman"/>
            <w:kern w:val="0"/>
            <w:lang w:val="en-US"/>
          </w:rPr>
          <w:t>https://doi.org/10.1136/bmj.r804</w:t>
        </w:r>
      </w:hyperlink>
      <w:r>
        <w:rPr>
          <w:rFonts w:ascii="Times New Roman" w:eastAsia="Times New Roman" w:hAnsi="Times New Roman"/>
          <w:kern w:val="0"/>
          <w:lang w:val="en-US"/>
        </w:rPr>
        <w:t xml:space="preserve"> </w:t>
      </w:r>
    </w:p>
    <w:p w14:paraId="5E3CDCFE"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t xml:space="preserve">Li, E., Lounsbury, O., Hasnain, M., </w:t>
      </w:r>
      <w:proofErr w:type="spellStart"/>
      <w:r w:rsidRPr="00F27267">
        <w:rPr>
          <w:rFonts w:ascii="Times New Roman" w:eastAsia="Times New Roman" w:hAnsi="Times New Roman"/>
          <w:kern w:val="0"/>
          <w:lang w:val="en-US"/>
        </w:rPr>
        <w:t>Ashrafian</w:t>
      </w:r>
      <w:proofErr w:type="spellEnd"/>
      <w:r w:rsidRPr="00F27267">
        <w:rPr>
          <w:rFonts w:ascii="Times New Roman" w:eastAsia="Times New Roman" w:hAnsi="Times New Roman"/>
          <w:kern w:val="0"/>
          <w:lang w:val="en-US"/>
        </w:rPr>
        <w:t xml:space="preserve">, H., Darzi, A., Neves, A.L. and Clarke, J. (2025) ‘Physician experiences of electronic health record interoperability and its practical impact on care delivery in the English NHS: a cross-sectional survey study’, </w:t>
      </w:r>
      <w:r w:rsidRPr="00F27267">
        <w:rPr>
          <w:rFonts w:ascii="Times New Roman" w:eastAsia="Times New Roman" w:hAnsi="Times New Roman"/>
          <w:i/>
          <w:iCs/>
          <w:kern w:val="0"/>
          <w:lang w:val="en-US"/>
        </w:rPr>
        <w:t>BMJ Open</w:t>
      </w:r>
      <w:r w:rsidRPr="00F27267">
        <w:rPr>
          <w:rFonts w:ascii="Times New Roman" w:eastAsia="Times New Roman" w:hAnsi="Times New Roman"/>
          <w:kern w:val="0"/>
          <w:lang w:val="en-US"/>
        </w:rPr>
        <w:t xml:space="preserve">, 15(6), p. e096669. Available at: </w:t>
      </w:r>
      <w:hyperlink r:id="rId14" w:history="1">
        <w:r w:rsidRPr="00960C76">
          <w:rPr>
            <w:rStyle w:val="Hyperlink"/>
            <w:rFonts w:ascii="Times New Roman" w:eastAsia="Times New Roman" w:hAnsi="Times New Roman"/>
            <w:kern w:val="0"/>
            <w:lang w:val="en-US"/>
          </w:rPr>
          <w:t>https://doi.org/10.1136/bmjopen-2024-096669</w:t>
        </w:r>
      </w:hyperlink>
      <w:r>
        <w:rPr>
          <w:rFonts w:ascii="Times New Roman" w:eastAsia="Times New Roman" w:hAnsi="Times New Roman"/>
          <w:kern w:val="0"/>
          <w:lang w:val="en-US"/>
        </w:rPr>
        <w:t xml:space="preserve"> </w:t>
      </w:r>
    </w:p>
    <w:p w14:paraId="5FF6E9BE"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t xml:space="preserve">Llewellyn, S., </w:t>
      </w:r>
      <w:proofErr w:type="spellStart"/>
      <w:r w:rsidRPr="00F27267">
        <w:rPr>
          <w:rFonts w:ascii="Times New Roman" w:eastAsia="Times New Roman" w:hAnsi="Times New Roman"/>
          <w:kern w:val="0"/>
          <w:lang w:val="en-US"/>
        </w:rPr>
        <w:t>Begkos</w:t>
      </w:r>
      <w:proofErr w:type="spellEnd"/>
      <w:r w:rsidRPr="00F27267">
        <w:rPr>
          <w:rFonts w:ascii="Times New Roman" w:eastAsia="Times New Roman" w:hAnsi="Times New Roman"/>
          <w:kern w:val="0"/>
          <w:lang w:val="en-US"/>
        </w:rPr>
        <w:t xml:space="preserve">, C., Ellwood, S. and </w:t>
      </w:r>
      <w:proofErr w:type="spellStart"/>
      <w:r w:rsidRPr="00F27267">
        <w:rPr>
          <w:rFonts w:ascii="Times New Roman" w:eastAsia="Times New Roman" w:hAnsi="Times New Roman"/>
          <w:kern w:val="0"/>
          <w:lang w:val="en-US"/>
        </w:rPr>
        <w:t>Mellingwood</w:t>
      </w:r>
      <w:proofErr w:type="spellEnd"/>
      <w:r w:rsidRPr="00F27267">
        <w:rPr>
          <w:rFonts w:ascii="Times New Roman" w:eastAsia="Times New Roman" w:hAnsi="Times New Roman"/>
          <w:kern w:val="0"/>
          <w:lang w:val="en-US"/>
        </w:rPr>
        <w:t xml:space="preserve">, C. (2020) ‘Public value and pricing in English hospitals: Value creation or value extraction?’, </w:t>
      </w:r>
      <w:r w:rsidRPr="00F27267">
        <w:rPr>
          <w:rFonts w:ascii="Times New Roman" w:eastAsia="Times New Roman" w:hAnsi="Times New Roman"/>
          <w:i/>
          <w:iCs/>
          <w:kern w:val="0"/>
          <w:lang w:val="en-US"/>
        </w:rPr>
        <w:t>Critical Perspectives on Accounting</w:t>
      </w:r>
      <w:r w:rsidRPr="00F27267">
        <w:rPr>
          <w:rFonts w:ascii="Times New Roman" w:eastAsia="Times New Roman" w:hAnsi="Times New Roman"/>
          <w:kern w:val="0"/>
          <w:lang w:val="en-US"/>
        </w:rPr>
        <w:t xml:space="preserve">, p. 102247. Available at: </w:t>
      </w:r>
      <w:hyperlink r:id="rId15" w:history="1">
        <w:r w:rsidRPr="00960C76">
          <w:rPr>
            <w:rStyle w:val="Hyperlink"/>
            <w:rFonts w:ascii="Times New Roman" w:eastAsia="Times New Roman" w:hAnsi="Times New Roman"/>
            <w:kern w:val="0"/>
            <w:lang w:val="en-US"/>
          </w:rPr>
          <w:t>https://doi.org/10.1016/j.cpa.2020.102247</w:t>
        </w:r>
      </w:hyperlink>
      <w:r>
        <w:rPr>
          <w:rFonts w:ascii="Times New Roman" w:eastAsia="Times New Roman" w:hAnsi="Times New Roman"/>
          <w:kern w:val="0"/>
          <w:lang w:val="en-US"/>
        </w:rPr>
        <w:t xml:space="preserve"> </w:t>
      </w:r>
    </w:p>
    <w:p w14:paraId="1E720653"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t xml:space="preserve">NHS (2025) </w:t>
      </w:r>
      <w:r w:rsidRPr="00F27267">
        <w:rPr>
          <w:rFonts w:ascii="Times New Roman" w:eastAsia="Times New Roman" w:hAnsi="Times New Roman"/>
          <w:i/>
          <w:iCs/>
          <w:kern w:val="0"/>
          <w:lang w:val="en-US"/>
        </w:rPr>
        <w:t>The new NHS Leadership and Management Framework</w:t>
      </w:r>
      <w:r w:rsidRPr="00F27267">
        <w:rPr>
          <w:rFonts w:ascii="Times New Roman" w:eastAsia="Times New Roman" w:hAnsi="Times New Roman"/>
          <w:kern w:val="0"/>
          <w:lang w:val="en-US"/>
        </w:rPr>
        <w:t xml:space="preserve">. Available at: </w:t>
      </w:r>
      <w:hyperlink r:id="rId16" w:history="1">
        <w:r w:rsidRPr="00960C76">
          <w:rPr>
            <w:rStyle w:val="Hyperlink"/>
            <w:rFonts w:ascii="Times New Roman" w:eastAsia="Times New Roman" w:hAnsi="Times New Roman"/>
            <w:kern w:val="0"/>
            <w:lang w:val="en-US"/>
          </w:rPr>
          <w:t>https://www.nhsemployers.org/system/files/2025-08/Q%26A%20-%20The%20new%20NHS%20Leadership%20and%20Management%20Framework.pdf</w:t>
        </w:r>
      </w:hyperlink>
      <w:r>
        <w:rPr>
          <w:rFonts w:ascii="Times New Roman" w:eastAsia="Times New Roman" w:hAnsi="Times New Roman"/>
          <w:kern w:val="0"/>
          <w:lang w:val="en-US"/>
        </w:rPr>
        <w:t xml:space="preserve"> </w:t>
      </w:r>
    </w:p>
    <w:p w14:paraId="17697200"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t xml:space="preserve">Ridgway, V., </w:t>
      </w:r>
      <w:proofErr w:type="spellStart"/>
      <w:r w:rsidRPr="00F27267">
        <w:rPr>
          <w:rFonts w:ascii="Times New Roman" w:eastAsia="Times New Roman" w:hAnsi="Times New Roman"/>
          <w:kern w:val="0"/>
          <w:lang w:val="en-US"/>
        </w:rPr>
        <w:t>Skyrme</w:t>
      </w:r>
      <w:proofErr w:type="spellEnd"/>
      <w:r w:rsidRPr="00F27267">
        <w:rPr>
          <w:rFonts w:ascii="Times New Roman" w:eastAsia="Times New Roman" w:hAnsi="Times New Roman"/>
          <w:kern w:val="0"/>
          <w:lang w:val="en-US"/>
        </w:rPr>
        <w:t>, S., Henshaw, R., Blain, J., Devine, J., Mitchell, D., ... and McHale, R. B. (2025). Creative Health a joke or valuable learning experience; A mixed methods study. </w:t>
      </w:r>
      <w:r w:rsidRPr="00F27267">
        <w:rPr>
          <w:rFonts w:ascii="Times New Roman" w:eastAsia="Times New Roman" w:hAnsi="Times New Roman"/>
          <w:i/>
          <w:iCs/>
          <w:kern w:val="0"/>
          <w:lang w:val="en-US"/>
        </w:rPr>
        <w:t>Nurse Education Today</w:t>
      </w:r>
      <w:r w:rsidRPr="00F27267">
        <w:rPr>
          <w:rFonts w:ascii="Times New Roman" w:eastAsia="Times New Roman" w:hAnsi="Times New Roman"/>
          <w:kern w:val="0"/>
          <w:lang w:val="en-US"/>
        </w:rPr>
        <w:t>, </w:t>
      </w:r>
      <w:r w:rsidRPr="00F27267">
        <w:rPr>
          <w:rFonts w:ascii="Times New Roman" w:eastAsia="Times New Roman" w:hAnsi="Times New Roman"/>
          <w:i/>
          <w:iCs/>
          <w:kern w:val="0"/>
          <w:lang w:val="en-US"/>
        </w:rPr>
        <w:t>148</w:t>
      </w:r>
      <w:r w:rsidRPr="00F27267">
        <w:rPr>
          <w:rFonts w:ascii="Times New Roman" w:eastAsia="Times New Roman" w:hAnsi="Times New Roman"/>
          <w:kern w:val="0"/>
          <w:lang w:val="en-US"/>
        </w:rPr>
        <w:t xml:space="preserve">, 106628. </w:t>
      </w:r>
      <w:hyperlink r:id="rId17" w:history="1">
        <w:r w:rsidRPr="00960C76">
          <w:rPr>
            <w:rStyle w:val="Hyperlink"/>
            <w:rFonts w:ascii="Times New Roman" w:eastAsia="Times New Roman" w:hAnsi="Times New Roman"/>
            <w:kern w:val="0"/>
            <w:lang w:val="en-US"/>
          </w:rPr>
          <w:t>https://www.sciencedirect.com/science/article/pii/S0260691725000632</w:t>
        </w:r>
      </w:hyperlink>
      <w:r>
        <w:rPr>
          <w:rFonts w:ascii="Times New Roman" w:eastAsia="Times New Roman" w:hAnsi="Times New Roman"/>
          <w:kern w:val="0"/>
          <w:lang w:val="en-US"/>
        </w:rPr>
        <w:t xml:space="preserve"> </w:t>
      </w:r>
    </w:p>
    <w:p w14:paraId="4347274B"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t xml:space="preserve">Salyers, M.P., </w:t>
      </w:r>
      <w:proofErr w:type="spellStart"/>
      <w:r w:rsidRPr="00F27267">
        <w:rPr>
          <w:rFonts w:ascii="Times New Roman" w:eastAsia="Times New Roman" w:hAnsi="Times New Roman"/>
          <w:kern w:val="0"/>
          <w:lang w:val="en-US"/>
        </w:rPr>
        <w:t>Bonfils</w:t>
      </w:r>
      <w:proofErr w:type="spellEnd"/>
      <w:r w:rsidRPr="00F27267">
        <w:rPr>
          <w:rFonts w:ascii="Times New Roman" w:eastAsia="Times New Roman" w:hAnsi="Times New Roman"/>
          <w:kern w:val="0"/>
          <w:lang w:val="en-US"/>
        </w:rPr>
        <w:t xml:space="preserve">, K.A., Luther, L., Firmin, R.L., White, D.A., Adams, E.L. and Rollins, A.L. (2016) ‘The Relationship between Professional Burnout and Quality and Safety in healthcare: a meta-analysis’, </w:t>
      </w:r>
      <w:r w:rsidRPr="00F27267">
        <w:rPr>
          <w:rFonts w:ascii="Times New Roman" w:eastAsia="Times New Roman" w:hAnsi="Times New Roman"/>
          <w:i/>
          <w:iCs/>
          <w:kern w:val="0"/>
          <w:lang w:val="en-US"/>
        </w:rPr>
        <w:t>Journal of General Internal Medicine</w:t>
      </w:r>
      <w:r w:rsidRPr="00F27267">
        <w:rPr>
          <w:rFonts w:ascii="Times New Roman" w:eastAsia="Times New Roman" w:hAnsi="Times New Roman"/>
          <w:kern w:val="0"/>
          <w:lang w:val="en-US"/>
        </w:rPr>
        <w:t xml:space="preserve">, 32(4), pp. 475–482. Available at: </w:t>
      </w:r>
      <w:hyperlink r:id="rId18" w:history="1">
        <w:r w:rsidRPr="00960C76">
          <w:rPr>
            <w:rStyle w:val="Hyperlink"/>
            <w:rFonts w:ascii="Times New Roman" w:eastAsia="Times New Roman" w:hAnsi="Times New Roman"/>
            <w:kern w:val="0"/>
            <w:lang w:val="en-US"/>
          </w:rPr>
          <w:t>https://doi.org/10.1007/s11606-016-3886-9</w:t>
        </w:r>
      </w:hyperlink>
      <w:r>
        <w:rPr>
          <w:rFonts w:ascii="Times New Roman" w:eastAsia="Times New Roman" w:hAnsi="Times New Roman"/>
          <w:kern w:val="0"/>
          <w:lang w:val="en-US"/>
        </w:rPr>
        <w:t xml:space="preserve"> </w:t>
      </w:r>
    </w:p>
    <w:p w14:paraId="1BBB320E"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t xml:space="preserve">Tegegne, M.D., </w:t>
      </w:r>
      <w:proofErr w:type="spellStart"/>
      <w:r w:rsidRPr="00F27267">
        <w:rPr>
          <w:rFonts w:ascii="Times New Roman" w:eastAsia="Times New Roman" w:hAnsi="Times New Roman"/>
          <w:kern w:val="0"/>
          <w:lang w:val="en-US"/>
        </w:rPr>
        <w:t>Niakan</w:t>
      </w:r>
      <w:proofErr w:type="spellEnd"/>
      <w:r w:rsidRPr="00F27267">
        <w:rPr>
          <w:rFonts w:ascii="Times New Roman" w:eastAsia="Times New Roman" w:hAnsi="Times New Roman"/>
          <w:kern w:val="0"/>
          <w:lang w:val="en-US"/>
        </w:rPr>
        <w:t xml:space="preserve"> </w:t>
      </w:r>
      <w:proofErr w:type="spellStart"/>
      <w:r w:rsidRPr="00F27267">
        <w:rPr>
          <w:rFonts w:ascii="Times New Roman" w:eastAsia="Times New Roman" w:hAnsi="Times New Roman"/>
          <w:kern w:val="0"/>
          <w:lang w:val="en-US"/>
        </w:rPr>
        <w:t>Kalhori</w:t>
      </w:r>
      <w:proofErr w:type="spellEnd"/>
      <w:r w:rsidRPr="00F27267">
        <w:rPr>
          <w:rFonts w:ascii="Times New Roman" w:eastAsia="Times New Roman" w:hAnsi="Times New Roman"/>
          <w:kern w:val="0"/>
          <w:lang w:val="en-US"/>
        </w:rPr>
        <w:t xml:space="preserve">, S.R., Haas, P., Sobotta, V.M., Warnecke, J. and </w:t>
      </w:r>
      <w:proofErr w:type="spellStart"/>
      <w:r w:rsidRPr="00F27267">
        <w:rPr>
          <w:rFonts w:ascii="Times New Roman" w:eastAsia="Times New Roman" w:hAnsi="Times New Roman"/>
          <w:kern w:val="0"/>
          <w:lang w:val="en-US"/>
        </w:rPr>
        <w:t>Deserno</w:t>
      </w:r>
      <w:proofErr w:type="spellEnd"/>
      <w:r w:rsidRPr="00F27267">
        <w:rPr>
          <w:rFonts w:ascii="Times New Roman" w:eastAsia="Times New Roman" w:hAnsi="Times New Roman"/>
          <w:kern w:val="0"/>
          <w:lang w:val="en-US"/>
        </w:rPr>
        <w:t xml:space="preserve">, T.M. (2026) ‘Wearable Devices for Remote Monitoring of Chronic Diseases: Systematic Review’, </w:t>
      </w:r>
      <w:r w:rsidRPr="00F27267">
        <w:rPr>
          <w:rFonts w:ascii="Times New Roman" w:eastAsia="Times New Roman" w:hAnsi="Times New Roman"/>
          <w:i/>
          <w:iCs/>
          <w:kern w:val="0"/>
          <w:lang w:val="en-US"/>
        </w:rPr>
        <w:t xml:space="preserve">JMIR mHealth and </w:t>
      </w:r>
      <w:proofErr w:type="spellStart"/>
      <w:r w:rsidRPr="00F27267">
        <w:rPr>
          <w:rFonts w:ascii="Times New Roman" w:eastAsia="Times New Roman" w:hAnsi="Times New Roman"/>
          <w:i/>
          <w:iCs/>
          <w:kern w:val="0"/>
          <w:lang w:val="en-US"/>
        </w:rPr>
        <w:t>uHealth</w:t>
      </w:r>
      <w:proofErr w:type="spellEnd"/>
      <w:r w:rsidRPr="00F27267">
        <w:rPr>
          <w:rFonts w:ascii="Times New Roman" w:eastAsia="Times New Roman" w:hAnsi="Times New Roman"/>
          <w:kern w:val="0"/>
          <w:lang w:val="en-US"/>
        </w:rPr>
        <w:t xml:space="preserve">, 14, pp. e74071–e74071. Available at: </w:t>
      </w:r>
      <w:hyperlink r:id="rId19" w:history="1">
        <w:r w:rsidRPr="00960C76">
          <w:rPr>
            <w:rStyle w:val="Hyperlink"/>
            <w:rFonts w:ascii="Times New Roman" w:eastAsia="Times New Roman" w:hAnsi="Times New Roman"/>
            <w:kern w:val="0"/>
            <w:lang w:val="en-US"/>
          </w:rPr>
          <w:t>https://doi.org/10.2196/74071</w:t>
        </w:r>
      </w:hyperlink>
      <w:r>
        <w:rPr>
          <w:rFonts w:ascii="Times New Roman" w:eastAsia="Times New Roman" w:hAnsi="Times New Roman"/>
          <w:kern w:val="0"/>
          <w:lang w:val="en-US"/>
        </w:rPr>
        <w:t xml:space="preserve"> </w:t>
      </w:r>
    </w:p>
    <w:p w14:paraId="777BF356" w14:textId="77777777" w:rsidR="000F2E1B" w:rsidRDefault="000F2E1B" w:rsidP="000F2E1B">
      <w:pPr>
        <w:spacing w:after="240" w:line="360" w:lineRule="auto"/>
        <w:ind w:left="690" w:hanging="690"/>
        <w:rPr>
          <w:rFonts w:ascii="Times New Roman" w:eastAsia="Times New Roman" w:hAnsi="Times New Roman"/>
          <w:kern w:val="0"/>
          <w:lang w:val="en-US"/>
        </w:rPr>
      </w:pPr>
      <w:proofErr w:type="spellStart"/>
      <w:r w:rsidRPr="00F27267">
        <w:rPr>
          <w:rFonts w:ascii="Times New Roman" w:eastAsia="Times New Roman" w:hAnsi="Times New Roman"/>
          <w:kern w:val="0"/>
          <w:lang w:val="en-US"/>
        </w:rPr>
        <w:t>Tsapnidou</w:t>
      </w:r>
      <w:proofErr w:type="spellEnd"/>
      <w:r w:rsidRPr="00F27267">
        <w:rPr>
          <w:rFonts w:ascii="Times New Roman" w:eastAsia="Times New Roman" w:hAnsi="Times New Roman"/>
          <w:kern w:val="0"/>
          <w:lang w:val="en-US"/>
        </w:rPr>
        <w:t xml:space="preserve">, E., Kelesi, M., </w:t>
      </w:r>
      <w:proofErr w:type="spellStart"/>
      <w:r w:rsidRPr="00F27267">
        <w:rPr>
          <w:rFonts w:ascii="Times New Roman" w:eastAsia="Times New Roman" w:hAnsi="Times New Roman"/>
          <w:kern w:val="0"/>
          <w:lang w:val="en-US"/>
        </w:rPr>
        <w:t>Rovithis</w:t>
      </w:r>
      <w:proofErr w:type="spellEnd"/>
      <w:r w:rsidRPr="00F27267">
        <w:rPr>
          <w:rFonts w:ascii="Times New Roman" w:eastAsia="Times New Roman" w:hAnsi="Times New Roman"/>
          <w:kern w:val="0"/>
          <w:lang w:val="en-US"/>
        </w:rPr>
        <w:t xml:space="preserve">, M., Katharakis, G., Gerogianni, G., Dafogianni, C., </w:t>
      </w:r>
      <w:proofErr w:type="spellStart"/>
      <w:r w:rsidRPr="00F27267">
        <w:rPr>
          <w:rFonts w:ascii="Times New Roman" w:eastAsia="Times New Roman" w:hAnsi="Times New Roman"/>
          <w:kern w:val="0"/>
          <w:lang w:val="en-US"/>
        </w:rPr>
        <w:t>Toylia</w:t>
      </w:r>
      <w:proofErr w:type="spellEnd"/>
      <w:r w:rsidRPr="00F27267">
        <w:rPr>
          <w:rFonts w:ascii="Times New Roman" w:eastAsia="Times New Roman" w:hAnsi="Times New Roman"/>
          <w:kern w:val="0"/>
          <w:lang w:val="en-US"/>
        </w:rPr>
        <w:t xml:space="preserve">, G., </w:t>
      </w:r>
      <w:proofErr w:type="spellStart"/>
      <w:r w:rsidRPr="00F27267">
        <w:rPr>
          <w:rFonts w:ascii="Times New Roman" w:eastAsia="Times New Roman" w:hAnsi="Times New Roman"/>
          <w:kern w:val="0"/>
          <w:lang w:val="en-US"/>
        </w:rPr>
        <w:t>Fasoi</w:t>
      </w:r>
      <w:proofErr w:type="spellEnd"/>
      <w:r w:rsidRPr="00F27267">
        <w:rPr>
          <w:rFonts w:ascii="Times New Roman" w:eastAsia="Times New Roman" w:hAnsi="Times New Roman"/>
          <w:kern w:val="0"/>
          <w:lang w:val="en-US"/>
        </w:rPr>
        <w:t>, G. and Stavropoulou, A. (2024) ‘Transformational leadership—</w:t>
      </w:r>
      <w:r w:rsidRPr="00F27267">
        <w:rPr>
          <w:rFonts w:ascii="Times New Roman" w:eastAsia="Times New Roman" w:hAnsi="Times New Roman"/>
          <w:kern w:val="0"/>
          <w:lang w:val="en-US"/>
        </w:rPr>
        <w:lastRenderedPageBreak/>
        <w:t xml:space="preserve">quality achievements and benefits for the healthcare organizations: A scoping review’, </w:t>
      </w:r>
      <w:r w:rsidRPr="00F27267">
        <w:rPr>
          <w:rFonts w:ascii="Times New Roman" w:eastAsia="Times New Roman" w:hAnsi="Times New Roman"/>
          <w:i/>
          <w:iCs/>
          <w:kern w:val="0"/>
          <w:lang w:val="en-US"/>
        </w:rPr>
        <w:t>Hospitals</w:t>
      </w:r>
      <w:r w:rsidRPr="00F27267">
        <w:rPr>
          <w:rFonts w:ascii="Times New Roman" w:eastAsia="Times New Roman" w:hAnsi="Times New Roman"/>
          <w:kern w:val="0"/>
          <w:lang w:val="en-US"/>
        </w:rPr>
        <w:t xml:space="preserve">, 1(1), pp. 87–103. Available at: </w:t>
      </w:r>
      <w:hyperlink r:id="rId20" w:history="1">
        <w:r w:rsidRPr="00960C76">
          <w:rPr>
            <w:rStyle w:val="Hyperlink"/>
            <w:rFonts w:ascii="Times New Roman" w:eastAsia="Times New Roman" w:hAnsi="Times New Roman"/>
            <w:kern w:val="0"/>
            <w:lang w:val="en-US"/>
          </w:rPr>
          <w:t>https://www.mdpi.com/2813-4524/1/1/8</w:t>
        </w:r>
      </w:hyperlink>
      <w:r>
        <w:rPr>
          <w:rFonts w:ascii="Times New Roman" w:eastAsia="Times New Roman" w:hAnsi="Times New Roman"/>
          <w:kern w:val="0"/>
          <w:lang w:val="en-US"/>
        </w:rPr>
        <w:t xml:space="preserve"> </w:t>
      </w:r>
    </w:p>
    <w:p w14:paraId="6933298B" w14:textId="77777777" w:rsidR="000F2E1B" w:rsidRDefault="000F2E1B" w:rsidP="000F2E1B">
      <w:pPr>
        <w:spacing w:after="240" w:line="360" w:lineRule="auto"/>
        <w:ind w:left="690" w:hanging="690"/>
        <w:rPr>
          <w:rFonts w:ascii="Times New Roman" w:eastAsia="Times New Roman" w:hAnsi="Times New Roman"/>
          <w:kern w:val="0"/>
          <w:lang w:val="en-US"/>
        </w:rPr>
      </w:pPr>
      <w:r w:rsidRPr="00F27267">
        <w:rPr>
          <w:rFonts w:ascii="Times New Roman" w:eastAsia="Times New Roman" w:hAnsi="Times New Roman"/>
          <w:kern w:val="0"/>
          <w:lang w:val="en-US"/>
        </w:rPr>
        <w:t xml:space="preserve">Underwood, S. (2024) ‘Redefining leadership within the NHS’ complex adaptive system’, </w:t>
      </w:r>
      <w:r w:rsidRPr="00F27267">
        <w:rPr>
          <w:rFonts w:ascii="Times New Roman" w:eastAsia="Times New Roman" w:hAnsi="Times New Roman"/>
          <w:i/>
          <w:iCs/>
          <w:kern w:val="0"/>
          <w:lang w:val="en-US"/>
        </w:rPr>
        <w:t>Future Healthcare Journal</w:t>
      </w:r>
      <w:r w:rsidRPr="00F27267">
        <w:rPr>
          <w:rFonts w:ascii="Times New Roman" w:eastAsia="Times New Roman" w:hAnsi="Times New Roman"/>
          <w:kern w:val="0"/>
          <w:lang w:val="en-US"/>
        </w:rPr>
        <w:t xml:space="preserve">, 11(1), pp. 1–3. Available at: </w:t>
      </w:r>
      <w:hyperlink r:id="rId21" w:history="1">
        <w:r w:rsidRPr="00960C76">
          <w:rPr>
            <w:rStyle w:val="Hyperlink"/>
            <w:rFonts w:ascii="Times New Roman" w:eastAsia="Times New Roman" w:hAnsi="Times New Roman"/>
            <w:kern w:val="0"/>
            <w:lang w:val="en-US"/>
          </w:rPr>
          <w:t>https://pmc.ncbi.nlm.nih.gov/articles/PMC11025063/</w:t>
        </w:r>
      </w:hyperlink>
    </w:p>
    <w:p w14:paraId="6ACDAAB6" w14:textId="77777777" w:rsidR="000F2E1B" w:rsidRPr="00F27267" w:rsidRDefault="000F2E1B" w:rsidP="000F2E1B">
      <w:pPr>
        <w:spacing w:after="240" w:line="360" w:lineRule="auto"/>
        <w:ind w:left="690" w:hanging="690"/>
        <w:rPr>
          <w:rFonts w:ascii="Times New Roman" w:eastAsia="Times New Roman" w:hAnsi="Times New Roman"/>
          <w:kern w:val="0"/>
          <w:lang w:val="en-US"/>
        </w:rPr>
      </w:pPr>
      <w:proofErr w:type="spellStart"/>
      <w:r w:rsidRPr="00F27267">
        <w:rPr>
          <w:rFonts w:ascii="Times New Roman" w:eastAsia="Times New Roman" w:hAnsi="Times New Roman"/>
          <w:kern w:val="0"/>
          <w:lang w:val="en-US"/>
        </w:rPr>
        <w:t>Ystaas</w:t>
      </w:r>
      <w:proofErr w:type="spellEnd"/>
      <w:r w:rsidRPr="00F27267">
        <w:rPr>
          <w:rFonts w:ascii="Times New Roman" w:eastAsia="Times New Roman" w:hAnsi="Times New Roman"/>
          <w:kern w:val="0"/>
          <w:lang w:val="en-US"/>
        </w:rPr>
        <w:t xml:space="preserve">, L.M.K., </w:t>
      </w:r>
      <w:proofErr w:type="spellStart"/>
      <w:r w:rsidRPr="00F27267">
        <w:rPr>
          <w:rFonts w:ascii="Times New Roman" w:eastAsia="Times New Roman" w:hAnsi="Times New Roman"/>
          <w:kern w:val="0"/>
          <w:lang w:val="en-US"/>
        </w:rPr>
        <w:t>Nikitara</w:t>
      </w:r>
      <w:proofErr w:type="spellEnd"/>
      <w:r w:rsidRPr="00F27267">
        <w:rPr>
          <w:rFonts w:ascii="Times New Roman" w:eastAsia="Times New Roman" w:hAnsi="Times New Roman"/>
          <w:kern w:val="0"/>
          <w:lang w:val="en-US"/>
        </w:rPr>
        <w:t xml:space="preserve">, M., Ghobrial, S., </w:t>
      </w:r>
      <w:proofErr w:type="spellStart"/>
      <w:r w:rsidRPr="00F27267">
        <w:rPr>
          <w:rFonts w:ascii="Times New Roman" w:eastAsia="Times New Roman" w:hAnsi="Times New Roman"/>
          <w:kern w:val="0"/>
          <w:lang w:val="en-US"/>
        </w:rPr>
        <w:t>Latzourakis</w:t>
      </w:r>
      <w:proofErr w:type="spellEnd"/>
      <w:r w:rsidRPr="00F27267">
        <w:rPr>
          <w:rFonts w:ascii="Times New Roman" w:eastAsia="Times New Roman" w:hAnsi="Times New Roman"/>
          <w:kern w:val="0"/>
          <w:lang w:val="en-US"/>
        </w:rPr>
        <w:t xml:space="preserve">, E., Polychronis, G. and Constantinou, C.S. (2023) ‘The impact of transformational leadership in the nursing work environment and patients’ outcomes: A systematic review’, </w:t>
      </w:r>
      <w:r w:rsidRPr="00F27267">
        <w:rPr>
          <w:rFonts w:ascii="Times New Roman" w:eastAsia="Times New Roman" w:hAnsi="Times New Roman"/>
          <w:i/>
          <w:iCs/>
          <w:kern w:val="0"/>
          <w:lang w:val="en-US"/>
        </w:rPr>
        <w:t>Nursing Reports</w:t>
      </w:r>
      <w:r w:rsidRPr="00F27267">
        <w:rPr>
          <w:rFonts w:ascii="Times New Roman" w:eastAsia="Times New Roman" w:hAnsi="Times New Roman"/>
          <w:kern w:val="0"/>
          <w:lang w:val="en-US"/>
        </w:rPr>
        <w:t xml:space="preserve">, 13(3), pp. 1271–1290. Available at: </w:t>
      </w:r>
      <w:hyperlink r:id="rId22" w:history="1">
        <w:r w:rsidRPr="00960C76">
          <w:rPr>
            <w:rStyle w:val="Hyperlink"/>
            <w:rFonts w:ascii="Times New Roman" w:eastAsia="Times New Roman" w:hAnsi="Times New Roman"/>
            <w:kern w:val="0"/>
            <w:lang w:val="en-US"/>
          </w:rPr>
          <w:t>https://doi.org/10.3390/nursrep13030108</w:t>
        </w:r>
      </w:hyperlink>
      <w:r>
        <w:rPr>
          <w:rFonts w:ascii="Times New Roman" w:eastAsia="Times New Roman" w:hAnsi="Times New Roman"/>
          <w:kern w:val="0"/>
          <w:lang w:val="en-US"/>
        </w:rPr>
        <w:t xml:space="preserve"> </w:t>
      </w:r>
    </w:p>
    <w:p w14:paraId="49694455" w14:textId="77777777" w:rsidR="0019601C" w:rsidRDefault="0019601C" w:rsidP="0019601C"/>
    <w:sectPr w:rsidR="001960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1C"/>
    <w:rsid w:val="000037B5"/>
    <w:rsid w:val="000915D3"/>
    <w:rsid w:val="000F2E1B"/>
    <w:rsid w:val="000F3E71"/>
    <w:rsid w:val="00187EAD"/>
    <w:rsid w:val="0019601C"/>
    <w:rsid w:val="00263A37"/>
    <w:rsid w:val="00377195"/>
    <w:rsid w:val="003B1431"/>
    <w:rsid w:val="003E74FB"/>
    <w:rsid w:val="00492F65"/>
    <w:rsid w:val="004E6BB7"/>
    <w:rsid w:val="006240BC"/>
    <w:rsid w:val="00694BA2"/>
    <w:rsid w:val="008804C0"/>
    <w:rsid w:val="00893A1C"/>
    <w:rsid w:val="008D0BDF"/>
    <w:rsid w:val="009117E3"/>
    <w:rsid w:val="00914622"/>
    <w:rsid w:val="00987AF8"/>
    <w:rsid w:val="00A0078B"/>
    <w:rsid w:val="00CA192B"/>
    <w:rsid w:val="00CB44A5"/>
    <w:rsid w:val="00E30E5A"/>
    <w:rsid w:val="00E638FD"/>
    <w:rsid w:val="00ED2597"/>
    <w:rsid w:val="00F43F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6B020A"/>
  <w15:chartTrackingRefBased/>
  <w15:docId w15:val="{7EC55566-9554-4F5D-BB4B-0E27088EA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1C"/>
    <w:rPr>
      <w:rFonts w:ascii="Aptos" w:eastAsia="Aptos" w:hAnsi="Aptos" w:cs="Times New Roman"/>
      <w14:ligatures w14:val="none"/>
    </w:rPr>
  </w:style>
  <w:style w:type="paragraph" w:styleId="Heading1">
    <w:name w:val="heading 1"/>
    <w:basedOn w:val="Normal"/>
    <w:next w:val="Normal"/>
    <w:link w:val="Heading1Char"/>
    <w:uiPriority w:val="9"/>
    <w:qFormat/>
    <w:rsid w:val="001960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1C"/>
    <w:rPr>
      <w:rFonts w:eastAsiaTheme="majorEastAsia" w:cstheme="majorBidi"/>
      <w:color w:val="272727" w:themeColor="text1" w:themeTint="D8"/>
    </w:rPr>
  </w:style>
  <w:style w:type="paragraph" w:styleId="Title">
    <w:name w:val="Title"/>
    <w:basedOn w:val="Normal"/>
    <w:next w:val="Normal"/>
    <w:link w:val="TitleChar"/>
    <w:uiPriority w:val="10"/>
    <w:qFormat/>
    <w:rsid w:val="00196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1C"/>
    <w:pPr>
      <w:spacing w:before="160"/>
      <w:jc w:val="center"/>
    </w:pPr>
    <w:rPr>
      <w:i/>
      <w:iCs/>
      <w:color w:val="404040" w:themeColor="text1" w:themeTint="BF"/>
    </w:rPr>
  </w:style>
  <w:style w:type="character" w:customStyle="1" w:styleId="QuoteChar">
    <w:name w:val="Quote Char"/>
    <w:basedOn w:val="DefaultParagraphFont"/>
    <w:link w:val="Quote"/>
    <w:uiPriority w:val="29"/>
    <w:rsid w:val="0019601C"/>
    <w:rPr>
      <w:i/>
      <w:iCs/>
      <w:color w:val="404040" w:themeColor="text1" w:themeTint="BF"/>
    </w:rPr>
  </w:style>
  <w:style w:type="paragraph" w:styleId="ListParagraph">
    <w:name w:val="List Paragraph"/>
    <w:basedOn w:val="Normal"/>
    <w:uiPriority w:val="34"/>
    <w:qFormat/>
    <w:rsid w:val="0019601C"/>
    <w:pPr>
      <w:ind w:left="720"/>
      <w:contextualSpacing/>
    </w:pPr>
  </w:style>
  <w:style w:type="character" w:styleId="IntenseEmphasis">
    <w:name w:val="Intense Emphasis"/>
    <w:basedOn w:val="DefaultParagraphFont"/>
    <w:uiPriority w:val="21"/>
    <w:qFormat/>
    <w:rsid w:val="0019601C"/>
    <w:rPr>
      <w:i/>
      <w:iCs/>
      <w:color w:val="0F4761" w:themeColor="accent1" w:themeShade="BF"/>
    </w:rPr>
  </w:style>
  <w:style w:type="paragraph" w:styleId="IntenseQuote">
    <w:name w:val="Intense Quote"/>
    <w:basedOn w:val="Normal"/>
    <w:next w:val="Normal"/>
    <w:link w:val="IntenseQuoteChar"/>
    <w:uiPriority w:val="30"/>
    <w:qFormat/>
    <w:rsid w:val="001960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1C"/>
    <w:rPr>
      <w:i/>
      <w:iCs/>
      <w:color w:val="0F4761" w:themeColor="accent1" w:themeShade="BF"/>
    </w:rPr>
  </w:style>
  <w:style w:type="character" w:styleId="IntenseReference">
    <w:name w:val="Intense Reference"/>
    <w:basedOn w:val="DefaultParagraphFont"/>
    <w:uiPriority w:val="32"/>
    <w:qFormat/>
    <w:rsid w:val="0019601C"/>
    <w:rPr>
      <w:b/>
      <w:bCs/>
      <w:smallCaps/>
      <w:color w:val="0F4761" w:themeColor="accent1" w:themeShade="BF"/>
      <w:spacing w:val="5"/>
    </w:rPr>
  </w:style>
  <w:style w:type="character" w:styleId="Strong">
    <w:name w:val="Strong"/>
    <w:uiPriority w:val="22"/>
    <w:qFormat/>
    <w:rsid w:val="0019601C"/>
    <w:rPr>
      <w:b/>
      <w:bCs/>
    </w:rPr>
  </w:style>
  <w:style w:type="character" w:styleId="Hyperlink">
    <w:name w:val="Hyperlink"/>
    <w:basedOn w:val="DefaultParagraphFont"/>
    <w:uiPriority w:val="99"/>
    <w:unhideWhenUsed/>
    <w:rsid w:val="0019601C"/>
    <w:rPr>
      <w:color w:val="467886" w:themeColor="hyperlink"/>
      <w:u w:val="single"/>
    </w:rPr>
  </w:style>
  <w:style w:type="paragraph" w:styleId="TOCHeading">
    <w:name w:val="TOC Heading"/>
    <w:basedOn w:val="Heading1"/>
    <w:next w:val="Normal"/>
    <w:uiPriority w:val="39"/>
    <w:unhideWhenUsed/>
    <w:qFormat/>
    <w:rsid w:val="0019601C"/>
    <w:pPr>
      <w:spacing w:before="240" w:after="0" w:line="259" w:lineRule="auto"/>
      <w:outlineLvl w:val="9"/>
    </w:pPr>
    <w:rPr>
      <w:b/>
      <w:color w:val="000000" w:themeColor="text1"/>
      <w:kern w:val="0"/>
      <w:sz w:val="32"/>
      <w:szCs w:val="32"/>
      <w:lang w:val="en-US"/>
    </w:rPr>
  </w:style>
  <w:style w:type="paragraph" w:styleId="TOC1">
    <w:name w:val="toc 1"/>
    <w:basedOn w:val="Normal"/>
    <w:next w:val="Normal"/>
    <w:autoRedefine/>
    <w:uiPriority w:val="39"/>
    <w:unhideWhenUsed/>
    <w:rsid w:val="0019601C"/>
    <w:pPr>
      <w:spacing w:after="100"/>
    </w:pPr>
  </w:style>
  <w:style w:type="table" w:styleId="TableGrid">
    <w:name w:val="Table Grid"/>
    <w:basedOn w:val="TableNormal"/>
    <w:uiPriority w:val="39"/>
    <w:rsid w:val="00196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9601C"/>
    <w:pPr>
      <w:spacing w:after="0" w:line="240" w:lineRule="auto"/>
    </w:pPr>
    <w:rPr>
      <w:rFonts w:ascii="Aptos" w:eastAsia="Aptos" w:hAnsi="Aptos"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c4165" TargetMode="External"/><Relationship Id="rId13" Type="http://schemas.openxmlformats.org/officeDocument/2006/relationships/hyperlink" Target="https://doi.org/10.1136/bmj.r804" TargetMode="External"/><Relationship Id="rId18" Type="http://schemas.openxmlformats.org/officeDocument/2006/relationships/hyperlink" Target="https://doi.org/10.1007/s11606-016-3886-9" TargetMode="External"/><Relationship Id="rId3" Type="http://schemas.openxmlformats.org/officeDocument/2006/relationships/webSettings" Target="webSettings.xml"/><Relationship Id="rId21" Type="http://schemas.openxmlformats.org/officeDocument/2006/relationships/hyperlink" Target="https://pmc.ncbi.nlm.nih.gov/articles/PMC11025063/" TargetMode="External"/><Relationship Id="rId7" Type="http://schemas.openxmlformats.org/officeDocument/2006/relationships/hyperlink" Target="https://doi.org/10.3389/fpubh.2022.1089091" TargetMode="External"/><Relationship Id="rId12" Type="http://schemas.openxmlformats.org/officeDocument/2006/relationships/hyperlink" Target="https://doi.org/10.1177/03128962241307347" TargetMode="External"/><Relationship Id="rId17" Type="http://schemas.openxmlformats.org/officeDocument/2006/relationships/hyperlink" Target="https://www.sciencedirect.com/science/article/pii/S0260691725000632" TargetMode="External"/><Relationship Id="rId2" Type="http://schemas.openxmlformats.org/officeDocument/2006/relationships/settings" Target="settings.xml"/><Relationship Id="rId16" Type="http://schemas.openxmlformats.org/officeDocument/2006/relationships/hyperlink" Target="https://www.nhsemployers.org/system/files/2025-08/Q%26A%20-%20The%20new%20NHS%20Leadership%20and%20Management%20Framework.pdf" TargetMode="External"/><Relationship Id="rId20" Type="http://schemas.openxmlformats.org/officeDocument/2006/relationships/hyperlink" Target="https://www.mdpi.com/2813-4524/1/1/8" TargetMode="External"/><Relationship Id="rId1" Type="http://schemas.openxmlformats.org/officeDocument/2006/relationships/styles" Target="styles.xml"/><Relationship Id="rId6" Type="http://schemas.openxmlformats.org/officeDocument/2006/relationships/hyperlink" Target="https://doi.org/10.1177/0141076820961776" TargetMode="External"/><Relationship Id="rId11" Type="http://schemas.openxmlformats.org/officeDocument/2006/relationships/hyperlink" Target="https://doi.org/10.2147/JHL.S289176" TargetMode="External"/><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doi.org/10.1016/j.cpa.2020.102247" TargetMode="External"/><Relationship Id="rId23" Type="http://schemas.openxmlformats.org/officeDocument/2006/relationships/fontTable" Target="fontTable.xml"/><Relationship Id="rId10" Type="http://schemas.openxmlformats.org/officeDocument/2006/relationships/hyperlink" Target="https://doi.org/10.1016/j.bja.2022.03.016" TargetMode="External"/><Relationship Id="rId19" Type="http://schemas.openxmlformats.org/officeDocument/2006/relationships/hyperlink" Target="https://doi.org/10.2196/74071" TargetMode="External"/><Relationship Id="rId4" Type="http://schemas.openxmlformats.org/officeDocument/2006/relationships/image" Target="media/image1.jpeg"/><Relationship Id="rId9" Type="http://schemas.openxmlformats.org/officeDocument/2006/relationships/hyperlink" Target="https://doi.org/10.3390/nursrep15050171" TargetMode="External"/><Relationship Id="rId14" Type="http://schemas.openxmlformats.org/officeDocument/2006/relationships/hyperlink" Target="https://doi.org/10.1136/bmjopen-2024-096669" TargetMode="External"/><Relationship Id="rId22" Type="http://schemas.openxmlformats.org/officeDocument/2006/relationships/hyperlink" Target="https://doi.org/10.3390/nursrep13030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3301</Words>
  <Characters>18817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Oke</dc:creator>
  <cp:keywords/>
  <dc:description/>
  <cp:lastModifiedBy>Gloria Oke</cp:lastModifiedBy>
  <cp:revision>16</cp:revision>
  <dcterms:created xsi:type="dcterms:W3CDTF">2026-07-05T20:20:00Z</dcterms:created>
  <dcterms:modified xsi:type="dcterms:W3CDTF">2026-07-22T15:25:00Z</dcterms:modified>
</cp:coreProperties>
</file>