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AEBE9" w14:textId="77777777" w:rsidR="0046772C" w:rsidRDefault="0046772C" w:rsidP="0046772C">
      <w:pPr>
        <w:tabs>
          <w:tab w:val="left" w:pos="1515"/>
        </w:tabs>
        <w:spacing w:after="0" w:line="480" w:lineRule="auto"/>
        <w:jc w:val="center"/>
        <w:rPr>
          <w:rFonts w:ascii="Times New Roman" w:hAnsi="Times New Roman" w:cs="Times New Roman"/>
          <w:sz w:val="24"/>
          <w:szCs w:val="24"/>
        </w:rPr>
      </w:pPr>
    </w:p>
    <w:p w14:paraId="64792FC5" w14:textId="77777777" w:rsidR="0046772C" w:rsidRPr="00DE2456" w:rsidRDefault="0046772C" w:rsidP="0046772C">
      <w:pPr>
        <w:tabs>
          <w:tab w:val="left" w:pos="1515"/>
        </w:tabs>
        <w:spacing w:after="0" w:line="480" w:lineRule="auto"/>
        <w:jc w:val="center"/>
        <w:rPr>
          <w:rFonts w:ascii="Algerian" w:hAnsi="Algerian" w:cs="Times New Roman"/>
          <w:color w:val="C00000"/>
          <w:sz w:val="32"/>
          <w:szCs w:val="32"/>
        </w:rPr>
      </w:pPr>
    </w:p>
    <w:p w14:paraId="182A8896" w14:textId="54307A2E" w:rsidR="0046772C" w:rsidRDefault="008723E5" w:rsidP="004A7DE9">
      <w:pPr>
        <w:pStyle w:val="TOCHeading"/>
        <w:rPr>
          <w:rFonts w:ascii="Algerian" w:hAnsi="Algerian"/>
          <w:b/>
          <w:bCs/>
          <w:i/>
          <w:iCs/>
          <w:outline/>
          <w:color w:val="4472C4" w:themeColor="accent5"/>
          <w:sz w:val="72"/>
          <w:szCs w:val="72"/>
          <w:u w:val="single"/>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A425B">
        <w:rPr>
          <w:rFonts w:ascii="Algerian" w:hAnsi="Algerian"/>
          <w:b/>
          <w:bCs/>
          <w:i/>
          <w:iCs/>
          <w:outline/>
          <w:color w:val="4472C4" w:themeColor="accent5"/>
          <w:sz w:val="72"/>
          <w:szCs w:val="72"/>
          <w:u w:val="single"/>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ASSESMENT 1: </w:t>
      </w:r>
      <w:r w:rsidR="0046772C" w:rsidRPr="004A425B">
        <w:rPr>
          <w:rFonts w:ascii="Algerian" w:hAnsi="Algerian"/>
          <w:b/>
          <w:bCs/>
          <w:i/>
          <w:iCs/>
          <w:outline/>
          <w:color w:val="4472C4" w:themeColor="accent5"/>
          <w:sz w:val="72"/>
          <w:szCs w:val="72"/>
          <w:u w:val="single"/>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COMMUNITY </w:t>
      </w:r>
      <w:r w:rsidR="004A425B">
        <w:rPr>
          <w:rFonts w:ascii="Algerian" w:hAnsi="Algerian"/>
          <w:b/>
          <w:bCs/>
          <w:i/>
          <w:iCs/>
          <w:outline/>
          <w:color w:val="4472C4" w:themeColor="accent5"/>
          <w:sz w:val="72"/>
          <w:szCs w:val="72"/>
          <w:u w:val="single"/>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sidR="0046772C" w:rsidRPr="004A425B">
        <w:rPr>
          <w:rFonts w:ascii="Algerian" w:hAnsi="Algerian"/>
          <w:b/>
          <w:bCs/>
          <w:i/>
          <w:iCs/>
          <w:outline/>
          <w:color w:val="4472C4" w:themeColor="accent5"/>
          <w:sz w:val="72"/>
          <w:szCs w:val="72"/>
          <w:u w:val="single"/>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ENGAGEMENT</w:t>
      </w:r>
    </w:p>
    <w:p w14:paraId="62CC1B90" w14:textId="4B4A4FE2" w:rsidR="004A425B" w:rsidRDefault="004A425B" w:rsidP="004A425B"/>
    <w:p w14:paraId="7CE77281" w14:textId="77777777" w:rsidR="004A425B" w:rsidRPr="004A425B" w:rsidRDefault="004A425B" w:rsidP="004A425B"/>
    <w:p w14:paraId="63810BF5" w14:textId="68B4AB0A" w:rsidR="00F83709" w:rsidRDefault="00F83709" w:rsidP="00F83709"/>
    <w:p w14:paraId="76129431" w14:textId="77777777" w:rsidR="00F83709" w:rsidRPr="00F83709" w:rsidRDefault="00F83709" w:rsidP="00F83709"/>
    <w:p w14:paraId="0C03358E" w14:textId="29240613" w:rsidR="0046772C" w:rsidRPr="000417E3" w:rsidRDefault="008723E5" w:rsidP="008723E5">
      <w:pPr>
        <w:tabs>
          <w:tab w:val="left" w:pos="1515"/>
        </w:tabs>
        <w:spacing w:after="0" w:line="480" w:lineRule="auto"/>
        <w:jc w:val="center"/>
        <w:rPr>
          <w:rFonts w:ascii="Algerian" w:hAnsi="Algerian" w:cs="Times New Roman"/>
          <w:color w:val="C00000"/>
          <w:sz w:val="36"/>
          <w:szCs w:val="36"/>
          <w14:glow w14:rad="63500">
            <w14:schemeClr w14:val="accent3">
              <w14:alpha w14:val="60000"/>
              <w14:satMod w14:val="175000"/>
            </w14:schemeClr>
          </w14:glow>
        </w:rPr>
      </w:pPr>
      <w:r w:rsidRPr="000417E3">
        <w:rPr>
          <w:rFonts w:ascii="Algerian" w:hAnsi="Algerian" w:cs="Times New Roman"/>
          <w:color w:val="C00000"/>
          <w:sz w:val="36"/>
          <w:szCs w:val="36"/>
          <w14:glow w14:rad="63500">
            <w14:schemeClr w14:val="accent3">
              <w14:alpha w14:val="60000"/>
              <w14:satMod w14:val="175000"/>
            </w14:schemeClr>
          </w14:glow>
        </w:rPr>
        <w:t>Course: LCBB4002</w:t>
      </w:r>
    </w:p>
    <w:p w14:paraId="6609C863" w14:textId="5620C429" w:rsidR="008723E5" w:rsidRDefault="008723E5" w:rsidP="008723E5">
      <w:pPr>
        <w:tabs>
          <w:tab w:val="left" w:pos="1515"/>
        </w:tabs>
        <w:spacing w:after="0" w:line="480" w:lineRule="auto"/>
        <w:jc w:val="center"/>
        <w:rPr>
          <w:rFonts w:ascii="Algerian" w:hAnsi="Algerian" w:cs="Times New Roman"/>
          <w:color w:val="C00000"/>
          <w:sz w:val="36"/>
          <w:szCs w:val="36"/>
          <w14:glow w14:rad="63500">
            <w14:schemeClr w14:val="accent3">
              <w14:alpha w14:val="60000"/>
              <w14:satMod w14:val="175000"/>
            </w14:schemeClr>
          </w14:glow>
        </w:rPr>
      </w:pPr>
      <w:r w:rsidRPr="000417E3">
        <w:rPr>
          <w:rFonts w:ascii="Algerian" w:hAnsi="Algerian" w:cs="Times New Roman"/>
          <w:color w:val="C00000"/>
          <w:sz w:val="36"/>
          <w:szCs w:val="36"/>
          <w14:glow w14:rad="63500">
            <w14:schemeClr w14:val="accent3">
              <w14:alpha w14:val="60000"/>
              <w14:satMod w14:val="175000"/>
            </w14:schemeClr>
          </w14:glow>
        </w:rPr>
        <w:t>Student’s name: Bianca Mariana Constandachi</w:t>
      </w:r>
    </w:p>
    <w:p w14:paraId="2FA4F69D" w14:textId="2E06D972" w:rsidR="004A425B" w:rsidRPr="000417E3" w:rsidRDefault="004A425B" w:rsidP="008723E5">
      <w:pPr>
        <w:tabs>
          <w:tab w:val="left" w:pos="1515"/>
        </w:tabs>
        <w:spacing w:after="0" w:line="480" w:lineRule="auto"/>
        <w:jc w:val="center"/>
        <w:rPr>
          <w:rFonts w:ascii="Algerian" w:hAnsi="Algerian" w:cs="Times New Roman"/>
          <w:color w:val="C00000"/>
          <w:sz w:val="36"/>
          <w:szCs w:val="36"/>
          <w14:glow w14:rad="63500">
            <w14:schemeClr w14:val="accent3">
              <w14:alpha w14:val="60000"/>
              <w14:satMod w14:val="175000"/>
            </w14:schemeClr>
          </w14:glow>
        </w:rPr>
      </w:pPr>
      <w:r>
        <w:rPr>
          <w:rFonts w:ascii="Algerian" w:hAnsi="Algerian" w:cs="Times New Roman"/>
          <w:color w:val="C00000"/>
          <w:sz w:val="36"/>
          <w:szCs w:val="36"/>
          <w14:glow w14:rad="63500">
            <w14:schemeClr w14:val="accent3">
              <w14:alpha w14:val="60000"/>
              <w14:satMod w14:val="175000"/>
            </w14:schemeClr>
          </w14:glow>
        </w:rPr>
        <w:t>(2030582)</w:t>
      </w:r>
    </w:p>
    <w:p w14:paraId="073FA398" w14:textId="26A34516" w:rsidR="008723E5" w:rsidRPr="000417E3" w:rsidRDefault="008723E5" w:rsidP="008723E5">
      <w:pPr>
        <w:tabs>
          <w:tab w:val="left" w:pos="1515"/>
        </w:tabs>
        <w:spacing w:after="0" w:line="480" w:lineRule="auto"/>
        <w:jc w:val="center"/>
        <w:rPr>
          <w:rFonts w:ascii="Algerian" w:hAnsi="Algerian" w:cs="Times New Roman"/>
          <w:color w:val="C00000"/>
          <w:sz w:val="36"/>
          <w:szCs w:val="36"/>
          <w14:glow w14:rad="63500">
            <w14:schemeClr w14:val="accent3">
              <w14:alpha w14:val="60000"/>
              <w14:satMod w14:val="175000"/>
            </w14:schemeClr>
          </w14:glow>
        </w:rPr>
      </w:pPr>
      <w:r w:rsidRPr="000417E3">
        <w:rPr>
          <w:rFonts w:ascii="Algerian" w:hAnsi="Algerian" w:cs="Times New Roman"/>
          <w:color w:val="C00000"/>
          <w:sz w:val="36"/>
          <w:szCs w:val="36"/>
          <w14:glow w14:rad="63500">
            <w14:schemeClr w14:val="accent3">
              <w14:alpha w14:val="60000"/>
              <w14:satMod w14:val="175000"/>
            </w14:schemeClr>
          </w14:glow>
        </w:rPr>
        <w:t xml:space="preserve">Professor’s name: Toyin </w:t>
      </w:r>
      <w:proofErr w:type="spellStart"/>
      <w:r w:rsidRPr="000417E3">
        <w:rPr>
          <w:rFonts w:ascii="Algerian" w:hAnsi="Algerian" w:cs="Times New Roman"/>
          <w:color w:val="C00000"/>
          <w:sz w:val="36"/>
          <w:szCs w:val="36"/>
          <w14:glow w14:rad="63500">
            <w14:schemeClr w14:val="accent3">
              <w14:alpha w14:val="60000"/>
              <w14:satMod w14:val="175000"/>
            </w14:schemeClr>
          </w14:glow>
        </w:rPr>
        <w:t>Adisa</w:t>
      </w:r>
      <w:proofErr w:type="spellEnd"/>
    </w:p>
    <w:p w14:paraId="6F47B43F" w14:textId="289863C7" w:rsidR="008723E5" w:rsidRPr="000417E3" w:rsidRDefault="008723E5" w:rsidP="008723E5">
      <w:pPr>
        <w:tabs>
          <w:tab w:val="left" w:pos="1515"/>
        </w:tabs>
        <w:spacing w:after="0" w:line="480" w:lineRule="auto"/>
        <w:jc w:val="center"/>
        <w:rPr>
          <w:rFonts w:ascii="Algerian" w:hAnsi="Algerian" w:cs="Times New Roman"/>
          <w:color w:val="C00000"/>
          <w:sz w:val="40"/>
          <w:szCs w:val="40"/>
          <w14:glow w14:rad="63500">
            <w14:schemeClr w14:val="accent3">
              <w14:alpha w14:val="60000"/>
              <w14:satMod w14:val="175000"/>
            </w14:schemeClr>
          </w14:glow>
        </w:rPr>
      </w:pPr>
      <w:r w:rsidRPr="000417E3">
        <w:rPr>
          <w:rFonts w:ascii="Algerian" w:hAnsi="Algerian" w:cs="Times New Roman"/>
          <w:color w:val="C00000"/>
          <w:sz w:val="36"/>
          <w:szCs w:val="36"/>
          <w14:glow w14:rad="63500">
            <w14:schemeClr w14:val="accent3">
              <w14:alpha w14:val="60000"/>
              <w14:satMod w14:val="175000"/>
            </w14:schemeClr>
          </w14:glow>
        </w:rPr>
        <w:t>University: Trinity</w:t>
      </w:r>
      <w:r w:rsidR="009F4328" w:rsidRPr="000417E3">
        <w:rPr>
          <w:rFonts w:ascii="Algerian" w:hAnsi="Algerian" w:cs="Times New Roman"/>
          <w:color w:val="C00000"/>
          <w:sz w:val="36"/>
          <w:szCs w:val="36"/>
          <w14:glow w14:rad="63500">
            <w14:schemeClr w14:val="accent3">
              <w14:alpha w14:val="60000"/>
              <w14:satMod w14:val="175000"/>
            </w14:schemeClr>
          </w14:glow>
        </w:rPr>
        <w:t xml:space="preserve"> Saint David</w:t>
      </w:r>
    </w:p>
    <w:p w14:paraId="722A3338" w14:textId="77777777" w:rsidR="0046772C" w:rsidRPr="006D2339" w:rsidRDefault="0046772C" w:rsidP="0046772C">
      <w:pPr>
        <w:tabs>
          <w:tab w:val="left" w:pos="1515"/>
        </w:tabs>
        <w:spacing w:after="0" w:line="480" w:lineRule="auto"/>
        <w:rPr>
          <w:rFonts w:ascii="Times New Roman" w:hAnsi="Times New Roman" w:cs="Times New Roman"/>
          <w:i/>
          <w:iCs/>
          <w:sz w:val="24"/>
          <w:szCs w:val="24"/>
        </w:rPr>
      </w:pPr>
    </w:p>
    <w:p w14:paraId="57FBD2BE" w14:textId="77777777" w:rsidR="0046772C" w:rsidRDefault="0046772C">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886684020"/>
        <w:docPartObj>
          <w:docPartGallery w:val="Table of Contents"/>
          <w:docPartUnique/>
        </w:docPartObj>
      </w:sdtPr>
      <w:sdtEndPr>
        <w:rPr>
          <w:rFonts w:eastAsiaTheme="minorEastAsia"/>
          <w:b/>
          <w:bCs/>
          <w:noProof/>
        </w:rPr>
      </w:sdtEndPr>
      <w:sdtContent>
        <w:p w14:paraId="72D0B656" w14:textId="77777777" w:rsidR="00F760A6" w:rsidRDefault="00F760A6" w:rsidP="00F760A6">
          <w:pPr>
            <w:pStyle w:val="TOCHeading"/>
            <w:jc w:val="center"/>
          </w:pPr>
          <w:r>
            <w:t>Contents</w:t>
          </w:r>
        </w:p>
        <w:p w14:paraId="4BEFEFFC" w14:textId="4B5D9342" w:rsidR="00F760A6" w:rsidRPr="00F760A6" w:rsidRDefault="00F760A6" w:rsidP="00F760A6">
          <w:pPr>
            <w:pStyle w:val="TOC1"/>
            <w:rPr>
              <w:rFonts w:ascii="Times New Roman" w:hAnsi="Times New Roman" w:cs="Times New Roman"/>
              <w:noProof/>
              <w:sz w:val="24"/>
              <w:szCs w:val="24"/>
            </w:rPr>
          </w:pPr>
          <w:r>
            <w:rPr>
              <w:rFonts w:ascii="Times New Roman" w:hAnsi="Times New Roman" w:cs="Times New Roman"/>
            </w:rPr>
            <w:fldChar w:fldCharType="begin"/>
          </w:r>
          <w:r w:rsidRPr="00F760A6">
            <w:rPr>
              <w:rFonts w:ascii="Times New Roman" w:hAnsi="Times New Roman" w:cs="Times New Roman"/>
            </w:rPr>
            <w:instrText xml:space="preserve"> TOC \o "1-3" \h \z \u </w:instrText>
          </w:r>
          <w:r>
            <w:rPr>
              <w:rFonts w:ascii="Times New Roman" w:hAnsi="Times New Roman" w:cs="Times New Roman"/>
            </w:rPr>
            <w:fldChar w:fldCharType="separate"/>
          </w:r>
          <w:hyperlink w:anchor="_Toc100769180" w:history="1">
            <w:r w:rsidRPr="00F760A6">
              <w:rPr>
                <w:rStyle w:val="Hyperlink"/>
                <w:rFonts w:ascii="Times New Roman" w:eastAsia="Times New Roman" w:hAnsi="Times New Roman" w:cs="Times New Roman"/>
                <w:noProof/>
                <w:sz w:val="24"/>
                <w:szCs w:val="24"/>
              </w:rPr>
              <w:t>Introduction</w:t>
            </w:r>
            <w:r w:rsidRPr="00F760A6">
              <w:rPr>
                <w:rFonts w:ascii="Times New Roman" w:hAnsi="Times New Roman" w:cs="Times New Roman"/>
                <w:noProof/>
                <w:webHidden/>
                <w:sz w:val="24"/>
                <w:szCs w:val="24"/>
              </w:rPr>
              <w:tab/>
            </w:r>
            <w:r w:rsidRPr="00F760A6">
              <w:rPr>
                <w:rFonts w:ascii="Times New Roman" w:hAnsi="Times New Roman" w:cs="Times New Roman"/>
                <w:noProof/>
                <w:webHidden/>
                <w:sz w:val="24"/>
                <w:szCs w:val="24"/>
              </w:rPr>
              <w:fldChar w:fldCharType="begin"/>
            </w:r>
            <w:r w:rsidRPr="00F760A6">
              <w:rPr>
                <w:rFonts w:ascii="Times New Roman" w:hAnsi="Times New Roman" w:cs="Times New Roman"/>
                <w:noProof/>
                <w:webHidden/>
                <w:sz w:val="24"/>
                <w:szCs w:val="24"/>
              </w:rPr>
              <w:instrText xml:space="preserve"> PAGEREF _Toc100769180 \h </w:instrText>
            </w:r>
            <w:r w:rsidRPr="00F760A6">
              <w:rPr>
                <w:rFonts w:ascii="Times New Roman" w:hAnsi="Times New Roman" w:cs="Times New Roman"/>
                <w:noProof/>
                <w:webHidden/>
                <w:sz w:val="24"/>
                <w:szCs w:val="24"/>
              </w:rPr>
            </w:r>
            <w:r w:rsidRPr="00F760A6">
              <w:rPr>
                <w:rFonts w:ascii="Times New Roman" w:hAnsi="Times New Roman" w:cs="Times New Roman"/>
                <w:noProof/>
                <w:webHidden/>
                <w:sz w:val="24"/>
                <w:szCs w:val="24"/>
              </w:rPr>
              <w:fldChar w:fldCharType="separate"/>
            </w:r>
            <w:r w:rsidR="004A7DE9">
              <w:rPr>
                <w:rFonts w:ascii="Times New Roman" w:hAnsi="Times New Roman" w:cs="Times New Roman"/>
                <w:noProof/>
                <w:webHidden/>
                <w:sz w:val="24"/>
                <w:szCs w:val="24"/>
              </w:rPr>
              <w:t>3</w:t>
            </w:r>
            <w:r w:rsidRPr="00F760A6">
              <w:rPr>
                <w:rFonts w:ascii="Times New Roman" w:hAnsi="Times New Roman" w:cs="Times New Roman"/>
                <w:noProof/>
                <w:webHidden/>
                <w:sz w:val="24"/>
                <w:szCs w:val="24"/>
              </w:rPr>
              <w:fldChar w:fldCharType="end"/>
            </w:r>
          </w:hyperlink>
        </w:p>
        <w:p w14:paraId="4ED6825E" w14:textId="02DFD6F1" w:rsidR="00F760A6" w:rsidRPr="00F760A6" w:rsidRDefault="0013327C" w:rsidP="00F760A6">
          <w:pPr>
            <w:pStyle w:val="TOC1"/>
            <w:rPr>
              <w:rFonts w:ascii="Times New Roman" w:hAnsi="Times New Roman" w:cs="Times New Roman"/>
              <w:noProof/>
              <w:sz w:val="24"/>
              <w:szCs w:val="24"/>
            </w:rPr>
          </w:pPr>
          <w:hyperlink w:anchor="_Toc100769181" w:history="1">
            <w:r w:rsidR="00F760A6" w:rsidRPr="00F760A6">
              <w:rPr>
                <w:rStyle w:val="Hyperlink"/>
                <w:rFonts w:ascii="Times New Roman" w:eastAsia="Times New Roman" w:hAnsi="Times New Roman" w:cs="Times New Roman"/>
                <w:noProof/>
                <w:sz w:val="24"/>
                <w:szCs w:val="24"/>
              </w:rPr>
              <w:t>Case study: Community education engagement program on prenatal and postnatal care to minimize infant mortality rate</w:t>
            </w:r>
            <w:r w:rsidR="00F760A6" w:rsidRPr="00F760A6">
              <w:rPr>
                <w:rFonts w:ascii="Times New Roman" w:hAnsi="Times New Roman" w:cs="Times New Roman"/>
                <w:noProof/>
                <w:webHidden/>
                <w:sz w:val="24"/>
                <w:szCs w:val="24"/>
              </w:rPr>
              <w:tab/>
            </w:r>
            <w:r w:rsidR="00F760A6" w:rsidRPr="00F760A6">
              <w:rPr>
                <w:rFonts w:ascii="Times New Roman" w:hAnsi="Times New Roman" w:cs="Times New Roman"/>
                <w:noProof/>
                <w:webHidden/>
                <w:sz w:val="24"/>
                <w:szCs w:val="24"/>
              </w:rPr>
              <w:fldChar w:fldCharType="begin"/>
            </w:r>
            <w:r w:rsidR="00F760A6" w:rsidRPr="00F760A6">
              <w:rPr>
                <w:rFonts w:ascii="Times New Roman" w:hAnsi="Times New Roman" w:cs="Times New Roman"/>
                <w:noProof/>
                <w:webHidden/>
                <w:sz w:val="24"/>
                <w:szCs w:val="24"/>
              </w:rPr>
              <w:instrText xml:space="preserve"> PAGEREF _Toc100769181 \h </w:instrText>
            </w:r>
            <w:r w:rsidR="00F760A6" w:rsidRPr="00F760A6">
              <w:rPr>
                <w:rFonts w:ascii="Times New Roman" w:hAnsi="Times New Roman" w:cs="Times New Roman"/>
                <w:noProof/>
                <w:webHidden/>
                <w:sz w:val="24"/>
                <w:szCs w:val="24"/>
              </w:rPr>
            </w:r>
            <w:r w:rsidR="00F760A6" w:rsidRPr="00F760A6">
              <w:rPr>
                <w:rFonts w:ascii="Times New Roman" w:hAnsi="Times New Roman" w:cs="Times New Roman"/>
                <w:noProof/>
                <w:webHidden/>
                <w:sz w:val="24"/>
                <w:szCs w:val="24"/>
              </w:rPr>
              <w:fldChar w:fldCharType="separate"/>
            </w:r>
            <w:r w:rsidR="004A7DE9">
              <w:rPr>
                <w:rFonts w:ascii="Times New Roman" w:hAnsi="Times New Roman" w:cs="Times New Roman"/>
                <w:noProof/>
                <w:webHidden/>
                <w:sz w:val="24"/>
                <w:szCs w:val="24"/>
              </w:rPr>
              <w:t>3</w:t>
            </w:r>
            <w:r w:rsidR="00F760A6" w:rsidRPr="00F760A6">
              <w:rPr>
                <w:rFonts w:ascii="Times New Roman" w:hAnsi="Times New Roman" w:cs="Times New Roman"/>
                <w:noProof/>
                <w:webHidden/>
                <w:sz w:val="24"/>
                <w:szCs w:val="24"/>
              </w:rPr>
              <w:fldChar w:fldCharType="end"/>
            </w:r>
          </w:hyperlink>
        </w:p>
        <w:p w14:paraId="1654389A" w14:textId="4BAF2F2B" w:rsidR="00F760A6" w:rsidRPr="00F760A6" w:rsidRDefault="0013327C" w:rsidP="00F760A6">
          <w:pPr>
            <w:pStyle w:val="TOC2"/>
            <w:tabs>
              <w:tab w:val="right" w:leader="dot" w:pos="9350"/>
            </w:tabs>
            <w:spacing w:line="480" w:lineRule="auto"/>
            <w:rPr>
              <w:rFonts w:ascii="Times New Roman" w:hAnsi="Times New Roman" w:cs="Times New Roman"/>
              <w:noProof/>
              <w:sz w:val="24"/>
              <w:szCs w:val="24"/>
            </w:rPr>
          </w:pPr>
          <w:hyperlink w:anchor="_Toc100769182" w:history="1">
            <w:r w:rsidR="00F760A6" w:rsidRPr="00F760A6">
              <w:rPr>
                <w:rStyle w:val="Hyperlink"/>
                <w:rFonts w:ascii="Times New Roman" w:eastAsia="Times New Roman" w:hAnsi="Times New Roman" w:cs="Times New Roman"/>
                <w:noProof/>
                <w:sz w:val="24"/>
                <w:szCs w:val="24"/>
              </w:rPr>
              <w:t>Description of the program</w:t>
            </w:r>
            <w:r w:rsidR="00F760A6" w:rsidRPr="00F760A6">
              <w:rPr>
                <w:rFonts w:ascii="Times New Roman" w:hAnsi="Times New Roman" w:cs="Times New Roman"/>
                <w:noProof/>
                <w:webHidden/>
                <w:sz w:val="24"/>
                <w:szCs w:val="24"/>
              </w:rPr>
              <w:tab/>
            </w:r>
            <w:r w:rsidR="00F760A6" w:rsidRPr="00F760A6">
              <w:rPr>
                <w:rFonts w:ascii="Times New Roman" w:hAnsi="Times New Roman" w:cs="Times New Roman"/>
                <w:noProof/>
                <w:webHidden/>
                <w:sz w:val="24"/>
                <w:szCs w:val="24"/>
              </w:rPr>
              <w:fldChar w:fldCharType="begin"/>
            </w:r>
            <w:r w:rsidR="00F760A6" w:rsidRPr="00F760A6">
              <w:rPr>
                <w:rFonts w:ascii="Times New Roman" w:hAnsi="Times New Roman" w:cs="Times New Roman"/>
                <w:noProof/>
                <w:webHidden/>
                <w:sz w:val="24"/>
                <w:szCs w:val="24"/>
              </w:rPr>
              <w:instrText xml:space="preserve"> PAGEREF _Toc100769182 \h </w:instrText>
            </w:r>
            <w:r w:rsidR="00F760A6" w:rsidRPr="00F760A6">
              <w:rPr>
                <w:rFonts w:ascii="Times New Roman" w:hAnsi="Times New Roman" w:cs="Times New Roman"/>
                <w:noProof/>
                <w:webHidden/>
                <w:sz w:val="24"/>
                <w:szCs w:val="24"/>
              </w:rPr>
            </w:r>
            <w:r w:rsidR="00F760A6" w:rsidRPr="00F760A6">
              <w:rPr>
                <w:rFonts w:ascii="Times New Roman" w:hAnsi="Times New Roman" w:cs="Times New Roman"/>
                <w:noProof/>
                <w:webHidden/>
                <w:sz w:val="24"/>
                <w:szCs w:val="24"/>
              </w:rPr>
              <w:fldChar w:fldCharType="separate"/>
            </w:r>
            <w:r w:rsidR="004A7DE9">
              <w:rPr>
                <w:rFonts w:ascii="Times New Roman" w:hAnsi="Times New Roman" w:cs="Times New Roman"/>
                <w:noProof/>
                <w:webHidden/>
                <w:sz w:val="24"/>
                <w:szCs w:val="24"/>
              </w:rPr>
              <w:t>3</w:t>
            </w:r>
            <w:r w:rsidR="00F760A6" w:rsidRPr="00F760A6">
              <w:rPr>
                <w:rFonts w:ascii="Times New Roman" w:hAnsi="Times New Roman" w:cs="Times New Roman"/>
                <w:noProof/>
                <w:webHidden/>
                <w:sz w:val="24"/>
                <w:szCs w:val="24"/>
              </w:rPr>
              <w:fldChar w:fldCharType="end"/>
            </w:r>
          </w:hyperlink>
        </w:p>
        <w:p w14:paraId="380C275D" w14:textId="07E4D6B2" w:rsidR="00F760A6" w:rsidRPr="00F760A6" w:rsidRDefault="0013327C" w:rsidP="00F760A6">
          <w:pPr>
            <w:pStyle w:val="TOC2"/>
            <w:tabs>
              <w:tab w:val="right" w:leader="dot" w:pos="9350"/>
            </w:tabs>
            <w:spacing w:line="480" w:lineRule="auto"/>
            <w:rPr>
              <w:rFonts w:ascii="Times New Roman" w:hAnsi="Times New Roman" w:cs="Times New Roman"/>
              <w:noProof/>
              <w:sz w:val="24"/>
              <w:szCs w:val="24"/>
            </w:rPr>
          </w:pPr>
          <w:hyperlink w:anchor="_Toc100769183" w:history="1">
            <w:r w:rsidR="00F760A6" w:rsidRPr="00F760A6">
              <w:rPr>
                <w:rStyle w:val="Hyperlink"/>
                <w:rFonts w:ascii="Times New Roman" w:eastAsia="Times New Roman" w:hAnsi="Times New Roman" w:cs="Times New Roman"/>
                <w:noProof/>
                <w:sz w:val="24"/>
                <w:szCs w:val="24"/>
              </w:rPr>
              <w:t>The best practices, particularly on community engagement principles</w:t>
            </w:r>
            <w:r w:rsidR="00F760A6" w:rsidRPr="00F760A6">
              <w:rPr>
                <w:rFonts w:ascii="Times New Roman" w:hAnsi="Times New Roman" w:cs="Times New Roman"/>
                <w:noProof/>
                <w:webHidden/>
                <w:sz w:val="24"/>
                <w:szCs w:val="24"/>
              </w:rPr>
              <w:tab/>
            </w:r>
            <w:r w:rsidR="00F760A6" w:rsidRPr="00F760A6">
              <w:rPr>
                <w:rFonts w:ascii="Times New Roman" w:hAnsi="Times New Roman" w:cs="Times New Roman"/>
                <w:noProof/>
                <w:webHidden/>
                <w:sz w:val="24"/>
                <w:szCs w:val="24"/>
              </w:rPr>
              <w:fldChar w:fldCharType="begin"/>
            </w:r>
            <w:r w:rsidR="00F760A6" w:rsidRPr="00F760A6">
              <w:rPr>
                <w:rFonts w:ascii="Times New Roman" w:hAnsi="Times New Roman" w:cs="Times New Roman"/>
                <w:noProof/>
                <w:webHidden/>
                <w:sz w:val="24"/>
                <w:szCs w:val="24"/>
              </w:rPr>
              <w:instrText xml:space="preserve"> PAGEREF _Toc100769183 \h </w:instrText>
            </w:r>
            <w:r w:rsidR="00F760A6" w:rsidRPr="00F760A6">
              <w:rPr>
                <w:rFonts w:ascii="Times New Roman" w:hAnsi="Times New Roman" w:cs="Times New Roman"/>
                <w:noProof/>
                <w:webHidden/>
                <w:sz w:val="24"/>
                <w:szCs w:val="24"/>
              </w:rPr>
            </w:r>
            <w:r w:rsidR="00F760A6" w:rsidRPr="00F760A6">
              <w:rPr>
                <w:rFonts w:ascii="Times New Roman" w:hAnsi="Times New Roman" w:cs="Times New Roman"/>
                <w:noProof/>
                <w:webHidden/>
                <w:sz w:val="24"/>
                <w:szCs w:val="24"/>
              </w:rPr>
              <w:fldChar w:fldCharType="separate"/>
            </w:r>
            <w:r w:rsidR="004A7DE9">
              <w:rPr>
                <w:rFonts w:ascii="Times New Roman" w:hAnsi="Times New Roman" w:cs="Times New Roman"/>
                <w:noProof/>
                <w:webHidden/>
                <w:sz w:val="24"/>
                <w:szCs w:val="24"/>
              </w:rPr>
              <w:t>4</w:t>
            </w:r>
            <w:r w:rsidR="00F760A6" w:rsidRPr="00F760A6">
              <w:rPr>
                <w:rFonts w:ascii="Times New Roman" w:hAnsi="Times New Roman" w:cs="Times New Roman"/>
                <w:noProof/>
                <w:webHidden/>
                <w:sz w:val="24"/>
                <w:szCs w:val="24"/>
              </w:rPr>
              <w:fldChar w:fldCharType="end"/>
            </w:r>
          </w:hyperlink>
        </w:p>
        <w:p w14:paraId="454EF633" w14:textId="4B8D7C1C" w:rsidR="00F760A6" w:rsidRPr="00F760A6" w:rsidRDefault="0013327C" w:rsidP="00F760A6">
          <w:pPr>
            <w:pStyle w:val="TOC2"/>
            <w:tabs>
              <w:tab w:val="right" w:leader="dot" w:pos="9350"/>
            </w:tabs>
            <w:spacing w:line="480" w:lineRule="auto"/>
            <w:rPr>
              <w:rFonts w:ascii="Times New Roman" w:hAnsi="Times New Roman" w:cs="Times New Roman"/>
              <w:noProof/>
              <w:sz w:val="24"/>
              <w:szCs w:val="24"/>
            </w:rPr>
          </w:pPr>
          <w:hyperlink w:anchor="_Toc100769184" w:history="1">
            <w:r w:rsidR="00F760A6" w:rsidRPr="00F760A6">
              <w:rPr>
                <w:rStyle w:val="Hyperlink"/>
                <w:rFonts w:ascii="Times New Roman" w:eastAsia="Times New Roman" w:hAnsi="Times New Roman" w:cs="Times New Roman"/>
                <w:noProof/>
                <w:sz w:val="24"/>
                <w:szCs w:val="24"/>
              </w:rPr>
              <w:t>The benefits of stakeholders’ participation</w:t>
            </w:r>
            <w:r w:rsidR="00F760A6" w:rsidRPr="00F760A6">
              <w:rPr>
                <w:rFonts w:ascii="Times New Roman" w:hAnsi="Times New Roman" w:cs="Times New Roman"/>
                <w:noProof/>
                <w:webHidden/>
                <w:sz w:val="24"/>
                <w:szCs w:val="24"/>
              </w:rPr>
              <w:tab/>
            </w:r>
            <w:r w:rsidR="00F760A6" w:rsidRPr="00F760A6">
              <w:rPr>
                <w:rFonts w:ascii="Times New Roman" w:hAnsi="Times New Roman" w:cs="Times New Roman"/>
                <w:noProof/>
                <w:webHidden/>
                <w:sz w:val="24"/>
                <w:szCs w:val="24"/>
              </w:rPr>
              <w:fldChar w:fldCharType="begin"/>
            </w:r>
            <w:r w:rsidR="00F760A6" w:rsidRPr="00F760A6">
              <w:rPr>
                <w:rFonts w:ascii="Times New Roman" w:hAnsi="Times New Roman" w:cs="Times New Roman"/>
                <w:noProof/>
                <w:webHidden/>
                <w:sz w:val="24"/>
                <w:szCs w:val="24"/>
              </w:rPr>
              <w:instrText xml:space="preserve"> PAGEREF _Toc100769184 \h </w:instrText>
            </w:r>
            <w:r w:rsidR="00F760A6" w:rsidRPr="00F760A6">
              <w:rPr>
                <w:rFonts w:ascii="Times New Roman" w:hAnsi="Times New Roman" w:cs="Times New Roman"/>
                <w:noProof/>
                <w:webHidden/>
                <w:sz w:val="24"/>
                <w:szCs w:val="24"/>
              </w:rPr>
            </w:r>
            <w:r w:rsidR="00F760A6" w:rsidRPr="00F760A6">
              <w:rPr>
                <w:rFonts w:ascii="Times New Roman" w:hAnsi="Times New Roman" w:cs="Times New Roman"/>
                <w:noProof/>
                <w:webHidden/>
                <w:sz w:val="24"/>
                <w:szCs w:val="24"/>
              </w:rPr>
              <w:fldChar w:fldCharType="separate"/>
            </w:r>
            <w:r w:rsidR="004A7DE9">
              <w:rPr>
                <w:rFonts w:ascii="Times New Roman" w:hAnsi="Times New Roman" w:cs="Times New Roman"/>
                <w:noProof/>
                <w:webHidden/>
                <w:sz w:val="24"/>
                <w:szCs w:val="24"/>
              </w:rPr>
              <w:t>6</w:t>
            </w:r>
            <w:r w:rsidR="00F760A6" w:rsidRPr="00F760A6">
              <w:rPr>
                <w:rFonts w:ascii="Times New Roman" w:hAnsi="Times New Roman" w:cs="Times New Roman"/>
                <w:noProof/>
                <w:webHidden/>
                <w:sz w:val="24"/>
                <w:szCs w:val="24"/>
              </w:rPr>
              <w:fldChar w:fldCharType="end"/>
            </w:r>
          </w:hyperlink>
        </w:p>
        <w:p w14:paraId="0147CD16" w14:textId="446354E7" w:rsidR="00F760A6" w:rsidRPr="00F760A6" w:rsidRDefault="0013327C" w:rsidP="00F760A6">
          <w:pPr>
            <w:pStyle w:val="TOC1"/>
            <w:rPr>
              <w:rFonts w:ascii="Times New Roman" w:hAnsi="Times New Roman" w:cs="Times New Roman"/>
              <w:noProof/>
              <w:sz w:val="24"/>
              <w:szCs w:val="24"/>
            </w:rPr>
          </w:pPr>
          <w:hyperlink w:anchor="_Toc100769185" w:history="1">
            <w:r w:rsidR="00F760A6" w:rsidRPr="00F760A6">
              <w:rPr>
                <w:rStyle w:val="Hyperlink"/>
                <w:rFonts w:ascii="Times New Roman" w:eastAsia="Times New Roman" w:hAnsi="Times New Roman" w:cs="Times New Roman"/>
                <w:noProof/>
                <w:sz w:val="24"/>
                <w:szCs w:val="24"/>
              </w:rPr>
              <w:t>Conclusion</w:t>
            </w:r>
            <w:r w:rsidR="00F760A6" w:rsidRPr="00F760A6">
              <w:rPr>
                <w:rFonts w:ascii="Times New Roman" w:hAnsi="Times New Roman" w:cs="Times New Roman"/>
                <w:noProof/>
                <w:webHidden/>
                <w:sz w:val="24"/>
                <w:szCs w:val="24"/>
              </w:rPr>
              <w:tab/>
            </w:r>
            <w:r w:rsidR="00F760A6" w:rsidRPr="00F760A6">
              <w:rPr>
                <w:rFonts w:ascii="Times New Roman" w:hAnsi="Times New Roman" w:cs="Times New Roman"/>
                <w:noProof/>
                <w:webHidden/>
                <w:sz w:val="24"/>
                <w:szCs w:val="24"/>
              </w:rPr>
              <w:fldChar w:fldCharType="begin"/>
            </w:r>
            <w:r w:rsidR="00F760A6" w:rsidRPr="00F760A6">
              <w:rPr>
                <w:rFonts w:ascii="Times New Roman" w:hAnsi="Times New Roman" w:cs="Times New Roman"/>
                <w:noProof/>
                <w:webHidden/>
                <w:sz w:val="24"/>
                <w:szCs w:val="24"/>
              </w:rPr>
              <w:instrText xml:space="preserve"> PAGEREF _Toc100769185 \h </w:instrText>
            </w:r>
            <w:r w:rsidR="00F760A6" w:rsidRPr="00F760A6">
              <w:rPr>
                <w:rFonts w:ascii="Times New Roman" w:hAnsi="Times New Roman" w:cs="Times New Roman"/>
                <w:noProof/>
                <w:webHidden/>
                <w:sz w:val="24"/>
                <w:szCs w:val="24"/>
              </w:rPr>
            </w:r>
            <w:r w:rsidR="00F760A6" w:rsidRPr="00F760A6">
              <w:rPr>
                <w:rFonts w:ascii="Times New Roman" w:hAnsi="Times New Roman" w:cs="Times New Roman"/>
                <w:noProof/>
                <w:webHidden/>
                <w:sz w:val="24"/>
                <w:szCs w:val="24"/>
              </w:rPr>
              <w:fldChar w:fldCharType="separate"/>
            </w:r>
            <w:r w:rsidR="004A7DE9">
              <w:rPr>
                <w:rFonts w:ascii="Times New Roman" w:hAnsi="Times New Roman" w:cs="Times New Roman"/>
                <w:noProof/>
                <w:webHidden/>
                <w:sz w:val="24"/>
                <w:szCs w:val="24"/>
              </w:rPr>
              <w:t>9</w:t>
            </w:r>
            <w:r w:rsidR="00F760A6" w:rsidRPr="00F760A6">
              <w:rPr>
                <w:rFonts w:ascii="Times New Roman" w:hAnsi="Times New Roman" w:cs="Times New Roman"/>
                <w:noProof/>
                <w:webHidden/>
                <w:sz w:val="24"/>
                <w:szCs w:val="24"/>
              </w:rPr>
              <w:fldChar w:fldCharType="end"/>
            </w:r>
          </w:hyperlink>
        </w:p>
        <w:p w14:paraId="3A936E34" w14:textId="1254E684" w:rsidR="00F760A6" w:rsidRDefault="0013327C" w:rsidP="00F760A6">
          <w:pPr>
            <w:pStyle w:val="TOC1"/>
            <w:rPr>
              <w:noProof/>
            </w:rPr>
          </w:pPr>
          <w:hyperlink w:anchor="_Toc100769186" w:history="1">
            <w:r w:rsidR="00F760A6" w:rsidRPr="00F760A6">
              <w:rPr>
                <w:rStyle w:val="Hyperlink"/>
                <w:rFonts w:ascii="Times New Roman" w:hAnsi="Times New Roman" w:cs="Times New Roman"/>
                <w:noProof/>
                <w:sz w:val="24"/>
                <w:szCs w:val="24"/>
                <w:shd w:val="clear" w:color="auto" w:fill="FFFFFF"/>
              </w:rPr>
              <w:t>Bibliography</w:t>
            </w:r>
            <w:r w:rsidR="00F760A6" w:rsidRPr="00F760A6">
              <w:rPr>
                <w:rFonts w:ascii="Times New Roman" w:hAnsi="Times New Roman" w:cs="Times New Roman"/>
                <w:noProof/>
                <w:webHidden/>
                <w:sz w:val="24"/>
                <w:szCs w:val="24"/>
              </w:rPr>
              <w:tab/>
            </w:r>
            <w:r w:rsidR="00F760A6" w:rsidRPr="00F760A6">
              <w:rPr>
                <w:rFonts w:ascii="Times New Roman" w:hAnsi="Times New Roman" w:cs="Times New Roman"/>
                <w:noProof/>
                <w:webHidden/>
                <w:sz w:val="24"/>
                <w:szCs w:val="24"/>
              </w:rPr>
              <w:fldChar w:fldCharType="begin"/>
            </w:r>
            <w:r w:rsidR="00F760A6" w:rsidRPr="00F760A6">
              <w:rPr>
                <w:rFonts w:ascii="Times New Roman" w:hAnsi="Times New Roman" w:cs="Times New Roman"/>
                <w:noProof/>
                <w:webHidden/>
                <w:sz w:val="24"/>
                <w:szCs w:val="24"/>
              </w:rPr>
              <w:instrText xml:space="preserve"> PAGEREF _Toc100769186 \h </w:instrText>
            </w:r>
            <w:r w:rsidR="00F760A6" w:rsidRPr="00F760A6">
              <w:rPr>
                <w:rFonts w:ascii="Times New Roman" w:hAnsi="Times New Roman" w:cs="Times New Roman"/>
                <w:noProof/>
                <w:webHidden/>
                <w:sz w:val="24"/>
                <w:szCs w:val="24"/>
              </w:rPr>
            </w:r>
            <w:r w:rsidR="00F760A6" w:rsidRPr="00F760A6">
              <w:rPr>
                <w:rFonts w:ascii="Times New Roman" w:hAnsi="Times New Roman" w:cs="Times New Roman"/>
                <w:noProof/>
                <w:webHidden/>
                <w:sz w:val="24"/>
                <w:szCs w:val="24"/>
              </w:rPr>
              <w:fldChar w:fldCharType="separate"/>
            </w:r>
            <w:r w:rsidR="004A7DE9">
              <w:rPr>
                <w:rFonts w:ascii="Times New Roman" w:hAnsi="Times New Roman" w:cs="Times New Roman"/>
                <w:noProof/>
                <w:webHidden/>
                <w:sz w:val="24"/>
                <w:szCs w:val="24"/>
              </w:rPr>
              <w:t>10</w:t>
            </w:r>
            <w:r w:rsidR="00F760A6" w:rsidRPr="00F760A6">
              <w:rPr>
                <w:rFonts w:ascii="Times New Roman" w:hAnsi="Times New Roman" w:cs="Times New Roman"/>
                <w:noProof/>
                <w:webHidden/>
                <w:sz w:val="24"/>
                <w:szCs w:val="24"/>
              </w:rPr>
              <w:fldChar w:fldCharType="end"/>
            </w:r>
          </w:hyperlink>
        </w:p>
        <w:p w14:paraId="44F796FC" w14:textId="77777777" w:rsidR="00F760A6" w:rsidRDefault="00F760A6">
          <w:r>
            <w:rPr>
              <w:b/>
              <w:bCs/>
              <w:noProof/>
            </w:rPr>
            <w:fldChar w:fldCharType="end"/>
          </w:r>
        </w:p>
      </w:sdtContent>
    </w:sdt>
    <w:p w14:paraId="69681B89" w14:textId="77777777" w:rsidR="00F760A6" w:rsidRDefault="00F760A6">
      <w:pPr>
        <w:rPr>
          <w:rFonts w:ascii="Times New Roman" w:hAnsi="Times New Roman" w:cs="Times New Roman"/>
          <w:sz w:val="24"/>
          <w:szCs w:val="24"/>
        </w:rPr>
      </w:pPr>
      <w:r>
        <w:rPr>
          <w:rFonts w:ascii="Times New Roman" w:hAnsi="Times New Roman" w:cs="Times New Roman"/>
          <w:sz w:val="24"/>
          <w:szCs w:val="24"/>
        </w:rPr>
        <w:br w:type="page"/>
      </w:r>
    </w:p>
    <w:p w14:paraId="59F53660" w14:textId="77777777" w:rsidR="007B15B9" w:rsidRPr="007B15B9" w:rsidRDefault="0046772C" w:rsidP="0046772C">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PART A: LOCAL AUTHORITY COMMUNITY ENGAGEMENT PROCESS</w:t>
      </w:r>
    </w:p>
    <w:p w14:paraId="2F33F863" w14:textId="77777777" w:rsidR="007B15B9" w:rsidRPr="007B15B9" w:rsidRDefault="007B15B9" w:rsidP="00F760A6">
      <w:pPr>
        <w:pStyle w:val="Heading1"/>
        <w:jc w:val="center"/>
        <w:rPr>
          <w:rFonts w:eastAsia="Times New Roman"/>
        </w:rPr>
      </w:pPr>
      <w:bookmarkStart w:id="0" w:name="_Toc100769180"/>
      <w:r w:rsidRPr="007B15B9">
        <w:rPr>
          <w:rFonts w:eastAsia="Times New Roman"/>
        </w:rPr>
        <w:t>Introduction</w:t>
      </w:r>
      <w:bookmarkEnd w:id="0"/>
    </w:p>
    <w:p w14:paraId="77CCBCF0" w14:textId="77777777" w:rsidR="007B15B9" w:rsidRPr="007B15B9" w:rsidRDefault="007B15B9" w:rsidP="007B15B9">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 xml:space="preserve">In community leadership, the primary aim should always be to help meet the interests of community members. Every goal, objective, or strategy should be centered around the community's interests. It is wrong to develop measures and strategies without involving or considering the community's interests. Among the reasons why many community leaders fail in fulfilling their roles and responsibilities is a lack of or poor community engagement. Once the community is not well involved, the leader may not clearly understand what the people need and a result, making it challenging to meet their needs. If the needs and interests of the community are not met, the leader should be considered a failure (Pratt, Cheah, and Marsh, 2020, pg. 45). This paper looks at the local </w:t>
      </w:r>
      <w:proofErr w:type="gramStart"/>
      <w:r w:rsidR="005B6981" w:rsidRPr="007B15B9">
        <w:rPr>
          <w:rFonts w:ascii="Times New Roman" w:eastAsia="Times New Roman" w:hAnsi="Times New Roman" w:cs="Times New Roman"/>
          <w:color w:val="0E101A"/>
          <w:sz w:val="24"/>
          <w:szCs w:val="24"/>
        </w:rPr>
        <w:t>authorities</w:t>
      </w:r>
      <w:proofErr w:type="gramEnd"/>
      <w:r w:rsidRPr="007B15B9">
        <w:rPr>
          <w:rFonts w:ascii="Times New Roman" w:eastAsia="Times New Roman" w:hAnsi="Times New Roman" w:cs="Times New Roman"/>
          <w:color w:val="0E101A"/>
          <w:sz w:val="24"/>
          <w:szCs w:val="24"/>
        </w:rPr>
        <w:t xml:space="preserve"> various measures or strategies for successful community engagement. Using my local authority as a case study and myself as a practitioner, the essay centers around how my local community conducts community engagement, the areas they are most active in, and what approaches are adopted.</w:t>
      </w:r>
    </w:p>
    <w:p w14:paraId="04792E44" w14:textId="77777777" w:rsidR="007B15B9" w:rsidRPr="007B15B9" w:rsidRDefault="005B6981" w:rsidP="007B15B9">
      <w:pPr>
        <w:spacing w:after="0" w:line="480" w:lineRule="auto"/>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Options</w:t>
      </w:r>
      <w:r w:rsidR="007B15B9" w:rsidRPr="007B15B9">
        <w:rPr>
          <w:rFonts w:ascii="Times New Roman" w:eastAsia="Times New Roman" w:hAnsi="Times New Roman" w:cs="Times New Roman"/>
          <w:color w:val="0E101A"/>
          <w:sz w:val="24"/>
          <w:szCs w:val="24"/>
        </w:rPr>
        <w:t xml:space="preserve"> to engage the community members</w:t>
      </w:r>
    </w:p>
    <w:p w14:paraId="37F0898C" w14:textId="77777777" w:rsidR="007B15B9" w:rsidRPr="007B15B9" w:rsidRDefault="00E2287D" w:rsidP="00F760A6">
      <w:pPr>
        <w:pStyle w:val="Heading1"/>
        <w:jc w:val="center"/>
        <w:rPr>
          <w:rFonts w:eastAsia="Times New Roman"/>
        </w:rPr>
      </w:pPr>
      <w:bookmarkStart w:id="1" w:name="_Toc100769181"/>
      <w:r>
        <w:rPr>
          <w:rFonts w:eastAsia="Times New Roman"/>
        </w:rPr>
        <w:t>Case study: Community education engagement program on prenatal and postnatal care to minimize infant mortality rate</w:t>
      </w:r>
      <w:bookmarkEnd w:id="1"/>
    </w:p>
    <w:p w14:paraId="21D98518" w14:textId="77777777" w:rsidR="00E2287D" w:rsidRPr="00E2287D" w:rsidRDefault="00E2287D" w:rsidP="00F760A6">
      <w:pPr>
        <w:pStyle w:val="Heading2"/>
        <w:rPr>
          <w:rFonts w:eastAsia="Times New Roman"/>
        </w:rPr>
      </w:pPr>
      <w:bookmarkStart w:id="2" w:name="_Toc100769182"/>
      <w:r w:rsidRPr="00E2287D">
        <w:rPr>
          <w:rFonts w:eastAsia="Times New Roman"/>
        </w:rPr>
        <w:t>Description of the program</w:t>
      </w:r>
      <w:bookmarkEnd w:id="2"/>
      <w:r w:rsidRPr="00E2287D">
        <w:rPr>
          <w:rFonts w:eastAsia="Times New Roman"/>
        </w:rPr>
        <w:t xml:space="preserve"> </w:t>
      </w:r>
    </w:p>
    <w:p w14:paraId="30D3BD44" w14:textId="77777777" w:rsidR="00E2287D" w:rsidRDefault="007B15B9" w:rsidP="00E2287D">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 xml:space="preserve">The local authority started a community education program about pre and postnatal care about three months ago. Among the significant issues, our community faces have been the increased infant mortality rate, where many women lose their children at a very early age. In contrast, others give birth to babies with different health complications. Upon detailed research, it was discovered that many women don't attend prenatal clinics, and even for those who do so, </w:t>
      </w:r>
      <w:proofErr w:type="gramStart"/>
      <w:r w:rsidRPr="007B15B9">
        <w:rPr>
          <w:rFonts w:ascii="Times New Roman" w:eastAsia="Times New Roman" w:hAnsi="Times New Roman" w:cs="Times New Roman"/>
          <w:color w:val="0E101A"/>
          <w:sz w:val="24"/>
          <w:szCs w:val="24"/>
        </w:rPr>
        <w:t>the majority of</w:t>
      </w:r>
      <w:proofErr w:type="gramEnd"/>
      <w:r w:rsidRPr="007B15B9">
        <w:rPr>
          <w:rFonts w:ascii="Times New Roman" w:eastAsia="Times New Roman" w:hAnsi="Times New Roman" w:cs="Times New Roman"/>
          <w:color w:val="0E101A"/>
          <w:sz w:val="24"/>
          <w:szCs w:val="24"/>
        </w:rPr>
        <w:t xml:space="preserve"> them start towards the end of the pregnancy journey. After giving birth, many </w:t>
      </w:r>
      <w:r w:rsidRPr="007B15B9">
        <w:rPr>
          <w:rFonts w:ascii="Times New Roman" w:eastAsia="Times New Roman" w:hAnsi="Times New Roman" w:cs="Times New Roman"/>
          <w:color w:val="0E101A"/>
          <w:sz w:val="24"/>
          <w:szCs w:val="24"/>
        </w:rPr>
        <w:lastRenderedPageBreak/>
        <w:t>mothers are still not aware of the importance of exclusive breastfeeding. Those who are already aware till tend to ignore its importance, hence another leading cause of the increased infant mortality rate in the community. In this case, the community education program aims to create are on a member of the community, informing them on the importance of pre and postnatal care and exclusive breastfeeding (Mayo, 2019, pg. 2). It is to encourage more women to actively participate in such a program to improve the health of newborn babies and hence minimize of ultimately end the issue of infant mortality rate in the community.</w:t>
      </w:r>
    </w:p>
    <w:p w14:paraId="4610A17C" w14:textId="77777777" w:rsidR="00E60900" w:rsidRPr="00E2287D" w:rsidRDefault="00E60900" w:rsidP="00F760A6">
      <w:pPr>
        <w:pStyle w:val="Heading2"/>
        <w:rPr>
          <w:rFonts w:eastAsia="Times New Roman"/>
        </w:rPr>
      </w:pPr>
      <w:bookmarkStart w:id="3" w:name="_Toc100769183"/>
      <w:r w:rsidRPr="00E2287D">
        <w:rPr>
          <w:rFonts w:eastAsia="Times New Roman"/>
        </w:rPr>
        <w:t xml:space="preserve">The </w:t>
      </w:r>
      <w:r w:rsidR="007B15B9" w:rsidRPr="00E2287D">
        <w:rPr>
          <w:rFonts w:eastAsia="Times New Roman"/>
        </w:rPr>
        <w:t>best practices, particularly on c</w:t>
      </w:r>
      <w:r w:rsidRPr="00E2287D">
        <w:rPr>
          <w:rFonts w:eastAsia="Times New Roman"/>
        </w:rPr>
        <w:t>ommunity engagement principles</w:t>
      </w:r>
      <w:bookmarkEnd w:id="3"/>
    </w:p>
    <w:p w14:paraId="070FEC57" w14:textId="77777777" w:rsidR="007B15B9" w:rsidRPr="00E2287D" w:rsidRDefault="00E60900"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G</w:t>
      </w:r>
      <w:r w:rsidR="007B15B9" w:rsidRPr="00E2287D">
        <w:rPr>
          <w:rFonts w:ascii="Times New Roman" w:eastAsia="Times New Roman" w:hAnsi="Times New Roman" w:cs="Times New Roman"/>
          <w:color w:val="0E101A"/>
          <w:sz w:val="24"/>
          <w:szCs w:val="24"/>
        </w:rPr>
        <w:t>etting people to tell stories</w:t>
      </w:r>
    </w:p>
    <w:p w14:paraId="08EA745D" w14:textId="77777777" w:rsidR="007B15B9" w:rsidRPr="007B15B9" w:rsidRDefault="00E60900" w:rsidP="00E60900">
      <w:pP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w:t>
      </w:r>
      <w:r w:rsidR="007B15B9" w:rsidRPr="007B15B9">
        <w:rPr>
          <w:rFonts w:ascii="Times New Roman" w:eastAsia="Times New Roman" w:hAnsi="Times New Roman" w:cs="Times New Roman"/>
          <w:color w:val="0E101A"/>
          <w:sz w:val="24"/>
          <w:szCs w:val="24"/>
        </w:rPr>
        <w:t>mong the best practices in community engagement is to allow people to tell stories. On the issue of infant mortality rate, it would be essential to engage as many community members as possible to tell their experiences about pregnancy, childbirth, and motherhood. When people are allowed to tell stories, it attracts the attention of many others and enables the community leader to better understand the issue at hand (Ryan, Johnston, Taylor, and McAndrew, 2020, pg. 108). Through telling stories, people would understand how serious the issue is, thus, a chance for more community members to participate in the program in a journey to help minimize or permanently solve the problem. At the same time, those who participate in telling their stories tend to feel honored and act as part of the program hence making it easier to execute the entire project.  </w:t>
      </w:r>
    </w:p>
    <w:p w14:paraId="257ED473" w14:textId="77777777" w:rsidR="007B15B9" w:rsidRPr="00E2287D" w:rsidRDefault="00E60900"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U</w:t>
      </w:r>
      <w:r w:rsidR="007B15B9" w:rsidRPr="00E2287D">
        <w:rPr>
          <w:rFonts w:ascii="Times New Roman" w:eastAsia="Times New Roman" w:hAnsi="Times New Roman" w:cs="Times New Roman"/>
          <w:color w:val="0E101A"/>
          <w:sz w:val="24"/>
          <w:szCs w:val="24"/>
        </w:rPr>
        <w:t>sing images</w:t>
      </w:r>
    </w:p>
    <w:p w14:paraId="0DA91041" w14:textId="77777777" w:rsidR="007B15B9" w:rsidRPr="007B15B9" w:rsidRDefault="00E60900" w:rsidP="00E60900">
      <w:pPr>
        <w:spacing w:after="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U</w:t>
      </w:r>
      <w:r w:rsidR="007B15B9" w:rsidRPr="007B15B9">
        <w:rPr>
          <w:rFonts w:ascii="Times New Roman" w:eastAsia="Times New Roman" w:hAnsi="Times New Roman" w:cs="Times New Roman"/>
          <w:color w:val="0E101A"/>
          <w:sz w:val="24"/>
          <w:szCs w:val="24"/>
        </w:rPr>
        <w:t xml:space="preserve">sing images is another helpful practice in community engagement. When people see images and videos of what is happening in the community, they tend to pay attention and feel the need to listen or research more about the issue. Images and videos are a better way to attract </w:t>
      </w:r>
      <w:r w:rsidR="007B15B9" w:rsidRPr="007B15B9">
        <w:rPr>
          <w:rFonts w:ascii="Times New Roman" w:eastAsia="Times New Roman" w:hAnsi="Times New Roman" w:cs="Times New Roman"/>
          <w:color w:val="0E101A"/>
          <w:sz w:val="24"/>
          <w:szCs w:val="24"/>
        </w:rPr>
        <w:lastRenderedPageBreak/>
        <w:t xml:space="preserve">attention from the targeted audience since people are always </w:t>
      </w:r>
      <w:proofErr w:type="gramStart"/>
      <w:r w:rsidR="007B15B9" w:rsidRPr="007B15B9">
        <w:rPr>
          <w:rFonts w:ascii="Times New Roman" w:eastAsia="Times New Roman" w:hAnsi="Times New Roman" w:cs="Times New Roman"/>
          <w:color w:val="0E101A"/>
          <w:sz w:val="24"/>
          <w:szCs w:val="24"/>
        </w:rPr>
        <w:t>busy, and</w:t>
      </w:r>
      <w:proofErr w:type="gramEnd"/>
      <w:r w:rsidR="007B15B9" w:rsidRPr="007B15B9">
        <w:rPr>
          <w:rFonts w:ascii="Times New Roman" w:eastAsia="Times New Roman" w:hAnsi="Times New Roman" w:cs="Times New Roman"/>
          <w:color w:val="0E101A"/>
          <w:sz w:val="24"/>
          <w:szCs w:val="24"/>
        </w:rPr>
        <w:t xml:space="preserve"> stopping by to read a paragraph or notice boards may not be effective (Reynolds and </w:t>
      </w:r>
      <w:proofErr w:type="spellStart"/>
      <w:r w:rsidR="007B15B9" w:rsidRPr="007B15B9">
        <w:rPr>
          <w:rFonts w:ascii="Times New Roman" w:eastAsia="Times New Roman" w:hAnsi="Times New Roman" w:cs="Times New Roman"/>
          <w:color w:val="0E101A"/>
          <w:sz w:val="24"/>
          <w:szCs w:val="24"/>
        </w:rPr>
        <w:t>Sariola</w:t>
      </w:r>
      <w:proofErr w:type="spellEnd"/>
      <w:r w:rsidR="007B15B9" w:rsidRPr="007B15B9">
        <w:rPr>
          <w:rFonts w:ascii="Times New Roman" w:eastAsia="Times New Roman" w:hAnsi="Times New Roman" w:cs="Times New Roman"/>
          <w:color w:val="0E101A"/>
          <w:sz w:val="24"/>
          <w:szCs w:val="24"/>
        </w:rPr>
        <w:t>, 2018, pg. 267). In the current era of technology, images posted on social media attract people's attention quickly, making it possible and more accessible for the community leadership to pass information to public members regarding the issue at hand.</w:t>
      </w:r>
    </w:p>
    <w:p w14:paraId="29E1443D" w14:textId="77777777" w:rsidR="007B15B9" w:rsidRPr="00E2287D" w:rsidRDefault="007B15B9"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Being responsive</w:t>
      </w:r>
    </w:p>
    <w:p w14:paraId="42039B99"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Another important thing about community engagement is being responsive. The community leader tries to engage people and let them tell their stories and experiences about the issue at hand; it is essential to be highly responsive. Responding to every presented story and engaging in the discussions is essential in ensuring that those who participate in the discussions are motivated to speak more about their experiences. People like it when they are shown attention, especially from local authorities or community leaders. Starting a discussion without following up shows how less severe the leader is and hence high chances that many people will not be motivated to participate in those discussion forums (</w:t>
      </w:r>
      <w:proofErr w:type="spellStart"/>
      <w:r w:rsidRPr="007B15B9">
        <w:rPr>
          <w:rFonts w:ascii="Times New Roman" w:eastAsia="Times New Roman" w:hAnsi="Times New Roman" w:cs="Times New Roman"/>
          <w:color w:val="0E101A"/>
          <w:sz w:val="24"/>
          <w:szCs w:val="24"/>
        </w:rPr>
        <w:t>Dahles</w:t>
      </w:r>
      <w:proofErr w:type="spellEnd"/>
      <w:r w:rsidRPr="007B15B9">
        <w:rPr>
          <w:rFonts w:ascii="Times New Roman" w:eastAsia="Times New Roman" w:hAnsi="Times New Roman" w:cs="Times New Roman"/>
          <w:color w:val="0E101A"/>
          <w:sz w:val="24"/>
          <w:szCs w:val="24"/>
        </w:rPr>
        <w:t xml:space="preserve">, </w:t>
      </w:r>
      <w:proofErr w:type="spellStart"/>
      <w:r w:rsidRPr="007B15B9">
        <w:rPr>
          <w:rFonts w:ascii="Times New Roman" w:eastAsia="Times New Roman" w:hAnsi="Times New Roman" w:cs="Times New Roman"/>
          <w:color w:val="0E101A"/>
          <w:sz w:val="24"/>
          <w:szCs w:val="24"/>
        </w:rPr>
        <w:t>Khieng</w:t>
      </w:r>
      <w:proofErr w:type="spellEnd"/>
      <w:r w:rsidRPr="007B15B9">
        <w:rPr>
          <w:rFonts w:ascii="Times New Roman" w:eastAsia="Times New Roman" w:hAnsi="Times New Roman" w:cs="Times New Roman"/>
          <w:color w:val="0E101A"/>
          <w:sz w:val="24"/>
          <w:szCs w:val="24"/>
        </w:rPr>
        <w:t xml:space="preserve">, </w:t>
      </w:r>
      <w:proofErr w:type="spellStart"/>
      <w:r w:rsidRPr="007B15B9">
        <w:rPr>
          <w:rFonts w:ascii="Times New Roman" w:eastAsia="Times New Roman" w:hAnsi="Times New Roman" w:cs="Times New Roman"/>
          <w:color w:val="0E101A"/>
          <w:sz w:val="24"/>
          <w:szCs w:val="24"/>
        </w:rPr>
        <w:t>Verver</w:t>
      </w:r>
      <w:proofErr w:type="spellEnd"/>
      <w:r w:rsidRPr="007B15B9">
        <w:rPr>
          <w:rFonts w:ascii="Times New Roman" w:eastAsia="Times New Roman" w:hAnsi="Times New Roman" w:cs="Times New Roman"/>
          <w:color w:val="0E101A"/>
          <w:sz w:val="24"/>
          <w:szCs w:val="24"/>
        </w:rPr>
        <w:t xml:space="preserve"> and </w:t>
      </w:r>
      <w:proofErr w:type="spellStart"/>
      <w:r w:rsidRPr="007B15B9">
        <w:rPr>
          <w:rFonts w:ascii="Times New Roman" w:eastAsia="Times New Roman" w:hAnsi="Times New Roman" w:cs="Times New Roman"/>
          <w:color w:val="0E101A"/>
          <w:sz w:val="24"/>
          <w:szCs w:val="24"/>
        </w:rPr>
        <w:t>Manders</w:t>
      </w:r>
      <w:proofErr w:type="spellEnd"/>
      <w:r w:rsidRPr="007B15B9">
        <w:rPr>
          <w:rFonts w:ascii="Times New Roman" w:eastAsia="Times New Roman" w:hAnsi="Times New Roman" w:cs="Times New Roman"/>
          <w:color w:val="0E101A"/>
          <w:sz w:val="24"/>
          <w:szCs w:val="24"/>
        </w:rPr>
        <w:t>, 2020, pg. 816).</w:t>
      </w:r>
    </w:p>
    <w:p w14:paraId="1F750258" w14:textId="77777777" w:rsidR="007B15B9" w:rsidRPr="00E2287D" w:rsidRDefault="007B15B9"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It starts with understandin</w:t>
      </w:r>
      <w:r w:rsidR="00E60900" w:rsidRPr="00E2287D">
        <w:rPr>
          <w:rFonts w:ascii="Times New Roman" w:eastAsia="Times New Roman" w:hAnsi="Times New Roman" w:cs="Times New Roman"/>
          <w:color w:val="0E101A"/>
          <w:sz w:val="24"/>
          <w:szCs w:val="24"/>
        </w:rPr>
        <w:t>g and adding value</w:t>
      </w:r>
    </w:p>
    <w:p w14:paraId="66E7A190"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 xml:space="preserve">For a community engagement program to be effective, it is essential to begin by understanding the issue and staying grounded on adding value. People like it when they see a person with intentions of adding value to their lives. Among the reasons why community engagement programs fail is that most leaders are selfish and focus less on meeting the interests of the community members. Such leaders will not pay attention or put enough effort into understanding the community issue or engage the members enough to participate in the program (David-Chavez and Gavin, 2018, pg. 14). When the public detects such selfish interests, most </w:t>
      </w:r>
      <w:r w:rsidRPr="007B15B9">
        <w:rPr>
          <w:rFonts w:ascii="Times New Roman" w:eastAsia="Times New Roman" w:hAnsi="Times New Roman" w:cs="Times New Roman"/>
          <w:color w:val="0E101A"/>
          <w:sz w:val="24"/>
          <w:szCs w:val="24"/>
        </w:rPr>
        <w:lastRenderedPageBreak/>
        <w:t>people get discouraged from participating in the program, making meeting the set goals and objectives challenging.</w:t>
      </w:r>
    </w:p>
    <w:p w14:paraId="5F2E08F9" w14:textId="77777777" w:rsidR="007B15B9" w:rsidRPr="00E2287D" w:rsidRDefault="00E60900"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I</w:t>
      </w:r>
      <w:r w:rsidR="007B15B9" w:rsidRPr="00E2287D">
        <w:rPr>
          <w:rFonts w:ascii="Times New Roman" w:eastAsia="Times New Roman" w:hAnsi="Times New Roman" w:cs="Times New Roman"/>
          <w:color w:val="0E101A"/>
          <w:sz w:val="24"/>
          <w:szCs w:val="24"/>
        </w:rPr>
        <w:t>ncorporate entertainment and education</w:t>
      </w:r>
    </w:p>
    <w:p w14:paraId="041B155F"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 xml:space="preserve">People hate monotony in any given activity. It is essential to ensure that the community engagement program is not monotonous as a community leader. The current digital generation always mixes education with entertainment for the program to yield positive results. As Corbett and Le </w:t>
      </w:r>
      <w:proofErr w:type="spellStart"/>
      <w:r w:rsidRPr="007B15B9">
        <w:rPr>
          <w:rFonts w:ascii="Times New Roman" w:eastAsia="Times New Roman" w:hAnsi="Times New Roman" w:cs="Times New Roman"/>
          <w:color w:val="0E101A"/>
          <w:sz w:val="24"/>
          <w:szCs w:val="24"/>
        </w:rPr>
        <w:t>Dantec</w:t>
      </w:r>
      <w:proofErr w:type="spellEnd"/>
      <w:r w:rsidRPr="007B15B9">
        <w:rPr>
          <w:rFonts w:ascii="Times New Roman" w:eastAsia="Times New Roman" w:hAnsi="Times New Roman" w:cs="Times New Roman"/>
          <w:color w:val="0E101A"/>
          <w:sz w:val="24"/>
          <w:szCs w:val="24"/>
        </w:rPr>
        <w:t xml:space="preserve"> (2018) mentioned, many mothers in society today are in their early to late twenties. These are young women who are very active on social media, wanting to stay updated on the current trends and happenings. At the same time, such mothers are excited by fun and lots of entertainment; hence expecting them to participate in programs without entertainment would not work (Corbett and Le </w:t>
      </w:r>
      <w:proofErr w:type="spellStart"/>
      <w:r w:rsidRPr="007B15B9">
        <w:rPr>
          <w:rFonts w:ascii="Times New Roman" w:eastAsia="Times New Roman" w:hAnsi="Times New Roman" w:cs="Times New Roman"/>
          <w:color w:val="0E101A"/>
          <w:sz w:val="24"/>
          <w:szCs w:val="24"/>
        </w:rPr>
        <w:t>Dantec</w:t>
      </w:r>
      <w:proofErr w:type="spellEnd"/>
      <w:r w:rsidRPr="007B15B9">
        <w:rPr>
          <w:rFonts w:ascii="Times New Roman" w:eastAsia="Times New Roman" w:hAnsi="Times New Roman" w:cs="Times New Roman"/>
          <w:color w:val="0E101A"/>
          <w:sz w:val="24"/>
          <w:szCs w:val="24"/>
        </w:rPr>
        <w:t>, 2018, pg. 6). Therefore, for effectiveness, the program should incorporate entertainment and education.</w:t>
      </w:r>
    </w:p>
    <w:p w14:paraId="1E0F99FB" w14:textId="77777777" w:rsidR="007B15B9" w:rsidRPr="00E2287D" w:rsidRDefault="00E60900" w:rsidP="00F760A6">
      <w:pPr>
        <w:pStyle w:val="Heading2"/>
        <w:rPr>
          <w:rFonts w:eastAsia="Times New Roman"/>
        </w:rPr>
      </w:pPr>
      <w:bookmarkStart w:id="4" w:name="_Toc100769184"/>
      <w:r w:rsidRPr="00E2287D">
        <w:rPr>
          <w:rFonts w:eastAsia="Times New Roman"/>
        </w:rPr>
        <w:t xml:space="preserve">The </w:t>
      </w:r>
      <w:r w:rsidR="007B15B9" w:rsidRPr="00E2287D">
        <w:rPr>
          <w:rFonts w:eastAsia="Times New Roman"/>
        </w:rPr>
        <w:t xml:space="preserve">benefits of </w:t>
      </w:r>
      <w:r w:rsidRPr="00E2287D">
        <w:rPr>
          <w:rFonts w:eastAsia="Times New Roman"/>
        </w:rPr>
        <w:t>stakeholders’</w:t>
      </w:r>
      <w:r w:rsidR="007B15B9" w:rsidRPr="00E2287D">
        <w:rPr>
          <w:rFonts w:eastAsia="Times New Roman"/>
        </w:rPr>
        <w:t xml:space="preserve"> participation</w:t>
      </w:r>
      <w:bookmarkEnd w:id="4"/>
    </w:p>
    <w:p w14:paraId="5792FC10" w14:textId="77777777" w:rsidR="007B15B9" w:rsidRPr="00E2287D" w:rsidRDefault="00E60900"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A</w:t>
      </w:r>
      <w:r w:rsidR="007B15B9" w:rsidRPr="00E2287D">
        <w:rPr>
          <w:rFonts w:ascii="Times New Roman" w:eastAsia="Times New Roman" w:hAnsi="Times New Roman" w:cs="Times New Roman"/>
          <w:color w:val="0E101A"/>
          <w:sz w:val="24"/>
          <w:szCs w:val="24"/>
        </w:rPr>
        <w:t xml:space="preserve"> chance to voice their opinion</w:t>
      </w:r>
    </w:p>
    <w:p w14:paraId="3CDCCF66"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Among the benefits of stakeholder engagement is that it offers a chance for community members who are likely to be affected by the outcome to voice their opinion. Allowing the community to voice their opinion is an essential aspect of every kind of leadership. As a leader, one should not just make decisions for people but seek to understand what they need or prefer before making any conclusions. It is essential to consider the fact that community members have a better understanding of what is going on and which problems are affecting them (</w:t>
      </w:r>
      <w:proofErr w:type="spellStart"/>
      <w:r w:rsidRPr="007B15B9">
        <w:rPr>
          <w:rFonts w:ascii="Times New Roman" w:eastAsia="Times New Roman" w:hAnsi="Times New Roman" w:cs="Times New Roman"/>
          <w:color w:val="0E101A"/>
          <w:sz w:val="24"/>
          <w:szCs w:val="24"/>
        </w:rPr>
        <w:t>Algharabat</w:t>
      </w:r>
      <w:proofErr w:type="spellEnd"/>
      <w:r w:rsidRPr="007B15B9">
        <w:rPr>
          <w:rFonts w:ascii="Times New Roman" w:eastAsia="Times New Roman" w:hAnsi="Times New Roman" w:cs="Times New Roman"/>
          <w:color w:val="0E101A"/>
          <w:sz w:val="24"/>
          <w:szCs w:val="24"/>
        </w:rPr>
        <w:t xml:space="preserve"> and Rana, 2021, pg. 1499). Therefore, giving such people a chance to voice their opinion becomes helpful to the leader in ensuring the proposed change or measures put in place are in favor of the public interests.</w:t>
      </w:r>
    </w:p>
    <w:p w14:paraId="7E0D50DF" w14:textId="77777777" w:rsidR="007B15B9" w:rsidRPr="00E2287D" w:rsidRDefault="007B15B9"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Understanding who the key stakeholders are</w:t>
      </w:r>
    </w:p>
    <w:p w14:paraId="5FE46C87"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lastRenderedPageBreak/>
        <w:t xml:space="preserve">During community engagement, the leader understands who the key stakeholders are. This becomes helpful and much easier for the program execution. For instance, in the community education program about prenatal and postnatal care, community engagement would help the local authorities understand which group of mothers </w:t>
      </w:r>
      <w:proofErr w:type="gramStart"/>
      <w:r w:rsidRPr="007B15B9">
        <w:rPr>
          <w:rFonts w:ascii="Times New Roman" w:eastAsia="Times New Roman" w:hAnsi="Times New Roman" w:cs="Times New Roman"/>
          <w:color w:val="0E101A"/>
          <w:sz w:val="24"/>
          <w:szCs w:val="24"/>
        </w:rPr>
        <w:t>are much</w:t>
      </w:r>
      <w:proofErr w:type="gramEnd"/>
      <w:r w:rsidRPr="007B15B9">
        <w:rPr>
          <w:rFonts w:ascii="Times New Roman" w:eastAsia="Times New Roman" w:hAnsi="Times New Roman" w:cs="Times New Roman"/>
          <w:color w:val="0E101A"/>
          <w:sz w:val="24"/>
          <w:szCs w:val="24"/>
        </w:rPr>
        <w:t xml:space="preserve"> affected by the ongoing infant mortality rate. Probably, most of those women who do not take part in prenatal and postnatal care are illiterate or the </w:t>
      </w:r>
      <w:proofErr w:type="gramStart"/>
      <w:r w:rsidRPr="007B15B9">
        <w:rPr>
          <w:rFonts w:ascii="Times New Roman" w:eastAsia="Times New Roman" w:hAnsi="Times New Roman" w:cs="Times New Roman"/>
          <w:color w:val="0E101A"/>
          <w:sz w:val="24"/>
          <w:szCs w:val="24"/>
        </w:rPr>
        <w:t>low income</w:t>
      </w:r>
      <w:proofErr w:type="gramEnd"/>
      <w:r w:rsidRPr="007B15B9">
        <w:rPr>
          <w:rFonts w:ascii="Times New Roman" w:eastAsia="Times New Roman" w:hAnsi="Times New Roman" w:cs="Times New Roman"/>
          <w:color w:val="0E101A"/>
          <w:sz w:val="24"/>
          <w:szCs w:val="24"/>
        </w:rPr>
        <w:t xml:space="preserve"> group. Having such understanding becomes much helpful in determining the right strategies that should be implemented to solve the problem (</w:t>
      </w:r>
      <w:proofErr w:type="spellStart"/>
      <w:r w:rsidRPr="007B15B9">
        <w:rPr>
          <w:rFonts w:ascii="Times New Roman" w:eastAsia="Times New Roman" w:hAnsi="Times New Roman" w:cs="Times New Roman"/>
          <w:color w:val="0E101A"/>
          <w:sz w:val="24"/>
          <w:szCs w:val="24"/>
        </w:rPr>
        <w:t>Andrasik</w:t>
      </w:r>
      <w:proofErr w:type="spellEnd"/>
      <w:r w:rsidRPr="007B15B9">
        <w:rPr>
          <w:rFonts w:ascii="Times New Roman" w:eastAsia="Times New Roman" w:hAnsi="Times New Roman" w:cs="Times New Roman"/>
          <w:color w:val="0E101A"/>
          <w:sz w:val="24"/>
          <w:szCs w:val="24"/>
        </w:rPr>
        <w:t xml:space="preserve">, Broder, Wallace, Chaturvedi, Michael, Bock, </w:t>
      </w:r>
      <w:proofErr w:type="spellStart"/>
      <w:r w:rsidRPr="007B15B9">
        <w:rPr>
          <w:rFonts w:ascii="Times New Roman" w:eastAsia="Times New Roman" w:hAnsi="Times New Roman" w:cs="Times New Roman"/>
          <w:color w:val="0E101A"/>
          <w:sz w:val="24"/>
          <w:szCs w:val="24"/>
        </w:rPr>
        <w:t>Beyrer</w:t>
      </w:r>
      <w:proofErr w:type="spellEnd"/>
      <w:r w:rsidRPr="007B15B9">
        <w:rPr>
          <w:rFonts w:ascii="Times New Roman" w:eastAsia="Times New Roman" w:hAnsi="Times New Roman" w:cs="Times New Roman"/>
          <w:color w:val="0E101A"/>
          <w:sz w:val="24"/>
          <w:szCs w:val="24"/>
        </w:rPr>
        <w:t xml:space="preserve">, </w:t>
      </w:r>
      <w:proofErr w:type="spellStart"/>
      <w:r w:rsidRPr="007B15B9">
        <w:rPr>
          <w:rFonts w:ascii="Times New Roman" w:eastAsia="Times New Roman" w:hAnsi="Times New Roman" w:cs="Times New Roman"/>
          <w:color w:val="0E101A"/>
          <w:sz w:val="24"/>
          <w:szCs w:val="24"/>
        </w:rPr>
        <w:t>Oseso</w:t>
      </w:r>
      <w:proofErr w:type="spellEnd"/>
      <w:r w:rsidRPr="007B15B9">
        <w:rPr>
          <w:rFonts w:ascii="Times New Roman" w:eastAsia="Times New Roman" w:hAnsi="Times New Roman" w:cs="Times New Roman"/>
          <w:color w:val="0E101A"/>
          <w:sz w:val="24"/>
          <w:szCs w:val="24"/>
        </w:rPr>
        <w:t xml:space="preserve">, </w:t>
      </w:r>
      <w:proofErr w:type="spellStart"/>
      <w:r w:rsidRPr="007B15B9">
        <w:rPr>
          <w:rFonts w:ascii="Times New Roman" w:eastAsia="Times New Roman" w:hAnsi="Times New Roman" w:cs="Times New Roman"/>
          <w:color w:val="0E101A"/>
          <w:sz w:val="24"/>
          <w:szCs w:val="24"/>
        </w:rPr>
        <w:t>Aina</w:t>
      </w:r>
      <w:proofErr w:type="spellEnd"/>
      <w:r w:rsidRPr="007B15B9">
        <w:rPr>
          <w:rFonts w:ascii="Times New Roman" w:eastAsia="Times New Roman" w:hAnsi="Times New Roman" w:cs="Times New Roman"/>
          <w:color w:val="0E101A"/>
          <w:sz w:val="24"/>
          <w:szCs w:val="24"/>
        </w:rPr>
        <w:t>, Lucas and Wilson, 2021, pg. 15).</w:t>
      </w:r>
    </w:p>
    <w:p w14:paraId="59245813" w14:textId="77777777" w:rsidR="007B15B9" w:rsidRPr="00E2287D" w:rsidRDefault="007B15B9"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Building new partnerships and relationships</w:t>
      </w:r>
    </w:p>
    <w:p w14:paraId="6253B35B"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Community engagement involves a lot of communication and public discussions. In the current digital age, social media platforms such as Facebook, Instagram, twitter and Ticktock would be at the fore front in holding such discussions. As a result, different people from different regions would get a chance to get informed about the ongoing problem. Consequently, partners from different locations and regions would volunteer to collaborate with the local authority and offer help (Adebisi, Rabe, and Lucero-</w:t>
      </w:r>
      <w:proofErr w:type="spellStart"/>
      <w:r w:rsidRPr="007B15B9">
        <w:rPr>
          <w:rFonts w:ascii="Times New Roman" w:eastAsia="Times New Roman" w:hAnsi="Times New Roman" w:cs="Times New Roman"/>
          <w:color w:val="0E101A"/>
          <w:sz w:val="24"/>
          <w:szCs w:val="24"/>
        </w:rPr>
        <w:t>Prisno</w:t>
      </w:r>
      <w:proofErr w:type="spellEnd"/>
      <w:r w:rsidRPr="007B15B9">
        <w:rPr>
          <w:rFonts w:ascii="Times New Roman" w:eastAsia="Times New Roman" w:hAnsi="Times New Roman" w:cs="Times New Roman"/>
          <w:color w:val="0E101A"/>
          <w:sz w:val="24"/>
          <w:szCs w:val="24"/>
        </w:rPr>
        <w:t>, 2021, pg. 46). In this way, community engagement becomes a bridge to building new partnerships and relationships that would make it easier to solve the problem at hand.</w:t>
      </w:r>
    </w:p>
    <w:p w14:paraId="40149DD3" w14:textId="77777777" w:rsidR="007B15B9" w:rsidRPr="00E2287D" w:rsidRDefault="007B15B9"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Trust</w:t>
      </w:r>
    </w:p>
    <w:p w14:paraId="71F7737A"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 xml:space="preserve">Another advantage of community engagement is trust. When the leader engages the community and gives them a chance to voice their ideas and opinions, people feel respected and valued. Taking part in public conversations and interacting with them helps build a strong trust level between the leader and the community (Pratt, Cheah, and Marsh, 2020, pg. 48). As a result, </w:t>
      </w:r>
      <w:r w:rsidRPr="007B15B9">
        <w:rPr>
          <w:rFonts w:ascii="Times New Roman" w:eastAsia="Times New Roman" w:hAnsi="Times New Roman" w:cs="Times New Roman"/>
          <w:color w:val="0E101A"/>
          <w:sz w:val="24"/>
          <w:szCs w:val="24"/>
        </w:rPr>
        <w:lastRenderedPageBreak/>
        <w:t>trust becomes a helpful tool during the project execution. Since the community trusts the leader, it becomes easy for them to actively participate or support any initiative the authority will put in place to support the program execution, which is another benefit of community engagement.</w:t>
      </w:r>
    </w:p>
    <w:p w14:paraId="3D1608A1" w14:textId="77777777" w:rsidR="007B15B9" w:rsidRPr="00E2287D" w:rsidRDefault="007B15B9"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Risk management</w:t>
      </w:r>
    </w:p>
    <w:p w14:paraId="1155E554"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During community engagement, members of the community may help the leader identify risks early in executing the program. As mentioned earlier, community members have a better understanding of the underlying challenges and problems within their surroundings. Community engagement helps the local authority to work closely with the members and hence a chance to quickly identify risk factors before they become a threat (Mayo, 2019, pg. 3). As a result, it becomes much easier for the leader to effectively perform the assigned duties and responsibilities to ensure that the community's interests are satisfied.</w:t>
      </w:r>
    </w:p>
    <w:p w14:paraId="274B7D04" w14:textId="77777777" w:rsidR="007B15B9" w:rsidRPr="00E2287D" w:rsidRDefault="00E60900" w:rsidP="007B15B9">
      <w:pPr>
        <w:spacing w:after="0" w:line="480" w:lineRule="auto"/>
        <w:rPr>
          <w:rFonts w:ascii="Times New Roman" w:eastAsia="Times New Roman" w:hAnsi="Times New Roman" w:cs="Times New Roman"/>
          <w:color w:val="0E101A"/>
          <w:sz w:val="24"/>
          <w:szCs w:val="24"/>
        </w:rPr>
      </w:pPr>
      <w:r w:rsidRPr="00E2287D">
        <w:rPr>
          <w:rFonts w:ascii="Times New Roman" w:eastAsia="Times New Roman" w:hAnsi="Times New Roman" w:cs="Times New Roman"/>
          <w:color w:val="0E101A"/>
          <w:sz w:val="24"/>
          <w:szCs w:val="24"/>
        </w:rPr>
        <w:t>It saves time and money</w:t>
      </w:r>
    </w:p>
    <w:p w14:paraId="1607D075"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The other benefit, community engagement helps in save time and money. As mentioned earlier, community engagement helps the local authority learn better about the problem at hand and help identify risks before they become a threat. Through such privileges, the leader obtains a chance to avoid risks or find ways to manage those risks easily in advance. At the same time, having a clear understanding of the problem helps the leader identify or develop the most appropriate strategies to solve the issue. As a result, community engagement provides a chance to avoid making avoidable mistakes and risks, saving both time and money during the program execution process (Ryan, Johnston, Taylor, and McAndrew, 2020, pg. 125). Therefore, community engagement is helpful in various ways and is worthy of the local authority's consideration when dealing with any matters affecting the community.</w:t>
      </w:r>
    </w:p>
    <w:p w14:paraId="44D4CF5A" w14:textId="77777777" w:rsidR="007B15B9" w:rsidRPr="007B15B9" w:rsidRDefault="007B15B9" w:rsidP="00F760A6">
      <w:pPr>
        <w:pStyle w:val="Heading1"/>
        <w:jc w:val="center"/>
        <w:rPr>
          <w:rFonts w:eastAsia="Times New Roman"/>
        </w:rPr>
      </w:pPr>
      <w:bookmarkStart w:id="5" w:name="_Toc100769185"/>
      <w:r w:rsidRPr="007B15B9">
        <w:rPr>
          <w:rFonts w:eastAsia="Times New Roman"/>
        </w:rPr>
        <w:lastRenderedPageBreak/>
        <w:t>Conclusion</w:t>
      </w:r>
      <w:bookmarkEnd w:id="5"/>
    </w:p>
    <w:p w14:paraId="33238809" w14:textId="77777777" w:rsidR="007B15B9" w:rsidRPr="007B15B9" w:rsidRDefault="007B15B9" w:rsidP="00E60900">
      <w:pPr>
        <w:spacing w:after="0" w:line="480" w:lineRule="auto"/>
        <w:ind w:firstLine="720"/>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According to the above discussions, community engagement is essential in community development. Community leaders should always work closely with the community to execute their assigned roles and responsibilities more effectively. The local authority often fails mainly because of poor or lack of community engagement. As highlighted above, some essential principles and strategies, as highlighted above help ensure a successful community engagement program. When community members are well engaged, the leader benefits in many ways:</w:t>
      </w:r>
    </w:p>
    <w:p w14:paraId="7526A106" w14:textId="77777777" w:rsidR="007B15B9" w:rsidRPr="007B15B9" w:rsidRDefault="007B15B9" w:rsidP="007B15B9">
      <w:pPr>
        <w:numPr>
          <w:ilvl w:val="0"/>
          <w:numId w:val="1"/>
        </w:numPr>
        <w:spacing w:after="0" w:line="480" w:lineRule="auto"/>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Having a better understanding of the problem.</w:t>
      </w:r>
    </w:p>
    <w:p w14:paraId="65FC68A0" w14:textId="77777777" w:rsidR="007B15B9" w:rsidRPr="007B15B9" w:rsidRDefault="007B15B9" w:rsidP="007B15B9">
      <w:pPr>
        <w:numPr>
          <w:ilvl w:val="0"/>
          <w:numId w:val="1"/>
        </w:numPr>
        <w:spacing w:after="0" w:line="480" w:lineRule="auto"/>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Gaining trust from the members.</w:t>
      </w:r>
    </w:p>
    <w:p w14:paraId="1F46AF4C" w14:textId="77777777" w:rsidR="007B15B9" w:rsidRPr="007B15B9" w:rsidRDefault="007B15B9" w:rsidP="007B15B9">
      <w:pPr>
        <w:numPr>
          <w:ilvl w:val="0"/>
          <w:numId w:val="1"/>
        </w:numPr>
        <w:spacing w:after="0" w:line="480" w:lineRule="auto"/>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Understanding who the key stakeholders are.</w:t>
      </w:r>
    </w:p>
    <w:p w14:paraId="75BFC309" w14:textId="77777777" w:rsidR="007B15B9" w:rsidRPr="007B15B9" w:rsidRDefault="007B15B9" w:rsidP="007B15B9">
      <w:pPr>
        <w:numPr>
          <w:ilvl w:val="0"/>
          <w:numId w:val="1"/>
        </w:numPr>
        <w:spacing w:after="0" w:line="480" w:lineRule="auto"/>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Building new partnerships and relations, among many others.</w:t>
      </w:r>
    </w:p>
    <w:p w14:paraId="58AA1499" w14:textId="77777777" w:rsidR="007B15B9" w:rsidRPr="007B15B9" w:rsidRDefault="007B15B9" w:rsidP="007B15B9">
      <w:pPr>
        <w:spacing w:after="0" w:line="480" w:lineRule="auto"/>
        <w:rPr>
          <w:rFonts w:ascii="Times New Roman" w:eastAsia="Times New Roman" w:hAnsi="Times New Roman" w:cs="Times New Roman"/>
          <w:color w:val="0E101A"/>
          <w:sz w:val="24"/>
          <w:szCs w:val="24"/>
        </w:rPr>
      </w:pPr>
      <w:r w:rsidRPr="007B15B9">
        <w:rPr>
          <w:rFonts w:ascii="Times New Roman" w:eastAsia="Times New Roman" w:hAnsi="Times New Roman" w:cs="Times New Roman"/>
          <w:color w:val="0E101A"/>
          <w:sz w:val="24"/>
          <w:szCs w:val="24"/>
        </w:rPr>
        <w:t>The identified benefits reveal how much community engagement would help the local authority quickly solve any ongoing issue. It makes program execution much more accessible within the community and hence a chance to enhance growth and development. Following all these discussions, it is concluded that community engagement should always be considered the top guiding principle when dealing with community-related issues.</w:t>
      </w:r>
    </w:p>
    <w:p w14:paraId="0FE513D1" w14:textId="77777777" w:rsidR="007B15B9" w:rsidRPr="007B15B9" w:rsidRDefault="007B15B9" w:rsidP="007B15B9">
      <w:pPr>
        <w:spacing w:after="0" w:line="480" w:lineRule="auto"/>
        <w:rPr>
          <w:rFonts w:ascii="Times New Roman" w:hAnsi="Times New Roman" w:cs="Times New Roman"/>
          <w:sz w:val="24"/>
          <w:szCs w:val="24"/>
        </w:rPr>
      </w:pPr>
    </w:p>
    <w:p w14:paraId="6235F16C" w14:textId="77777777" w:rsidR="007B15B9" w:rsidRPr="007B15B9" w:rsidRDefault="007B15B9" w:rsidP="007B15B9">
      <w:pPr>
        <w:spacing w:after="0" w:line="480" w:lineRule="auto"/>
        <w:rPr>
          <w:rFonts w:ascii="Times New Roman" w:hAnsi="Times New Roman" w:cs="Times New Roman"/>
          <w:sz w:val="24"/>
          <w:szCs w:val="24"/>
        </w:rPr>
      </w:pPr>
    </w:p>
    <w:p w14:paraId="4A7B946D" w14:textId="77777777" w:rsidR="007B15B9" w:rsidRPr="007B15B9" w:rsidRDefault="007B15B9" w:rsidP="007B15B9">
      <w:pPr>
        <w:spacing w:after="0" w:line="480" w:lineRule="auto"/>
        <w:rPr>
          <w:rFonts w:ascii="Times New Roman" w:hAnsi="Times New Roman" w:cs="Times New Roman"/>
          <w:sz w:val="24"/>
          <w:szCs w:val="24"/>
        </w:rPr>
      </w:pPr>
    </w:p>
    <w:p w14:paraId="01F9EB6C" w14:textId="77777777" w:rsidR="007B15B9" w:rsidRPr="007B15B9" w:rsidRDefault="007B15B9" w:rsidP="007B15B9">
      <w:pPr>
        <w:spacing w:after="0" w:line="480" w:lineRule="auto"/>
        <w:rPr>
          <w:rFonts w:ascii="Times New Roman" w:hAnsi="Times New Roman" w:cs="Times New Roman"/>
          <w:sz w:val="24"/>
          <w:szCs w:val="24"/>
        </w:rPr>
      </w:pPr>
    </w:p>
    <w:p w14:paraId="6BC94F32" w14:textId="77777777" w:rsidR="0046772C" w:rsidRDefault="0046772C">
      <w:pP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br w:type="page"/>
      </w:r>
    </w:p>
    <w:p w14:paraId="24F01D84" w14:textId="77777777" w:rsidR="00E60900" w:rsidRPr="00E60900" w:rsidRDefault="00E60900" w:rsidP="00F760A6">
      <w:pPr>
        <w:pStyle w:val="Heading1"/>
        <w:jc w:val="center"/>
        <w:rPr>
          <w:shd w:val="clear" w:color="auto" w:fill="FFFFFF"/>
        </w:rPr>
      </w:pPr>
      <w:bookmarkStart w:id="6" w:name="_Toc100769186"/>
      <w:r w:rsidRPr="00E60900">
        <w:rPr>
          <w:shd w:val="clear" w:color="auto" w:fill="FFFFFF"/>
        </w:rPr>
        <w:lastRenderedPageBreak/>
        <w:t>Bibliography</w:t>
      </w:r>
      <w:bookmarkEnd w:id="6"/>
    </w:p>
    <w:p w14:paraId="2AA90E2C"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Adebisi, Y.A., Rabe, A. and Lucero-</w:t>
      </w:r>
      <w:proofErr w:type="spellStart"/>
      <w:r w:rsidRPr="007B15B9">
        <w:rPr>
          <w:rFonts w:ascii="Times New Roman" w:hAnsi="Times New Roman" w:cs="Times New Roman"/>
          <w:color w:val="222222"/>
          <w:sz w:val="24"/>
          <w:szCs w:val="24"/>
          <w:shd w:val="clear" w:color="auto" w:fill="FFFFFF"/>
        </w:rPr>
        <w:t>Prisno</w:t>
      </w:r>
      <w:proofErr w:type="spellEnd"/>
      <w:r w:rsidRPr="007B15B9">
        <w:rPr>
          <w:rFonts w:ascii="Times New Roman" w:hAnsi="Times New Roman" w:cs="Times New Roman"/>
          <w:color w:val="222222"/>
          <w:sz w:val="24"/>
          <w:szCs w:val="24"/>
          <w:shd w:val="clear" w:color="auto" w:fill="FFFFFF"/>
        </w:rPr>
        <w:t xml:space="preserve"> III, D.E., 2021. Risk communication and community </w:t>
      </w:r>
    </w:p>
    <w:p w14:paraId="329170D2" w14:textId="77777777" w:rsidR="003B4000" w:rsidRPr="007B15B9" w:rsidRDefault="003B4000" w:rsidP="00E60900">
      <w:pPr>
        <w:spacing w:after="0" w:line="480" w:lineRule="auto"/>
        <w:ind w:left="720"/>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engagement strategies for COVID-19 in 13 African countries. </w:t>
      </w:r>
      <w:r w:rsidRPr="007B15B9">
        <w:rPr>
          <w:rFonts w:ascii="Times New Roman" w:hAnsi="Times New Roman" w:cs="Times New Roman"/>
          <w:i/>
          <w:iCs/>
          <w:color w:val="222222"/>
          <w:sz w:val="24"/>
          <w:szCs w:val="24"/>
          <w:shd w:val="clear" w:color="auto" w:fill="FFFFFF"/>
        </w:rPr>
        <w:t>Health Promotion Perspectives</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11</w:t>
      </w:r>
      <w:r w:rsidRPr="007B15B9">
        <w:rPr>
          <w:rFonts w:ascii="Times New Roman" w:hAnsi="Times New Roman" w:cs="Times New Roman"/>
          <w:color w:val="222222"/>
          <w:sz w:val="24"/>
          <w:szCs w:val="24"/>
          <w:shd w:val="clear" w:color="auto" w:fill="FFFFFF"/>
        </w:rPr>
        <w:t>(2), p.137.</w:t>
      </w:r>
    </w:p>
    <w:p w14:paraId="10A20308"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proofErr w:type="spellStart"/>
      <w:r w:rsidRPr="007B15B9">
        <w:rPr>
          <w:rFonts w:ascii="Times New Roman" w:hAnsi="Times New Roman" w:cs="Times New Roman"/>
          <w:color w:val="222222"/>
          <w:sz w:val="24"/>
          <w:szCs w:val="24"/>
          <w:shd w:val="clear" w:color="auto" w:fill="FFFFFF"/>
        </w:rPr>
        <w:t>Andrasik</w:t>
      </w:r>
      <w:proofErr w:type="spellEnd"/>
      <w:r w:rsidRPr="007B15B9">
        <w:rPr>
          <w:rFonts w:ascii="Times New Roman" w:hAnsi="Times New Roman" w:cs="Times New Roman"/>
          <w:color w:val="222222"/>
          <w:sz w:val="24"/>
          <w:szCs w:val="24"/>
          <w:shd w:val="clear" w:color="auto" w:fill="FFFFFF"/>
        </w:rPr>
        <w:t xml:space="preserve">, M.P., Broder, G.B., Wallace, S.E., Chaturvedi, R., Michael, N.L., Bock, S., </w:t>
      </w:r>
      <w:proofErr w:type="spellStart"/>
      <w:r w:rsidRPr="007B15B9">
        <w:rPr>
          <w:rFonts w:ascii="Times New Roman" w:hAnsi="Times New Roman" w:cs="Times New Roman"/>
          <w:color w:val="222222"/>
          <w:sz w:val="24"/>
          <w:szCs w:val="24"/>
          <w:shd w:val="clear" w:color="auto" w:fill="FFFFFF"/>
        </w:rPr>
        <w:t>Beyrer</w:t>
      </w:r>
      <w:proofErr w:type="spellEnd"/>
      <w:r w:rsidRPr="007B15B9">
        <w:rPr>
          <w:rFonts w:ascii="Times New Roman" w:hAnsi="Times New Roman" w:cs="Times New Roman"/>
          <w:color w:val="222222"/>
          <w:sz w:val="24"/>
          <w:szCs w:val="24"/>
          <w:shd w:val="clear" w:color="auto" w:fill="FFFFFF"/>
        </w:rPr>
        <w:t xml:space="preserve">, C., </w:t>
      </w:r>
    </w:p>
    <w:p w14:paraId="325AFC1C" w14:textId="77777777" w:rsidR="003B4000" w:rsidRPr="007B15B9" w:rsidRDefault="003B4000" w:rsidP="00E60900">
      <w:pPr>
        <w:spacing w:after="0" w:line="480" w:lineRule="auto"/>
        <w:ind w:left="720"/>
        <w:rPr>
          <w:rFonts w:ascii="Times New Roman" w:hAnsi="Times New Roman" w:cs="Times New Roman"/>
          <w:color w:val="222222"/>
          <w:sz w:val="24"/>
          <w:szCs w:val="24"/>
          <w:shd w:val="clear" w:color="auto" w:fill="FFFFFF"/>
        </w:rPr>
      </w:pPr>
      <w:proofErr w:type="spellStart"/>
      <w:r w:rsidRPr="007B15B9">
        <w:rPr>
          <w:rFonts w:ascii="Times New Roman" w:hAnsi="Times New Roman" w:cs="Times New Roman"/>
          <w:color w:val="222222"/>
          <w:sz w:val="24"/>
          <w:szCs w:val="24"/>
          <w:shd w:val="clear" w:color="auto" w:fill="FFFFFF"/>
        </w:rPr>
        <w:t>Oseso</w:t>
      </w:r>
      <w:proofErr w:type="spellEnd"/>
      <w:r w:rsidRPr="007B15B9">
        <w:rPr>
          <w:rFonts w:ascii="Times New Roman" w:hAnsi="Times New Roman" w:cs="Times New Roman"/>
          <w:color w:val="222222"/>
          <w:sz w:val="24"/>
          <w:szCs w:val="24"/>
          <w:shd w:val="clear" w:color="auto" w:fill="FFFFFF"/>
        </w:rPr>
        <w:t xml:space="preserve">, L., </w:t>
      </w:r>
      <w:proofErr w:type="spellStart"/>
      <w:r w:rsidRPr="007B15B9">
        <w:rPr>
          <w:rFonts w:ascii="Times New Roman" w:hAnsi="Times New Roman" w:cs="Times New Roman"/>
          <w:color w:val="222222"/>
          <w:sz w:val="24"/>
          <w:szCs w:val="24"/>
          <w:shd w:val="clear" w:color="auto" w:fill="FFFFFF"/>
        </w:rPr>
        <w:t>Aina</w:t>
      </w:r>
      <w:proofErr w:type="spellEnd"/>
      <w:r w:rsidRPr="007B15B9">
        <w:rPr>
          <w:rFonts w:ascii="Times New Roman" w:hAnsi="Times New Roman" w:cs="Times New Roman"/>
          <w:color w:val="222222"/>
          <w:sz w:val="24"/>
          <w:szCs w:val="24"/>
          <w:shd w:val="clear" w:color="auto" w:fill="FFFFFF"/>
        </w:rPr>
        <w:t>, J., Lucas, J. and Wilson, D.R., 2021. Increasing Black, Indigenous and People of Color participation in clinical trials through community engagement and recruitment goal establishment. </w:t>
      </w:r>
      <w:proofErr w:type="spellStart"/>
      <w:r w:rsidRPr="007B15B9">
        <w:rPr>
          <w:rFonts w:ascii="Times New Roman" w:hAnsi="Times New Roman" w:cs="Times New Roman"/>
          <w:i/>
          <w:iCs/>
          <w:color w:val="222222"/>
          <w:sz w:val="24"/>
          <w:szCs w:val="24"/>
          <w:shd w:val="clear" w:color="auto" w:fill="FFFFFF"/>
        </w:rPr>
        <w:t>PloS</w:t>
      </w:r>
      <w:proofErr w:type="spellEnd"/>
      <w:r w:rsidRPr="007B15B9">
        <w:rPr>
          <w:rFonts w:ascii="Times New Roman" w:hAnsi="Times New Roman" w:cs="Times New Roman"/>
          <w:i/>
          <w:iCs/>
          <w:color w:val="222222"/>
          <w:sz w:val="24"/>
          <w:szCs w:val="24"/>
          <w:shd w:val="clear" w:color="auto" w:fill="FFFFFF"/>
        </w:rPr>
        <w:t xml:space="preserve"> one</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16</w:t>
      </w:r>
      <w:r w:rsidRPr="007B15B9">
        <w:rPr>
          <w:rFonts w:ascii="Times New Roman" w:hAnsi="Times New Roman" w:cs="Times New Roman"/>
          <w:color w:val="222222"/>
          <w:sz w:val="24"/>
          <w:szCs w:val="24"/>
          <w:shd w:val="clear" w:color="auto" w:fill="FFFFFF"/>
        </w:rPr>
        <w:t>(10), p.e0258858.</w:t>
      </w:r>
    </w:p>
    <w:p w14:paraId="67868C78"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proofErr w:type="spellStart"/>
      <w:r w:rsidRPr="007B15B9">
        <w:rPr>
          <w:rFonts w:ascii="Times New Roman" w:hAnsi="Times New Roman" w:cs="Times New Roman"/>
          <w:color w:val="222222"/>
          <w:sz w:val="24"/>
          <w:szCs w:val="24"/>
          <w:shd w:val="clear" w:color="auto" w:fill="FFFFFF"/>
        </w:rPr>
        <w:t>Algharabat</w:t>
      </w:r>
      <w:proofErr w:type="spellEnd"/>
      <w:r w:rsidRPr="007B15B9">
        <w:rPr>
          <w:rFonts w:ascii="Times New Roman" w:hAnsi="Times New Roman" w:cs="Times New Roman"/>
          <w:color w:val="222222"/>
          <w:sz w:val="24"/>
          <w:szCs w:val="24"/>
          <w:shd w:val="clear" w:color="auto" w:fill="FFFFFF"/>
        </w:rPr>
        <w:t xml:space="preserve">, R.S. and Rana, N.P., 2021. Social commerce in emerging markets and its impact on </w:t>
      </w:r>
    </w:p>
    <w:p w14:paraId="2FC7D0AE" w14:textId="77777777" w:rsidR="003B4000" w:rsidRPr="007B15B9" w:rsidRDefault="003B4000" w:rsidP="00E60900">
      <w:pPr>
        <w:spacing w:after="0" w:line="480" w:lineRule="auto"/>
        <w:ind w:firstLine="720"/>
        <w:rPr>
          <w:rFonts w:ascii="Times New Roman" w:hAnsi="Times New Roman" w:cs="Times New Roman"/>
          <w:sz w:val="24"/>
          <w:szCs w:val="24"/>
        </w:rPr>
      </w:pPr>
      <w:r w:rsidRPr="007B15B9">
        <w:rPr>
          <w:rFonts w:ascii="Times New Roman" w:hAnsi="Times New Roman" w:cs="Times New Roman"/>
          <w:color w:val="222222"/>
          <w:sz w:val="24"/>
          <w:szCs w:val="24"/>
          <w:shd w:val="clear" w:color="auto" w:fill="FFFFFF"/>
        </w:rPr>
        <w:t>online community engagement. </w:t>
      </w:r>
      <w:r w:rsidRPr="007B15B9">
        <w:rPr>
          <w:rFonts w:ascii="Times New Roman" w:hAnsi="Times New Roman" w:cs="Times New Roman"/>
          <w:i/>
          <w:iCs/>
          <w:color w:val="222222"/>
          <w:sz w:val="24"/>
          <w:szCs w:val="24"/>
          <w:shd w:val="clear" w:color="auto" w:fill="FFFFFF"/>
        </w:rPr>
        <w:t>Information Systems Frontiers</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23</w:t>
      </w:r>
      <w:r w:rsidRPr="007B15B9">
        <w:rPr>
          <w:rFonts w:ascii="Times New Roman" w:hAnsi="Times New Roman" w:cs="Times New Roman"/>
          <w:color w:val="222222"/>
          <w:sz w:val="24"/>
          <w:szCs w:val="24"/>
          <w:shd w:val="clear" w:color="auto" w:fill="FFFFFF"/>
        </w:rPr>
        <w:t>(6), pp.1499-1520.</w:t>
      </w:r>
    </w:p>
    <w:p w14:paraId="1F9D6B12"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 xml:space="preserve">Corbett, E. and Le </w:t>
      </w:r>
      <w:proofErr w:type="spellStart"/>
      <w:r w:rsidRPr="007B15B9">
        <w:rPr>
          <w:rFonts w:ascii="Times New Roman" w:hAnsi="Times New Roman" w:cs="Times New Roman"/>
          <w:color w:val="222222"/>
          <w:sz w:val="24"/>
          <w:szCs w:val="24"/>
          <w:shd w:val="clear" w:color="auto" w:fill="FFFFFF"/>
        </w:rPr>
        <w:t>Dantec</w:t>
      </w:r>
      <w:proofErr w:type="spellEnd"/>
      <w:r w:rsidRPr="007B15B9">
        <w:rPr>
          <w:rFonts w:ascii="Times New Roman" w:hAnsi="Times New Roman" w:cs="Times New Roman"/>
          <w:color w:val="222222"/>
          <w:sz w:val="24"/>
          <w:szCs w:val="24"/>
          <w:shd w:val="clear" w:color="auto" w:fill="FFFFFF"/>
        </w:rPr>
        <w:t xml:space="preserve">, C.A., 2018, April. The problem of community engagement: </w:t>
      </w:r>
    </w:p>
    <w:p w14:paraId="75214C6E" w14:textId="77777777" w:rsidR="003B4000" w:rsidRPr="007B15B9" w:rsidRDefault="003B4000" w:rsidP="00E60900">
      <w:pPr>
        <w:spacing w:after="0" w:line="480" w:lineRule="auto"/>
        <w:ind w:left="720"/>
        <w:rPr>
          <w:rFonts w:ascii="Times New Roman" w:hAnsi="Times New Roman" w:cs="Times New Roman"/>
          <w:sz w:val="24"/>
          <w:szCs w:val="24"/>
        </w:rPr>
      </w:pPr>
      <w:r w:rsidRPr="007B15B9">
        <w:rPr>
          <w:rFonts w:ascii="Times New Roman" w:hAnsi="Times New Roman" w:cs="Times New Roman"/>
          <w:color w:val="222222"/>
          <w:sz w:val="24"/>
          <w:szCs w:val="24"/>
          <w:shd w:val="clear" w:color="auto" w:fill="FFFFFF"/>
        </w:rPr>
        <w:t>Disentangling the practices of municipal government. In </w:t>
      </w:r>
      <w:r w:rsidRPr="007B15B9">
        <w:rPr>
          <w:rFonts w:ascii="Times New Roman" w:hAnsi="Times New Roman" w:cs="Times New Roman"/>
          <w:i/>
          <w:iCs/>
          <w:color w:val="222222"/>
          <w:sz w:val="24"/>
          <w:szCs w:val="24"/>
          <w:shd w:val="clear" w:color="auto" w:fill="FFFFFF"/>
        </w:rPr>
        <w:t>Proceedings of the 2018 CHI conference on human factors in computing systems</w:t>
      </w:r>
      <w:r w:rsidRPr="007B15B9">
        <w:rPr>
          <w:rFonts w:ascii="Times New Roman" w:hAnsi="Times New Roman" w:cs="Times New Roman"/>
          <w:color w:val="222222"/>
          <w:sz w:val="24"/>
          <w:szCs w:val="24"/>
          <w:shd w:val="clear" w:color="auto" w:fill="FFFFFF"/>
        </w:rPr>
        <w:t> (pp. 1-13).</w:t>
      </w:r>
    </w:p>
    <w:p w14:paraId="197E0F53"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 xml:space="preserve">David-Chavez, D.M. and Gavin, M.C., 2018. A global assessment of Indigenous community </w:t>
      </w:r>
    </w:p>
    <w:p w14:paraId="141EA445" w14:textId="77777777" w:rsidR="003B4000" w:rsidRPr="007B15B9" w:rsidRDefault="003B4000" w:rsidP="00E60900">
      <w:pPr>
        <w:spacing w:after="0" w:line="480" w:lineRule="auto"/>
        <w:ind w:firstLine="720"/>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engagement in climate research. </w:t>
      </w:r>
      <w:r w:rsidRPr="007B15B9">
        <w:rPr>
          <w:rFonts w:ascii="Times New Roman" w:hAnsi="Times New Roman" w:cs="Times New Roman"/>
          <w:i/>
          <w:iCs/>
          <w:color w:val="222222"/>
          <w:sz w:val="24"/>
          <w:szCs w:val="24"/>
          <w:shd w:val="clear" w:color="auto" w:fill="FFFFFF"/>
        </w:rPr>
        <w:t>Environmental Research Letters</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13</w:t>
      </w:r>
      <w:r w:rsidRPr="007B15B9">
        <w:rPr>
          <w:rFonts w:ascii="Times New Roman" w:hAnsi="Times New Roman" w:cs="Times New Roman"/>
          <w:color w:val="222222"/>
          <w:sz w:val="24"/>
          <w:szCs w:val="24"/>
          <w:shd w:val="clear" w:color="auto" w:fill="FFFFFF"/>
        </w:rPr>
        <w:t>(12), p.123005.</w:t>
      </w:r>
    </w:p>
    <w:p w14:paraId="7690989F"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proofErr w:type="spellStart"/>
      <w:r w:rsidRPr="007B15B9">
        <w:rPr>
          <w:rFonts w:ascii="Times New Roman" w:hAnsi="Times New Roman" w:cs="Times New Roman"/>
          <w:color w:val="222222"/>
          <w:sz w:val="24"/>
          <w:szCs w:val="24"/>
          <w:shd w:val="clear" w:color="auto" w:fill="FFFFFF"/>
        </w:rPr>
        <w:t>Dahles</w:t>
      </w:r>
      <w:proofErr w:type="spellEnd"/>
      <w:r w:rsidRPr="007B15B9">
        <w:rPr>
          <w:rFonts w:ascii="Times New Roman" w:hAnsi="Times New Roman" w:cs="Times New Roman"/>
          <w:color w:val="222222"/>
          <w:sz w:val="24"/>
          <w:szCs w:val="24"/>
          <w:shd w:val="clear" w:color="auto" w:fill="FFFFFF"/>
        </w:rPr>
        <w:t xml:space="preserve">, H., </w:t>
      </w:r>
      <w:proofErr w:type="spellStart"/>
      <w:r w:rsidRPr="007B15B9">
        <w:rPr>
          <w:rFonts w:ascii="Times New Roman" w:hAnsi="Times New Roman" w:cs="Times New Roman"/>
          <w:color w:val="222222"/>
          <w:sz w:val="24"/>
          <w:szCs w:val="24"/>
          <w:shd w:val="clear" w:color="auto" w:fill="FFFFFF"/>
        </w:rPr>
        <w:t>Khieng</w:t>
      </w:r>
      <w:proofErr w:type="spellEnd"/>
      <w:r w:rsidRPr="007B15B9">
        <w:rPr>
          <w:rFonts w:ascii="Times New Roman" w:hAnsi="Times New Roman" w:cs="Times New Roman"/>
          <w:color w:val="222222"/>
          <w:sz w:val="24"/>
          <w:szCs w:val="24"/>
          <w:shd w:val="clear" w:color="auto" w:fill="FFFFFF"/>
        </w:rPr>
        <w:t xml:space="preserve">, S., </w:t>
      </w:r>
      <w:proofErr w:type="spellStart"/>
      <w:r w:rsidRPr="007B15B9">
        <w:rPr>
          <w:rFonts w:ascii="Times New Roman" w:hAnsi="Times New Roman" w:cs="Times New Roman"/>
          <w:color w:val="222222"/>
          <w:sz w:val="24"/>
          <w:szCs w:val="24"/>
          <w:shd w:val="clear" w:color="auto" w:fill="FFFFFF"/>
        </w:rPr>
        <w:t>Verver</w:t>
      </w:r>
      <w:proofErr w:type="spellEnd"/>
      <w:r w:rsidRPr="007B15B9">
        <w:rPr>
          <w:rFonts w:ascii="Times New Roman" w:hAnsi="Times New Roman" w:cs="Times New Roman"/>
          <w:color w:val="222222"/>
          <w:sz w:val="24"/>
          <w:szCs w:val="24"/>
          <w:shd w:val="clear" w:color="auto" w:fill="FFFFFF"/>
        </w:rPr>
        <w:t xml:space="preserve">, M. and </w:t>
      </w:r>
      <w:proofErr w:type="spellStart"/>
      <w:r w:rsidRPr="007B15B9">
        <w:rPr>
          <w:rFonts w:ascii="Times New Roman" w:hAnsi="Times New Roman" w:cs="Times New Roman"/>
          <w:color w:val="222222"/>
          <w:sz w:val="24"/>
          <w:szCs w:val="24"/>
          <w:shd w:val="clear" w:color="auto" w:fill="FFFFFF"/>
        </w:rPr>
        <w:t>Manders</w:t>
      </w:r>
      <w:proofErr w:type="spellEnd"/>
      <w:r w:rsidRPr="007B15B9">
        <w:rPr>
          <w:rFonts w:ascii="Times New Roman" w:hAnsi="Times New Roman" w:cs="Times New Roman"/>
          <w:color w:val="222222"/>
          <w:sz w:val="24"/>
          <w:szCs w:val="24"/>
          <w:shd w:val="clear" w:color="auto" w:fill="FFFFFF"/>
        </w:rPr>
        <w:t xml:space="preserve">, I., 2020. Social entrepreneurship and tourism in </w:t>
      </w:r>
    </w:p>
    <w:p w14:paraId="243BF663" w14:textId="77777777" w:rsidR="003B4000" w:rsidRPr="007B15B9" w:rsidRDefault="003B4000" w:rsidP="00E60900">
      <w:pPr>
        <w:spacing w:after="0" w:line="480" w:lineRule="auto"/>
        <w:ind w:left="720"/>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Cambodia: advancing community engagement. </w:t>
      </w:r>
      <w:r w:rsidRPr="007B15B9">
        <w:rPr>
          <w:rFonts w:ascii="Times New Roman" w:hAnsi="Times New Roman" w:cs="Times New Roman"/>
          <w:i/>
          <w:iCs/>
          <w:color w:val="222222"/>
          <w:sz w:val="24"/>
          <w:szCs w:val="24"/>
          <w:shd w:val="clear" w:color="auto" w:fill="FFFFFF"/>
        </w:rPr>
        <w:t>Journal of Sustainable Tourism</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28</w:t>
      </w:r>
      <w:r w:rsidRPr="007B15B9">
        <w:rPr>
          <w:rFonts w:ascii="Times New Roman" w:hAnsi="Times New Roman" w:cs="Times New Roman"/>
          <w:color w:val="222222"/>
          <w:sz w:val="24"/>
          <w:szCs w:val="24"/>
          <w:shd w:val="clear" w:color="auto" w:fill="FFFFFF"/>
        </w:rPr>
        <w:t>(6), pp.816-833.</w:t>
      </w:r>
    </w:p>
    <w:p w14:paraId="2B67F9BA"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 xml:space="preserve">Reynolds, L. and </w:t>
      </w:r>
      <w:proofErr w:type="spellStart"/>
      <w:r w:rsidRPr="007B15B9">
        <w:rPr>
          <w:rFonts w:ascii="Times New Roman" w:hAnsi="Times New Roman" w:cs="Times New Roman"/>
          <w:color w:val="222222"/>
          <w:sz w:val="24"/>
          <w:szCs w:val="24"/>
          <w:shd w:val="clear" w:color="auto" w:fill="FFFFFF"/>
        </w:rPr>
        <w:t>Sariola</w:t>
      </w:r>
      <w:proofErr w:type="spellEnd"/>
      <w:r w:rsidRPr="007B15B9">
        <w:rPr>
          <w:rFonts w:ascii="Times New Roman" w:hAnsi="Times New Roman" w:cs="Times New Roman"/>
          <w:color w:val="222222"/>
          <w:sz w:val="24"/>
          <w:szCs w:val="24"/>
          <w:shd w:val="clear" w:color="auto" w:fill="FFFFFF"/>
        </w:rPr>
        <w:t xml:space="preserve">, S., 2018. The ethics and politics of community engagement in global </w:t>
      </w:r>
    </w:p>
    <w:p w14:paraId="4EE40C2B" w14:textId="77777777" w:rsidR="003B4000" w:rsidRPr="007B15B9" w:rsidRDefault="003B4000" w:rsidP="00E60900">
      <w:pPr>
        <w:spacing w:after="0" w:line="480" w:lineRule="auto"/>
        <w:ind w:firstLine="720"/>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health research. </w:t>
      </w:r>
      <w:r w:rsidRPr="007B15B9">
        <w:rPr>
          <w:rFonts w:ascii="Times New Roman" w:hAnsi="Times New Roman" w:cs="Times New Roman"/>
          <w:i/>
          <w:iCs/>
          <w:color w:val="222222"/>
          <w:sz w:val="24"/>
          <w:szCs w:val="24"/>
          <w:shd w:val="clear" w:color="auto" w:fill="FFFFFF"/>
        </w:rPr>
        <w:t>Critical Public Health</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28</w:t>
      </w:r>
      <w:r w:rsidRPr="007B15B9">
        <w:rPr>
          <w:rFonts w:ascii="Times New Roman" w:hAnsi="Times New Roman" w:cs="Times New Roman"/>
          <w:color w:val="222222"/>
          <w:sz w:val="24"/>
          <w:szCs w:val="24"/>
          <w:shd w:val="clear" w:color="auto" w:fill="FFFFFF"/>
        </w:rPr>
        <w:t>(3), pp.257-268.</w:t>
      </w:r>
    </w:p>
    <w:p w14:paraId="1DB39EEC"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 xml:space="preserve">Ryan, B., Johnston, K.A., Taylor, M. and McAndrew, R., 2020. Community engagement for </w:t>
      </w:r>
    </w:p>
    <w:p w14:paraId="0EE47A49" w14:textId="77777777" w:rsidR="003B4000" w:rsidRPr="007B15B9" w:rsidRDefault="003B4000" w:rsidP="00E60900">
      <w:pPr>
        <w:spacing w:after="0" w:line="480" w:lineRule="auto"/>
        <w:ind w:left="720"/>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disaster preparedness: A systematic literature review. </w:t>
      </w:r>
      <w:r w:rsidRPr="007B15B9">
        <w:rPr>
          <w:rFonts w:ascii="Times New Roman" w:hAnsi="Times New Roman" w:cs="Times New Roman"/>
          <w:i/>
          <w:iCs/>
          <w:color w:val="222222"/>
          <w:sz w:val="24"/>
          <w:szCs w:val="24"/>
          <w:shd w:val="clear" w:color="auto" w:fill="FFFFFF"/>
        </w:rPr>
        <w:t>International journal of disaster risk reduction</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49</w:t>
      </w:r>
      <w:r w:rsidR="002402D4" w:rsidRPr="007B15B9">
        <w:rPr>
          <w:rFonts w:ascii="Times New Roman" w:hAnsi="Times New Roman" w:cs="Times New Roman"/>
          <w:color w:val="222222"/>
          <w:sz w:val="24"/>
          <w:szCs w:val="24"/>
          <w:shd w:val="clear" w:color="auto" w:fill="FFFFFF"/>
        </w:rPr>
        <w:t>, pp. 107-156</w:t>
      </w:r>
    </w:p>
    <w:p w14:paraId="6E33FEFC" w14:textId="77777777" w:rsidR="00E60900" w:rsidRDefault="003B4000" w:rsidP="007B15B9">
      <w:pPr>
        <w:spacing w:after="0" w:line="480" w:lineRule="auto"/>
        <w:rPr>
          <w:rFonts w:ascii="Times New Roman" w:hAnsi="Times New Roman" w:cs="Times New Roman"/>
          <w:i/>
          <w:iCs/>
          <w:color w:val="222222"/>
          <w:sz w:val="24"/>
          <w:szCs w:val="24"/>
          <w:shd w:val="clear" w:color="auto" w:fill="FFFFFF"/>
        </w:rPr>
      </w:pPr>
      <w:r w:rsidRPr="007B15B9">
        <w:rPr>
          <w:rFonts w:ascii="Times New Roman" w:hAnsi="Times New Roman" w:cs="Times New Roman"/>
          <w:color w:val="222222"/>
          <w:sz w:val="24"/>
          <w:szCs w:val="24"/>
          <w:shd w:val="clear" w:color="auto" w:fill="FFFFFF"/>
        </w:rPr>
        <w:t>Mayo, P., 2019. </w:t>
      </w:r>
      <w:r w:rsidRPr="007B15B9">
        <w:rPr>
          <w:rFonts w:ascii="Times New Roman" w:hAnsi="Times New Roman" w:cs="Times New Roman"/>
          <w:i/>
          <w:iCs/>
          <w:color w:val="222222"/>
          <w:sz w:val="24"/>
          <w:szCs w:val="24"/>
          <w:shd w:val="clear" w:color="auto" w:fill="FFFFFF"/>
        </w:rPr>
        <w:t xml:space="preserve">Higher education in a </w:t>
      </w:r>
      <w:proofErr w:type="spellStart"/>
      <w:r w:rsidRPr="007B15B9">
        <w:rPr>
          <w:rFonts w:ascii="Times New Roman" w:hAnsi="Times New Roman" w:cs="Times New Roman"/>
          <w:i/>
          <w:iCs/>
          <w:color w:val="222222"/>
          <w:sz w:val="24"/>
          <w:szCs w:val="24"/>
          <w:shd w:val="clear" w:color="auto" w:fill="FFFFFF"/>
        </w:rPr>
        <w:t>globalising</w:t>
      </w:r>
      <w:proofErr w:type="spellEnd"/>
      <w:r w:rsidRPr="007B15B9">
        <w:rPr>
          <w:rFonts w:ascii="Times New Roman" w:hAnsi="Times New Roman" w:cs="Times New Roman"/>
          <w:i/>
          <w:iCs/>
          <w:color w:val="222222"/>
          <w:sz w:val="24"/>
          <w:szCs w:val="24"/>
          <w:shd w:val="clear" w:color="auto" w:fill="FFFFFF"/>
        </w:rPr>
        <w:t xml:space="preserve"> world: Community engagement and lifelong </w:t>
      </w:r>
    </w:p>
    <w:p w14:paraId="5BC9F9CA" w14:textId="77777777" w:rsidR="003B4000" w:rsidRPr="007B15B9" w:rsidRDefault="003B4000" w:rsidP="00E60900">
      <w:pPr>
        <w:spacing w:after="0" w:line="480" w:lineRule="auto"/>
        <w:ind w:firstLine="720"/>
        <w:rPr>
          <w:rFonts w:ascii="Times New Roman" w:hAnsi="Times New Roman" w:cs="Times New Roman"/>
          <w:color w:val="222222"/>
          <w:sz w:val="24"/>
          <w:szCs w:val="24"/>
          <w:shd w:val="clear" w:color="auto" w:fill="FFFFFF"/>
        </w:rPr>
      </w:pPr>
      <w:r w:rsidRPr="007B15B9">
        <w:rPr>
          <w:rFonts w:ascii="Times New Roman" w:hAnsi="Times New Roman" w:cs="Times New Roman"/>
          <w:i/>
          <w:iCs/>
          <w:color w:val="222222"/>
          <w:sz w:val="24"/>
          <w:szCs w:val="24"/>
          <w:shd w:val="clear" w:color="auto" w:fill="FFFFFF"/>
        </w:rPr>
        <w:lastRenderedPageBreak/>
        <w:t>learning</w:t>
      </w:r>
      <w:r w:rsidRPr="007B15B9">
        <w:rPr>
          <w:rFonts w:ascii="Times New Roman" w:hAnsi="Times New Roman" w:cs="Times New Roman"/>
          <w:color w:val="222222"/>
          <w:sz w:val="24"/>
          <w:szCs w:val="24"/>
          <w:shd w:val="clear" w:color="auto" w:fill="FFFFFF"/>
        </w:rPr>
        <w:t>. Manchester University Press.</w:t>
      </w:r>
    </w:p>
    <w:p w14:paraId="6E80981E" w14:textId="77777777" w:rsidR="00E60900" w:rsidRDefault="003B4000" w:rsidP="007B15B9">
      <w:pPr>
        <w:spacing w:after="0" w:line="480" w:lineRule="auto"/>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 xml:space="preserve">Pratt, B., Cheah, P.Y. and Marsh, V., 2020. Solidarity and community engagement in global </w:t>
      </w:r>
    </w:p>
    <w:p w14:paraId="565899A7" w14:textId="77777777" w:rsidR="003B4000" w:rsidRDefault="003B4000" w:rsidP="00E60900">
      <w:pPr>
        <w:spacing w:after="0" w:line="480" w:lineRule="auto"/>
        <w:ind w:firstLine="720"/>
        <w:rPr>
          <w:rFonts w:ascii="Times New Roman" w:hAnsi="Times New Roman" w:cs="Times New Roman"/>
          <w:color w:val="222222"/>
          <w:sz w:val="24"/>
          <w:szCs w:val="24"/>
          <w:shd w:val="clear" w:color="auto" w:fill="FFFFFF"/>
        </w:rPr>
      </w:pPr>
      <w:r w:rsidRPr="007B15B9">
        <w:rPr>
          <w:rFonts w:ascii="Times New Roman" w:hAnsi="Times New Roman" w:cs="Times New Roman"/>
          <w:color w:val="222222"/>
          <w:sz w:val="24"/>
          <w:szCs w:val="24"/>
          <w:shd w:val="clear" w:color="auto" w:fill="FFFFFF"/>
        </w:rPr>
        <w:t>health research. </w:t>
      </w:r>
      <w:r w:rsidRPr="007B15B9">
        <w:rPr>
          <w:rFonts w:ascii="Times New Roman" w:hAnsi="Times New Roman" w:cs="Times New Roman"/>
          <w:i/>
          <w:iCs/>
          <w:color w:val="222222"/>
          <w:sz w:val="24"/>
          <w:szCs w:val="24"/>
          <w:shd w:val="clear" w:color="auto" w:fill="FFFFFF"/>
        </w:rPr>
        <w:t>The American Journal of Bioethics</w:t>
      </w:r>
      <w:r w:rsidRPr="007B15B9">
        <w:rPr>
          <w:rFonts w:ascii="Times New Roman" w:hAnsi="Times New Roman" w:cs="Times New Roman"/>
          <w:color w:val="222222"/>
          <w:sz w:val="24"/>
          <w:szCs w:val="24"/>
          <w:shd w:val="clear" w:color="auto" w:fill="FFFFFF"/>
        </w:rPr>
        <w:t>, </w:t>
      </w:r>
      <w:r w:rsidRPr="007B15B9">
        <w:rPr>
          <w:rFonts w:ascii="Times New Roman" w:hAnsi="Times New Roman" w:cs="Times New Roman"/>
          <w:i/>
          <w:iCs/>
          <w:color w:val="222222"/>
          <w:sz w:val="24"/>
          <w:szCs w:val="24"/>
          <w:shd w:val="clear" w:color="auto" w:fill="FFFFFF"/>
        </w:rPr>
        <w:t>20</w:t>
      </w:r>
      <w:r w:rsidRPr="007B15B9">
        <w:rPr>
          <w:rFonts w:ascii="Times New Roman" w:hAnsi="Times New Roman" w:cs="Times New Roman"/>
          <w:color w:val="222222"/>
          <w:sz w:val="24"/>
          <w:szCs w:val="24"/>
          <w:shd w:val="clear" w:color="auto" w:fill="FFFFFF"/>
        </w:rPr>
        <w:t>(5), pp.43-56.</w:t>
      </w:r>
    </w:p>
    <w:p w14:paraId="200B8518" w14:textId="77777777" w:rsidR="0046772C" w:rsidRDefault="0046772C" w:rsidP="00E60900">
      <w:pPr>
        <w:spacing w:after="0" w:line="480" w:lineRule="auto"/>
        <w:ind w:firstLine="720"/>
        <w:rPr>
          <w:rFonts w:ascii="Times New Roman" w:hAnsi="Times New Roman" w:cs="Times New Roman"/>
          <w:color w:val="222222"/>
          <w:sz w:val="24"/>
          <w:szCs w:val="24"/>
          <w:shd w:val="clear" w:color="auto" w:fill="FFFFFF"/>
        </w:rPr>
      </w:pPr>
    </w:p>
    <w:p w14:paraId="74FDB2FF" w14:textId="77777777" w:rsidR="0046772C" w:rsidRDefault="0046772C">
      <w:pPr>
        <w:rPr>
          <w:rFonts w:ascii="Times New Roman" w:hAnsi="Times New Roman" w:cs="Times New Roman"/>
          <w:color w:val="222222"/>
          <w:sz w:val="24"/>
          <w:szCs w:val="24"/>
          <w:shd w:val="clear" w:color="auto" w:fill="FFFFFF"/>
        </w:rPr>
      </w:pPr>
    </w:p>
    <w:sectPr w:rsidR="0046772C" w:rsidSect="008C2EC5">
      <w:headerReference w:type="default" r:id="rId8"/>
      <w:pgSz w:w="12240" w:h="15840"/>
      <w:pgMar w:top="1440" w:right="1440" w:bottom="1440" w:left="1440" w:header="720" w:footer="720" w:gutter="0"/>
      <w:pgBorders w:display="firstPage" w:offsetFrom="page">
        <w:top w:val="gingerbreadMan" w:sz="31" w:space="24" w:color="000000" w:themeColor="text1"/>
        <w:left w:val="gingerbreadMan" w:sz="31" w:space="24" w:color="000000" w:themeColor="text1"/>
        <w:bottom w:val="gingerbreadMan" w:sz="31" w:space="24" w:color="000000" w:themeColor="text1"/>
        <w:right w:val="gingerbreadMan" w:sz="31"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21EF9" w14:textId="77777777" w:rsidR="0013327C" w:rsidRDefault="0013327C" w:rsidP="0046772C">
      <w:pPr>
        <w:spacing w:after="0" w:line="240" w:lineRule="auto"/>
      </w:pPr>
      <w:r>
        <w:separator/>
      </w:r>
    </w:p>
  </w:endnote>
  <w:endnote w:type="continuationSeparator" w:id="0">
    <w:p w14:paraId="51D0D1C2" w14:textId="77777777" w:rsidR="0013327C" w:rsidRDefault="0013327C" w:rsidP="00467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C34A1" w14:textId="77777777" w:rsidR="0013327C" w:rsidRDefault="0013327C" w:rsidP="0046772C">
      <w:pPr>
        <w:spacing w:after="0" w:line="240" w:lineRule="auto"/>
      </w:pPr>
      <w:r>
        <w:separator/>
      </w:r>
    </w:p>
  </w:footnote>
  <w:footnote w:type="continuationSeparator" w:id="0">
    <w:p w14:paraId="7A80645C" w14:textId="77777777" w:rsidR="0013327C" w:rsidRDefault="0013327C" w:rsidP="004677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007273"/>
      <w:docPartObj>
        <w:docPartGallery w:val="Page Numbers (Top of Page)"/>
        <w:docPartUnique/>
      </w:docPartObj>
    </w:sdtPr>
    <w:sdtEndPr>
      <w:rPr>
        <w:rFonts w:ascii="Times New Roman" w:hAnsi="Times New Roman" w:cs="Times New Roman"/>
        <w:noProof/>
        <w:sz w:val="24"/>
        <w:szCs w:val="24"/>
      </w:rPr>
    </w:sdtEndPr>
    <w:sdtContent>
      <w:p w14:paraId="39D8E16F" w14:textId="77777777" w:rsidR="0046772C" w:rsidRPr="0046772C" w:rsidRDefault="0046772C" w:rsidP="0046772C">
        <w:pPr>
          <w:pStyle w:val="Header"/>
          <w:ind w:left="4680" w:firstLine="4680"/>
          <w:rPr>
            <w:rFonts w:ascii="Times New Roman" w:hAnsi="Times New Roman" w:cs="Times New Roman"/>
            <w:sz w:val="24"/>
            <w:szCs w:val="24"/>
          </w:rPr>
        </w:pPr>
        <w:r w:rsidRPr="0046772C">
          <w:rPr>
            <w:rFonts w:ascii="Times New Roman" w:hAnsi="Times New Roman" w:cs="Times New Roman"/>
            <w:sz w:val="24"/>
            <w:szCs w:val="24"/>
          </w:rPr>
          <w:fldChar w:fldCharType="begin"/>
        </w:r>
        <w:r w:rsidRPr="0046772C">
          <w:rPr>
            <w:rFonts w:ascii="Times New Roman" w:hAnsi="Times New Roman" w:cs="Times New Roman"/>
            <w:sz w:val="24"/>
            <w:szCs w:val="24"/>
          </w:rPr>
          <w:instrText xml:space="preserve"> PAGE   \* MERGEFORMAT </w:instrText>
        </w:r>
        <w:r w:rsidRPr="0046772C">
          <w:rPr>
            <w:rFonts w:ascii="Times New Roman" w:hAnsi="Times New Roman" w:cs="Times New Roman"/>
            <w:sz w:val="24"/>
            <w:szCs w:val="24"/>
          </w:rPr>
          <w:fldChar w:fldCharType="separate"/>
        </w:r>
        <w:r w:rsidR="003325BA">
          <w:rPr>
            <w:rFonts w:ascii="Times New Roman" w:hAnsi="Times New Roman" w:cs="Times New Roman"/>
            <w:noProof/>
            <w:sz w:val="24"/>
            <w:szCs w:val="24"/>
          </w:rPr>
          <w:t>1</w:t>
        </w:r>
        <w:r w:rsidRPr="0046772C">
          <w:rPr>
            <w:rFonts w:ascii="Times New Roman" w:hAnsi="Times New Roman" w:cs="Times New Roman"/>
            <w:noProof/>
            <w:sz w:val="24"/>
            <w:szCs w:val="24"/>
          </w:rPr>
          <w:fldChar w:fldCharType="end"/>
        </w:r>
      </w:p>
    </w:sdtContent>
  </w:sdt>
  <w:p w14:paraId="504D2CCD" w14:textId="77777777" w:rsidR="0046772C" w:rsidRDefault="004677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587B95"/>
    <w:multiLevelType w:val="multilevel"/>
    <w:tmpl w:val="BDE20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2986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38D"/>
    <w:rsid w:val="000417E3"/>
    <w:rsid w:val="000C761E"/>
    <w:rsid w:val="001112F3"/>
    <w:rsid w:val="0013327C"/>
    <w:rsid w:val="002402D4"/>
    <w:rsid w:val="0026533E"/>
    <w:rsid w:val="002D6BB4"/>
    <w:rsid w:val="00307CA0"/>
    <w:rsid w:val="003325BA"/>
    <w:rsid w:val="00394EA0"/>
    <w:rsid w:val="003B0B46"/>
    <w:rsid w:val="003B4000"/>
    <w:rsid w:val="00466910"/>
    <w:rsid w:val="0046772C"/>
    <w:rsid w:val="004A0AC1"/>
    <w:rsid w:val="004A425B"/>
    <w:rsid w:val="004A7DE9"/>
    <w:rsid w:val="00522C1C"/>
    <w:rsid w:val="00560F8B"/>
    <w:rsid w:val="005B6981"/>
    <w:rsid w:val="005E1501"/>
    <w:rsid w:val="00626651"/>
    <w:rsid w:val="00652E49"/>
    <w:rsid w:val="006B432F"/>
    <w:rsid w:val="006C738D"/>
    <w:rsid w:val="006D0041"/>
    <w:rsid w:val="006D2339"/>
    <w:rsid w:val="006D6B6F"/>
    <w:rsid w:val="00753D22"/>
    <w:rsid w:val="007B15B9"/>
    <w:rsid w:val="007C657B"/>
    <w:rsid w:val="008723E5"/>
    <w:rsid w:val="008C2EC5"/>
    <w:rsid w:val="009F4328"/>
    <w:rsid w:val="00A27F95"/>
    <w:rsid w:val="00A83664"/>
    <w:rsid w:val="00B11D79"/>
    <w:rsid w:val="00B12516"/>
    <w:rsid w:val="00B664EC"/>
    <w:rsid w:val="00B76077"/>
    <w:rsid w:val="00C70890"/>
    <w:rsid w:val="00CC1D62"/>
    <w:rsid w:val="00D45520"/>
    <w:rsid w:val="00DD2D5B"/>
    <w:rsid w:val="00DE2456"/>
    <w:rsid w:val="00DF755E"/>
    <w:rsid w:val="00E2287D"/>
    <w:rsid w:val="00E53160"/>
    <w:rsid w:val="00E60900"/>
    <w:rsid w:val="00E7432B"/>
    <w:rsid w:val="00E83679"/>
    <w:rsid w:val="00EE4F25"/>
    <w:rsid w:val="00F760A6"/>
    <w:rsid w:val="00F83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5101B"/>
  <w15:chartTrackingRefBased/>
  <w15:docId w15:val="{925D146B-181E-43C4-B116-6279B5AC5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456"/>
  </w:style>
  <w:style w:type="paragraph" w:styleId="Heading1">
    <w:name w:val="heading 1"/>
    <w:basedOn w:val="Normal"/>
    <w:next w:val="Normal"/>
    <w:link w:val="Heading1Char"/>
    <w:uiPriority w:val="9"/>
    <w:qFormat/>
    <w:rsid w:val="00DE2456"/>
    <w:pPr>
      <w:keepNext/>
      <w:keepLines/>
      <w:spacing w:before="320" w:after="0" w:line="240" w:lineRule="auto"/>
      <w:outlineLvl w:val="0"/>
    </w:pPr>
    <w:rPr>
      <w:rFonts w:asciiTheme="majorHAnsi" w:eastAsiaTheme="majorEastAsia" w:hAnsiTheme="majorHAnsi" w:cstheme="majorBidi"/>
      <w:color w:val="2E74B5" w:themeColor="accent1" w:themeShade="BF"/>
      <w:sz w:val="30"/>
      <w:szCs w:val="30"/>
    </w:rPr>
  </w:style>
  <w:style w:type="paragraph" w:styleId="Heading2">
    <w:name w:val="heading 2"/>
    <w:basedOn w:val="Normal"/>
    <w:next w:val="Normal"/>
    <w:link w:val="Heading2Char"/>
    <w:uiPriority w:val="9"/>
    <w:unhideWhenUsed/>
    <w:qFormat/>
    <w:rsid w:val="00DE2456"/>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DE2456"/>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DE2456"/>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DE2456"/>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DE2456"/>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DE2456"/>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DE2456"/>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DE2456"/>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77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772C"/>
  </w:style>
  <w:style w:type="paragraph" w:styleId="Footer">
    <w:name w:val="footer"/>
    <w:basedOn w:val="Normal"/>
    <w:link w:val="FooterChar"/>
    <w:uiPriority w:val="99"/>
    <w:unhideWhenUsed/>
    <w:rsid w:val="004677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72C"/>
  </w:style>
  <w:style w:type="character" w:customStyle="1" w:styleId="Heading1Char">
    <w:name w:val="Heading 1 Char"/>
    <w:basedOn w:val="DefaultParagraphFont"/>
    <w:link w:val="Heading1"/>
    <w:uiPriority w:val="9"/>
    <w:rsid w:val="00DE2456"/>
    <w:rPr>
      <w:rFonts w:asciiTheme="majorHAnsi" w:eastAsiaTheme="majorEastAsia" w:hAnsiTheme="majorHAnsi" w:cstheme="majorBidi"/>
      <w:color w:val="2E74B5" w:themeColor="accent1" w:themeShade="BF"/>
      <w:sz w:val="30"/>
      <w:szCs w:val="30"/>
    </w:rPr>
  </w:style>
  <w:style w:type="character" w:customStyle="1" w:styleId="Heading2Char">
    <w:name w:val="Heading 2 Char"/>
    <w:basedOn w:val="DefaultParagraphFont"/>
    <w:link w:val="Heading2"/>
    <w:uiPriority w:val="9"/>
    <w:rsid w:val="00DE2456"/>
    <w:rPr>
      <w:rFonts w:asciiTheme="majorHAnsi" w:eastAsiaTheme="majorEastAsia" w:hAnsiTheme="majorHAnsi" w:cstheme="majorBidi"/>
      <w:color w:val="C45911" w:themeColor="accent2" w:themeShade="BF"/>
      <w:sz w:val="28"/>
      <w:szCs w:val="28"/>
    </w:rPr>
  </w:style>
  <w:style w:type="paragraph" w:styleId="TOCHeading">
    <w:name w:val="TOC Heading"/>
    <w:basedOn w:val="Heading1"/>
    <w:next w:val="Normal"/>
    <w:uiPriority w:val="39"/>
    <w:unhideWhenUsed/>
    <w:qFormat/>
    <w:rsid w:val="00DE2456"/>
    <w:pPr>
      <w:outlineLvl w:val="9"/>
    </w:pPr>
  </w:style>
  <w:style w:type="paragraph" w:styleId="TOC1">
    <w:name w:val="toc 1"/>
    <w:basedOn w:val="Normal"/>
    <w:next w:val="Normal"/>
    <w:autoRedefine/>
    <w:uiPriority w:val="39"/>
    <w:unhideWhenUsed/>
    <w:rsid w:val="00F760A6"/>
    <w:pPr>
      <w:tabs>
        <w:tab w:val="right" w:leader="dot" w:pos="9350"/>
      </w:tabs>
      <w:spacing w:after="0" w:line="480" w:lineRule="auto"/>
    </w:pPr>
  </w:style>
  <w:style w:type="paragraph" w:styleId="TOC2">
    <w:name w:val="toc 2"/>
    <w:basedOn w:val="Normal"/>
    <w:next w:val="Normal"/>
    <w:autoRedefine/>
    <w:uiPriority w:val="39"/>
    <w:unhideWhenUsed/>
    <w:rsid w:val="00F760A6"/>
    <w:pPr>
      <w:spacing w:after="100"/>
      <w:ind w:left="220"/>
    </w:pPr>
  </w:style>
  <w:style w:type="character" w:styleId="Hyperlink">
    <w:name w:val="Hyperlink"/>
    <w:basedOn w:val="DefaultParagraphFont"/>
    <w:uiPriority w:val="99"/>
    <w:unhideWhenUsed/>
    <w:rsid w:val="00F760A6"/>
    <w:rPr>
      <w:color w:val="0563C1" w:themeColor="hyperlink"/>
      <w:u w:val="single"/>
    </w:rPr>
  </w:style>
  <w:style w:type="character" w:customStyle="1" w:styleId="Heading3Char">
    <w:name w:val="Heading 3 Char"/>
    <w:basedOn w:val="DefaultParagraphFont"/>
    <w:link w:val="Heading3"/>
    <w:uiPriority w:val="9"/>
    <w:semiHidden/>
    <w:rsid w:val="00DE2456"/>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DE2456"/>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DE2456"/>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DE2456"/>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DE2456"/>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DE2456"/>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DE2456"/>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DE2456"/>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DE2456"/>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DE2456"/>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DE2456"/>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DE2456"/>
    <w:rPr>
      <w:rFonts w:asciiTheme="majorHAnsi" w:eastAsiaTheme="majorEastAsia" w:hAnsiTheme="majorHAnsi" w:cstheme="majorBidi"/>
    </w:rPr>
  </w:style>
  <w:style w:type="character" w:styleId="Strong">
    <w:name w:val="Strong"/>
    <w:basedOn w:val="DefaultParagraphFont"/>
    <w:uiPriority w:val="22"/>
    <w:qFormat/>
    <w:rsid w:val="00DE2456"/>
    <w:rPr>
      <w:b/>
      <w:bCs/>
    </w:rPr>
  </w:style>
  <w:style w:type="character" w:styleId="Emphasis">
    <w:name w:val="Emphasis"/>
    <w:basedOn w:val="DefaultParagraphFont"/>
    <w:uiPriority w:val="20"/>
    <w:qFormat/>
    <w:rsid w:val="00DE2456"/>
    <w:rPr>
      <w:i/>
      <w:iCs/>
    </w:rPr>
  </w:style>
  <w:style w:type="paragraph" w:styleId="NoSpacing">
    <w:name w:val="No Spacing"/>
    <w:uiPriority w:val="1"/>
    <w:qFormat/>
    <w:rsid w:val="00DE2456"/>
    <w:pPr>
      <w:spacing w:after="0" w:line="240" w:lineRule="auto"/>
    </w:pPr>
  </w:style>
  <w:style w:type="paragraph" w:styleId="Quote">
    <w:name w:val="Quote"/>
    <w:basedOn w:val="Normal"/>
    <w:next w:val="Normal"/>
    <w:link w:val="QuoteChar"/>
    <w:uiPriority w:val="29"/>
    <w:qFormat/>
    <w:rsid w:val="00DE2456"/>
    <w:pPr>
      <w:spacing w:before="120"/>
      <w:ind w:left="720" w:right="720"/>
      <w:jc w:val="center"/>
    </w:pPr>
    <w:rPr>
      <w:i/>
      <w:iCs/>
    </w:rPr>
  </w:style>
  <w:style w:type="character" w:customStyle="1" w:styleId="QuoteChar">
    <w:name w:val="Quote Char"/>
    <w:basedOn w:val="DefaultParagraphFont"/>
    <w:link w:val="Quote"/>
    <w:uiPriority w:val="29"/>
    <w:rsid w:val="00DE2456"/>
    <w:rPr>
      <w:i/>
      <w:iCs/>
    </w:rPr>
  </w:style>
  <w:style w:type="paragraph" w:styleId="IntenseQuote">
    <w:name w:val="Intense Quote"/>
    <w:basedOn w:val="Normal"/>
    <w:next w:val="Normal"/>
    <w:link w:val="IntenseQuoteChar"/>
    <w:uiPriority w:val="30"/>
    <w:qFormat/>
    <w:rsid w:val="00DE2456"/>
    <w:pPr>
      <w:spacing w:before="120" w:line="300" w:lineRule="auto"/>
      <w:ind w:left="576" w:right="576"/>
      <w:jc w:val="center"/>
    </w:pPr>
    <w:rPr>
      <w:rFonts w:asciiTheme="majorHAnsi" w:eastAsiaTheme="majorEastAsia" w:hAnsiTheme="majorHAnsi" w:cstheme="majorBidi"/>
      <w:color w:val="5B9BD5" w:themeColor="accent1"/>
      <w:sz w:val="24"/>
      <w:szCs w:val="24"/>
    </w:rPr>
  </w:style>
  <w:style w:type="character" w:customStyle="1" w:styleId="IntenseQuoteChar">
    <w:name w:val="Intense Quote Char"/>
    <w:basedOn w:val="DefaultParagraphFont"/>
    <w:link w:val="IntenseQuote"/>
    <w:uiPriority w:val="30"/>
    <w:rsid w:val="00DE2456"/>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DE2456"/>
    <w:rPr>
      <w:i/>
      <w:iCs/>
      <w:color w:val="404040" w:themeColor="text1" w:themeTint="BF"/>
    </w:rPr>
  </w:style>
  <w:style w:type="character" w:styleId="IntenseEmphasis">
    <w:name w:val="Intense Emphasis"/>
    <w:basedOn w:val="DefaultParagraphFont"/>
    <w:uiPriority w:val="21"/>
    <w:qFormat/>
    <w:rsid w:val="00DE2456"/>
    <w:rPr>
      <w:b w:val="0"/>
      <w:bCs w:val="0"/>
      <w:i/>
      <w:iCs/>
      <w:color w:val="5B9BD5" w:themeColor="accent1"/>
    </w:rPr>
  </w:style>
  <w:style w:type="character" w:styleId="SubtleReference">
    <w:name w:val="Subtle Reference"/>
    <w:basedOn w:val="DefaultParagraphFont"/>
    <w:uiPriority w:val="31"/>
    <w:qFormat/>
    <w:rsid w:val="00DE245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E2456"/>
    <w:rPr>
      <w:b/>
      <w:bCs/>
      <w:smallCaps/>
      <w:color w:val="5B9BD5" w:themeColor="accent1"/>
      <w:spacing w:val="5"/>
      <w:u w:val="single"/>
    </w:rPr>
  </w:style>
  <w:style w:type="character" w:styleId="BookTitle">
    <w:name w:val="Book Title"/>
    <w:basedOn w:val="DefaultParagraphFont"/>
    <w:uiPriority w:val="33"/>
    <w:qFormat/>
    <w:rsid w:val="00DE2456"/>
    <w:rPr>
      <w:b/>
      <w:bCs/>
      <w:smallCaps/>
    </w:rPr>
  </w:style>
  <w:style w:type="paragraph" w:styleId="FootnoteText">
    <w:name w:val="footnote text"/>
    <w:basedOn w:val="Normal"/>
    <w:link w:val="FootnoteTextChar"/>
    <w:uiPriority w:val="99"/>
    <w:semiHidden/>
    <w:unhideWhenUsed/>
    <w:rsid w:val="004A7D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7DE9"/>
    <w:rPr>
      <w:sz w:val="20"/>
      <w:szCs w:val="20"/>
    </w:rPr>
  </w:style>
  <w:style w:type="character" w:styleId="FootnoteReference">
    <w:name w:val="footnote reference"/>
    <w:basedOn w:val="DefaultParagraphFont"/>
    <w:uiPriority w:val="99"/>
    <w:semiHidden/>
    <w:unhideWhenUsed/>
    <w:rsid w:val="004A7DE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32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EBBF6-FDD3-48AB-AFF8-64B12C15E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Pages>
  <Words>2269</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2030582@student.uwtsd.ac.uk</dc:creator>
  <cp:keywords/>
  <dc:description/>
  <cp:lastModifiedBy>Bianca Constandachi (2030582)</cp:lastModifiedBy>
  <cp:revision>8</cp:revision>
  <dcterms:created xsi:type="dcterms:W3CDTF">2022-04-13T16:32:00Z</dcterms:created>
  <dcterms:modified xsi:type="dcterms:W3CDTF">2022-05-01T15:39:00Z</dcterms:modified>
</cp:coreProperties>
</file>