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09E34" w14:textId="77777777" w:rsidR="000B4749" w:rsidRDefault="000B4749" w:rsidP="000B4749">
      <w:pPr>
        <w:jc w:val="center"/>
        <w:rPr>
          <w:b/>
          <w:bCs/>
          <w:sz w:val="52"/>
          <w:szCs w:val="52"/>
        </w:rPr>
      </w:pPr>
    </w:p>
    <w:p w14:paraId="038D0FF1" w14:textId="0431F3F5" w:rsidR="00416834" w:rsidRPr="000B4749" w:rsidRDefault="000B4749" w:rsidP="000B4749">
      <w:pPr>
        <w:jc w:val="center"/>
        <w:rPr>
          <w:b/>
          <w:bCs/>
          <w:sz w:val="52"/>
          <w:szCs w:val="52"/>
        </w:rPr>
      </w:pPr>
      <w:r w:rsidRPr="000B4749">
        <w:rPr>
          <w:b/>
          <w:bCs/>
          <w:sz w:val="52"/>
          <w:szCs w:val="52"/>
        </w:rPr>
        <w:t>Case Study Report: Supporting Patients with Type 2 Diabetes in Primary Care as a nurse</w:t>
      </w:r>
    </w:p>
    <w:p w14:paraId="63B07F6C" w14:textId="77777777" w:rsidR="000B4749" w:rsidRDefault="000B4749"/>
    <w:p w14:paraId="186E04E5" w14:textId="77777777" w:rsidR="000B4749" w:rsidRDefault="000B4749"/>
    <w:p w14:paraId="5C8F029B" w14:textId="77777777" w:rsidR="000B4749" w:rsidRDefault="000B4749"/>
    <w:p w14:paraId="136F1C62" w14:textId="77777777" w:rsidR="000B4749" w:rsidRDefault="000B4749"/>
    <w:p w14:paraId="350B4B9D" w14:textId="77777777" w:rsidR="000B4749" w:rsidRDefault="000B4749"/>
    <w:p w14:paraId="4C3BC491" w14:textId="77777777" w:rsidR="000B4749" w:rsidRDefault="000B4749"/>
    <w:p w14:paraId="3301E201" w14:textId="77777777" w:rsidR="000B4749" w:rsidRDefault="000B4749"/>
    <w:p w14:paraId="68AC8AE2" w14:textId="77777777" w:rsidR="000B4749" w:rsidRDefault="000B4749"/>
    <w:p w14:paraId="31954FD6" w14:textId="6A4809CA" w:rsidR="000B4749" w:rsidRPr="000B4749" w:rsidRDefault="000B4749">
      <w:pPr>
        <w:rPr>
          <w:b/>
          <w:bCs/>
        </w:rPr>
      </w:pPr>
      <w:r>
        <w:t xml:space="preserve">Name: </w:t>
      </w:r>
      <w:r w:rsidRPr="000B4749">
        <w:rPr>
          <w:b/>
          <w:bCs/>
        </w:rPr>
        <w:t xml:space="preserve">Uzma Amir Said </w:t>
      </w:r>
    </w:p>
    <w:p w14:paraId="209207C7" w14:textId="29FEFA17" w:rsidR="000B4749" w:rsidRPr="000B4749" w:rsidRDefault="000B4749">
      <w:pPr>
        <w:rPr>
          <w:b/>
          <w:bCs/>
        </w:rPr>
      </w:pPr>
      <w:r>
        <w:t xml:space="preserve">Student Id: </w:t>
      </w:r>
      <w:r w:rsidRPr="000B4749">
        <w:rPr>
          <w:b/>
          <w:bCs/>
        </w:rPr>
        <w:t>2426983</w:t>
      </w:r>
    </w:p>
    <w:p w14:paraId="488B0013" w14:textId="643EE949" w:rsidR="000B4749" w:rsidRPr="000B4749" w:rsidRDefault="000B4749">
      <w:pPr>
        <w:rPr>
          <w:b/>
          <w:bCs/>
        </w:rPr>
      </w:pPr>
      <w:r>
        <w:t xml:space="preserve">Module: </w:t>
      </w:r>
      <w:r w:rsidRPr="000B4749">
        <w:rPr>
          <w:b/>
          <w:bCs/>
        </w:rPr>
        <w:t>BMHP5023 – Introduction to Physiology</w:t>
      </w:r>
    </w:p>
    <w:p w14:paraId="7DCC6872" w14:textId="085E4B0B" w:rsidR="000B4749" w:rsidRDefault="000B4749">
      <w:r>
        <w:t xml:space="preserve">Lecture Name: </w:t>
      </w:r>
      <w:r w:rsidRPr="000B4749">
        <w:rPr>
          <w:b/>
          <w:bCs/>
        </w:rPr>
        <w:t>Gillian Weaver</w:t>
      </w:r>
    </w:p>
    <w:p w14:paraId="74A1C235" w14:textId="77777777" w:rsidR="000B4749" w:rsidRDefault="000B4749" w:rsidP="000B4749">
      <w:pPr>
        <w:rPr>
          <w:lang w:val="en-US"/>
        </w:rPr>
      </w:pPr>
    </w:p>
    <w:p w14:paraId="49372AA2" w14:textId="77777777" w:rsidR="000B4749" w:rsidRDefault="000B4749" w:rsidP="000B4749">
      <w:pPr>
        <w:rPr>
          <w:lang w:val="en-US"/>
        </w:rPr>
      </w:pPr>
    </w:p>
    <w:p w14:paraId="098A5163" w14:textId="77777777" w:rsidR="000B4749" w:rsidRDefault="000B4749" w:rsidP="000B4749">
      <w:pPr>
        <w:rPr>
          <w:lang w:val="en-US"/>
        </w:rPr>
      </w:pPr>
    </w:p>
    <w:p w14:paraId="14626428" w14:textId="77777777" w:rsidR="000B4749" w:rsidRDefault="000B4749" w:rsidP="000B4749">
      <w:pPr>
        <w:rPr>
          <w:lang w:val="en-US"/>
        </w:rPr>
      </w:pPr>
    </w:p>
    <w:p w14:paraId="7B382B4A" w14:textId="77777777" w:rsidR="000B4749" w:rsidRDefault="000B4749" w:rsidP="000B4749">
      <w:pPr>
        <w:rPr>
          <w:lang w:val="en-US"/>
        </w:rPr>
      </w:pPr>
    </w:p>
    <w:p w14:paraId="4F221D9F" w14:textId="77777777" w:rsidR="000B4749" w:rsidRDefault="000B4749" w:rsidP="000B4749">
      <w:pPr>
        <w:rPr>
          <w:lang w:val="en-US"/>
        </w:rPr>
      </w:pPr>
    </w:p>
    <w:p w14:paraId="5F254ECB" w14:textId="77777777" w:rsidR="000B4749" w:rsidRDefault="000B4749" w:rsidP="000B4749">
      <w:pPr>
        <w:rPr>
          <w:lang w:val="en-US"/>
        </w:rPr>
      </w:pPr>
    </w:p>
    <w:p w14:paraId="5AF8ED1F" w14:textId="77777777" w:rsidR="000B4749" w:rsidRDefault="000B4749" w:rsidP="000B4749">
      <w:pPr>
        <w:rPr>
          <w:lang w:val="en-US"/>
        </w:rPr>
      </w:pPr>
    </w:p>
    <w:p w14:paraId="6E437DE7" w14:textId="77777777" w:rsidR="00A35A68" w:rsidRDefault="00A35A68" w:rsidP="004845AC">
      <w:pPr>
        <w:spacing w:line="360" w:lineRule="auto"/>
        <w:jc w:val="both"/>
        <w:rPr>
          <w:lang w:val="en-US"/>
        </w:rPr>
      </w:pPr>
    </w:p>
    <w:p w14:paraId="2DB33859" w14:textId="17673AB2" w:rsidR="004845AC" w:rsidRPr="004845AC" w:rsidRDefault="0078642A" w:rsidP="004845AC">
      <w:pPr>
        <w:spacing w:line="360" w:lineRule="auto"/>
        <w:jc w:val="both"/>
        <w:rPr>
          <w:rFonts w:ascii="Arial" w:hAnsi="Arial" w:cs="Arial"/>
          <w:b/>
          <w:bCs/>
          <w:sz w:val="28"/>
          <w:szCs w:val="28"/>
          <w:lang w:val="en-US"/>
        </w:rPr>
      </w:pPr>
      <w:r w:rsidRPr="0078642A">
        <w:rPr>
          <w:rFonts w:ascii="Arial" w:hAnsi="Arial" w:cs="Arial"/>
          <w:b/>
          <w:bCs/>
          <w:sz w:val="28"/>
          <w:szCs w:val="28"/>
          <w:lang w:val="en-US"/>
        </w:rPr>
        <w:lastRenderedPageBreak/>
        <w:t>Introduction</w:t>
      </w:r>
      <w:r w:rsidR="004845AC">
        <w:rPr>
          <w:rFonts w:ascii="Arial" w:hAnsi="Arial" w:cs="Arial"/>
          <w:b/>
          <w:bCs/>
          <w:sz w:val="28"/>
          <w:szCs w:val="28"/>
          <w:lang w:val="en-US"/>
        </w:rPr>
        <w:t xml:space="preserve"> - </w:t>
      </w:r>
      <w:r w:rsidR="004845AC" w:rsidRPr="004845AC">
        <w:rPr>
          <w:rFonts w:ascii="Arial" w:hAnsi="Arial" w:cs="Arial"/>
          <w:b/>
          <w:bCs/>
          <w:sz w:val="28"/>
          <w:szCs w:val="28"/>
          <w:lang w:val="en-US"/>
        </w:rPr>
        <w:t>Diabetes and Its Risk Factors</w:t>
      </w:r>
    </w:p>
    <w:p w14:paraId="7E81A7AE" w14:textId="388FECE8" w:rsidR="004170CD" w:rsidRPr="004170CD" w:rsidRDefault="004170CD" w:rsidP="004170CD">
      <w:pPr>
        <w:spacing w:line="360" w:lineRule="auto"/>
        <w:jc w:val="both"/>
        <w:rPr>
          <w:rFonts w:ascii="Arial" w:hAnsi="Arial" w:cs="Arial"/>
          <w:sz w:val="22"/>
          <w:szCs w:val="22"/>
        </w:rPr>
      </w:pPr>
      <w:r w:rsidRPr="004170CD">
        <w:rPr>
          <w:rFonts w:ascii="Arial" w:hAnsi="Arial" w:cs="Arial"/>
          <w:sz w:val="22"/>
          <w:szCs w:val="22"/>
        </w:rPr>
        <w:t xml:space="preserve">Diabetes mellitus is a chronic metabolic disorder characterised by persistent hyperglycaemia resulting from impaired insulin secretion, insulin action, or both (World Health Organisation, 2024). Type 2 diabetes mellitus (T2DM) is the most prevalent form, accounting for approximately 90% of global diabetes cases (WHO, 2024). It is primarily defined by insulin resistance combined with progressive pancreatic beta-cell dysfunction (NICE, 2023). Common symptoms include </w:t>
      </w:r>
      <w:r w:rsidR="00331EFB">
        <w:rPr>
          <w:rFonts w:ascii="Arial" w:hAnsi="Arial" w:cs="Arial"/>
          <w:sz w:val="22"/>
          <w:szCs w:val="22"/>
        </w:rPr>
        <w:t>exhaustion</w:t>
      </w:r>
      <w:r w:rsidRPr="004170CD">
        <w:rPr>
          <w:rFonts w:ascii="Arial" w:hAnsi="Arial" w:cs="Arial"/>
          <w:sz w:val="22"/>
          <w:szCs w:val="22"/>
        </w:rPr>
        <w:t>,</w:t>
      </w:r>
      <w:r w:rsidR="00331EFB">
        <w:rPr>
          <w:rFonts w:ascii="Arial" w:hAnsi="Arial" w:cs="Arial"/>
          <w:sz w:val="22"/>
          <w:szCs w:val="22"/>
        </w:rPr>
        <w:t xml:space="preserve"> frequent urination, excessive thirst,</w:t>
      </w:r>
      <w:r w:rsidRPr="004170CD">
        <w:rPr>
          <w:rFonts w:ascii="Arial" w:hAnsi="Arial" w:cs="Arial"/>
          <w:sz w:val="22"/>
          <w:szCs w:val="22"/>
        </w:rPr>
        <w:t xml:space="preserve"> fatigue and delayed wound healing (NHS, 2025). If poorly managed, T2DM increases the risk of long-term complications such as cardiovascular disease, nephropathy, neuropathy and retinopathy.</w:t>
      </w:r>
    </w:p>
    <w:p w14:paraId="4F0ACAB3" w14:textId="699A07D6" w:rsidR="004170CD" w:rsidRPr="004170CD" w:rsidRDefault="004170CD" w:rsidP="004170CD">
      <w:pPr>
        <w:spacing w:line="360" w:lineRule="auto"/>
        <w:jc w:val="both"/>
        <w:rPr>
          <w:rFonts w:ascii="Arial" w:hAnsi="Arial" w:cs="Arial"/>
          <w:sz w:val="22"/>
          <w:szCs w:val="22"/>
        </w:rPr>
      </w:pPr>
      <w:r w:rsidRPr="004170CD">
        <w:rPr>
          <w:rFonts w:ascii="Arial" w:hAnsi="Arial" w:cs="Arial"/>
          <w:sz w:val="22"/>
          <w:szCs w:val="22"/>
        </w:rPr>
        <w:t xml:space="preserve">The development of T2DM is influenced by both modifiable and non-modifiable risk factors. Obesity, particularly central adiposity, plays a significant role </w:t>
      </w:r>
      <w:r w:rsidR="00F673F4">
        <w:rPr>
          <w:rFonts w:ascii="Arial" w:hAnsi="Arial" w:cs="Arial"/>
          <w:sz w:val="22"/>
          <w:szCs w:val="22"/>
        </w:rPr>
        <w:t>by releasing</w:t>
      </w:r>
      <w:r w:rsidR="00C55C0E">
        <w:rPr>
          <w:rFonts w:ascii="Arial" w:hAnsi="Arial" w:cs="Arial"/>
          <w:sz w:val="22"/>
          <w:szCs w:val="22"/>
        </w:rPr>
        <w:t xml:space="preserve"> inflammatory cytokines and free fatty acids, which</w:t>
      </w:r>
      <w:r w:rsidRPr="004170CD">
        <w:rPr>
          <w:rFonts w:ascii="Arial" w:hAnsi="Arial" w:cs="Arial"/>
          <w:sz w:val="22"/>
          <w:szCs w:val="22"/>
        </w:rPr>
        <w:t xml:space="preserve"> impair insulin signalling pathways (Chait and den </w:t>
      </w:r>
      <w:proofErr w:type="spellStart"/>
      <w:r w:rsidRPr="004170CD">
        <w:rPr>
          <w:rFonts w:ascii="Arial" w:hAnsi="Arial" w:cs="Arial"/>
          <w:sz w:val="22"/>
          <w:szCs w:val="22"/>
        </w:rPr>
        <w:t>Hartigh</w:t>
      </w:r>
      <w:proofErr w:type="spellEnd"/>
      <w:r w:rsidRPr="004170CD">
        <w:rPr>
          <w:rFonts w:ascii="Arial" w:hAnsi="Arial" w:cs="Arial"/>
          <w:sz w:val="22"/>
          <w:szCs w:val="22"/>
        </w:rPr>
        <w:t>, 2020). Sedentary behaviour and diets high in refined carbohydrates further contribute to insulin resistance (Hu, 2010). Non-modifiable factors include increasing age, genetic predisposition and certain ethnic backgrounds (NHS, 2025). Understanding the physiological mechanisms underlying glucose dysregulation is essential in primary care to support effective monitoring, prevention and patient education.</w:t>
      </w:r>
    </w:p>
    <w:p w14:paraId="3AAD8EF7" w14:textId="77777777" w:rsidR="004170CD" w:rsidRPr="004170CD" w:rsidRDefault="004170CD" w:rsidP="004170CD">
      <w:pPr>
        <w:spacing w:line="360" w:lineRule="auto"/>
        <w:jc w:val="both"/>
        <w:rPr>
          <w:rFonts w:ascii="Arial" w:hAnsi="Arial" w:cs="Arial"/>
          <w:vanish/>
          <w:sz w:val="22"/>
          <w:szCs w:val="22"/>
        </w:rPr>
      </w:pPr>
      <w:r w:rsidRPr="004170CD">
        <w:rPr>
          <w:rFonts w:ascii="Arial" w:hAnsi="Arial" w:cs="Arial"/>
          <w:vanish/>
          <w:sz w:val="22"/>
          <w:szCs w:val="22"/>
        </w:rPr>
        <w:t>Top of Form</w:t>
      </w:r>
    </w:p>
    <w:p w14:paraId="08E09CF3" w14:textId="77777777" w:rsidR="004170CD" w:rsidRPr="004170CD" w:rsidRDefault="004170CD" w:rsidP="004170CD">
      <w:pPr>
        <w:spacing w:line="360" w:lineRule="auto"/>
        <w:jc w:val="both"/>
        <w:rPr>
          <w:rFonts w:ascii="Arial" w:hAnsi="Arial" w:cs="Arial"/>
          <w:vanish/>
          <w:sz w:val="22"/>
          <w:szCs w:val="22"/>
        </w:rPr>
      </w:pPr>
      <w:r w:rsidRPr="004170CD">
        <w:rPr>
          <w:rFonts w:ascii="Arial" w:hAnsi="Arial" w:cs="Arial"/>
          <w:vanish/>
          <w:sz w:val="22"/>
          <w:szCs w:val="22"/>
        </w:rPr>
        <w:t>Bottom of Form</w:t>
      </w:r>
    </w:p>
    <w:p w14:paraId="71102B29" w14:textId="7BEF5756" w:rsidR="002D2265" w:rsidRPr="00210995" w:rsidRDefault="00F673F4" w:rsidP="00C37258">
      <w:pPr>
        <w:spacing w:line="360" w:lineRule="auto"/>
        <w:jc w:val="both"/>
        <w:rPr>
          <w:rFonts w:ascii="Arial" w:hAnsi="Arial" w:cs="Arial"/>
          <w:b/>
          <w:bCs/>
          <w:sz w:val="28"/>
          <w:szCs w:val="28"/>
        </w:rPr>
      </w:pPr>
      <w:r>
        <w:rPr>
          <w:rFonts w:ascii="Arial" w:hAnsi="Arial" w:cs="Arial"/>
          <w:b/>
          <w:bCs/>
          <w:sz w:val="28"/>
          <w:szCs w:val="28"/>
        </w:rPr>
        <w:t>Maintenance</w:t>
      </w:r>
      <w:r w:rsidR="00122289" w:rsidRPr="00210995">
        <w:rPr>
          <w:rFonts w:ascii="Arial" w:hAnsi="Arial" w:cs="Arial"/>
          <w:b/>
          <w:bCs/>
          <w:sz w:val="28"/>
          <w:szCs w:val="28"/>
        </w:rPr>
        <w:t xml:space="preserve"> of Blood Glucose Homeostasis</w:t>
      </w:r>
    </w:p>
    <w:p w14:paraId="23EAE0FA" w14:textId="1EEFFD0B" w:rsidR="00122289" w:rsidRDefault="00122289" w:rsidP="00C37258">
      <w:pPr>
        <w:spacing w:line="360" w:lineRule="auto"/>
        <w:jc w:val="both"/>
        <w:rPr>
          <w:rFonts w:ascii="Arial" w:hAnsi="Arial" w:cs="Arial"/>
          <w:sz w:val="22"/>
          <w:szCs w:val="22"/>
        </w:rPr>
      </w:pPr>
      <w:r w:rsidRPr="00122289">
        <w:rPr>
          <w:rFonts w:ascii="Arial" w:hAnsi="Arial" w:cs="Arial"/>
          <w:sz w:val="22"/>
          <w:szCs w:val="22"/>
        </w:rPr>
        <w:t>Homeostasis refers to the body’s ability to maintain a stable internal environment despite external changes. Blood glucose regulation is a tightly controlled physiological process, as both hyperglycaemia and hypoglycaemia can be harmful. In healthy individuals, fasting blood glucose levels are typically maintained between approximately 4–7 mmol/L (NHS, 202</w:t>
      </w:r>
      <w:r w:rsidR="00210995">
        <w:rPr>
          <w:rFonts w:ascii="Arial" w:hAnsi="Arial" w:cs="Arial"/>
          <w:sz w:val="22"/>
          <w:szCs w:val="22"/>
        </w:rPr>
        <w:t>5</w:t>
      </w:r>
      <w:r w:rsidRPr="00122289">
        <w:rPr>
          <w:rFonts w:ascii="Arial" w:hAnsi="Arial" w:cs="Arial"/>
          <w:sz w:val="22"/>
          <w:szCs w:val="22"/>
        </w:rPr>
        <w:t xml:space="preserve">). This narrow range ensures </w:t>
      </w:r>
      <w:r w:rsidR="00210995">
        <w:rPr>
          <w:rFonts w:ascii="Arial" w:hAnsi="Arial" w:cs="Arial"/>
          <w:sz w:val="22"/>
          <w:szCs w:val="22"/>
        </w:rPr>
        <w:t>an adequate energy supply to glucose-dependent tissues, such as the brain,</w:t>
      </w:r>
      <w:r w:rsidRPr="00122289">
        <w:rPr>
          <w:rFonts w:ascii="Arial" w:hAnsi="Arial" w:cs="Arial"/>
          <w:sz w:val="22"/>
          <w:szCs w:val="22"/>
        </w:rPr>
        <w:t xml:space="preserve"> while preventing osmotic and vascular damage caused by excessive glucose.</w:t>
      </w:r>
      <w:r w:rsidR="00A36F36">
        <w:rPr>
          <w:rFonts w:ascii="Arial" w:hAnsi="Arial" w:cs="Arial"/>
          <w:sz w:val="22"/>
          <w:szCs w:val="22"/>
        </w:rPr>
        <w:t xml:space="preserve"> </w:t>
      </w:r>
    </w:p>
    <w:p w14:paraId="2E374668" w14:textId="1F46A171" w:rsidR="007E0510" w:rsidRDefault="002409F5" w:rsidP="00C37258">
      <w:pPr>
        <w:spacing w:line="360" w:lineRule="auto"/>
        <w:jc w:val="both"/>
        <w:rPr>
          <w:rFonts w:ascii="Arial" w:hAnsi="Arial" w:cs="Arial"/>
          <w:sz w:val="22"/>
          <w:szCs w:val="22"/>
        </w:rPr>
      </w:pPr>
      <w:r>
        <w:rPr>
          <w:rFonts w:ascii="Arial" w:hAnsi="Arial" w:cs="Arial"/>
          <w:sz w:val="22"/>
          <w:szCs w:val="22"/>
        </w:rPr>
        <w:t>T</w:t>
      </w:r>
      <w:r w:rsidR="00ED6018" w:rsidRPr="00ED6018">
        <w:rPr>
          <w:rFonts w:ascii="Arial" w:hAnsi="Arial" w:cs="Arial"/>
          <w:sz w:val="22"/>
          <w:szCs w:val="22"/>
        </w:rPr>
        <w:t>he pancreas functions as the primary endocrine regulator of blood glucose. Within the pancreas are clusters of endocrine cells known as the islets of Langerhans. Beta cells within these islets detect elevated blood glucose levels following carbohydrate ingestion and secrete insulin into the bloodstream. Insulin binds to specific receptors on target cells, particularly skeletal muscle and adipose tissue. This binding activates intracellular signalling cascades that promote the translocation of glucose transporter type 4 (GLUT4) proteins to the cell membrane (Hall, 2021). The presence of GLUT4 on the cell surface allows glucose to move down its concentration gradient from the bloodstream into the cell.</w:t>
      </w:r>
    </w:p>
    <w:p w14:paraId="3278C1F4" w14:textId="76FAC56A" w:rsidR="00567F4D" w:rsidRDefault="002409F5" w:rsidP="00567F4D">
      <w:pPr>
        <w:spacing w:line="360" w:lineRule="auto"/>
        <w:jc w:val="both"/>
        <w:rPr>
          <w:rFonts w:ascii="Arial" w:hAnsi="Arial" w:cs="Arial"/>
          <w:sz w:val="22"/>
          <w:szCs w:val="22"/>
        </w:rPr>
      </w:pPr>
      <w:r w:rsidRPr="002409F5">
        <w:rPr>
          <w:rFonts w:ascii="Arial" w:hAnsi="Arial" w:cs="Arial"/>
          <w:sz w:val="22"/>
          <w:szCs w:val="22"/>
        </w:rPr>
        <w:t xml:space="preserve">Once inside the cell, glucose might be utilised immediately to produce ATP or stored. Insulin induces glycogenesis in skeletal muscle and liver cells, which converts glucose into glycogen </w:t>
      </w:r>
      <w:r w:rsidRPr="002409F5">
        <w:rPr>
          <w:rFonts w:ascii="Arial" w:hAnsi="Arial" w:cs="Arial"/>
          <w:sz w:val="22"/>
          <w:szCs w:val="22"/>
        </w:rPr>
        <w:lastRenderedPageBreak/>
        <w:t>for storage.</w:t>
      </w:r>
      <w:r>
        <w:rPr>
          <w:rFonts w:ascii="Arial" w:hAnsi="Arial" w:cs="Arial"/>
          <w:sz w:val="22"/>
          <w:szCs w:val="22"/>
        </w:rPr>
        <w:t xml:space="preserve"> </w:t>
      </w:r>
      <w:r w:rsidR="00567F4D" w:rsidRPr="00567F4D">
        <w:rPr>
          <w:rFonts w:ascii="Arial" w:hAnsi="Arial" w:cs="Arial"/>
          <w:sz w:val="22"/>
          <w:szCs w:val="22"/>
        </w:rPr>
        <w:t xml:space="preserve">This storage mechanism </w:t>
      </w:r>
      <w:r w:rsidR="00EE0799">
        <w:rPr>
          <w:rFonts w:ascii="Arial" w:hAnsi="Arial" w:cs="Arial"/>
          <w:sz w:val="22"/>
          <w:szCs w:val="22"/>
        </w:rPr>
        <w:t>allows extra glucose to be stored for later use</w:t>
      </w:r>
      <w:r w:rsidR="00567F4D" w:rsidRPr="00567F4D">
        <w:rPr>
          <w:rFonts w:ascii="Arial" w:hAnsi="Arial" w:cs="Arial"/>
          <w:sz w:val="22"/>
          <w:szCs w:val="22"/>
        </w:rPr>
        <w:t xml:space="preserve"> during fasting or exercise. Insulin also suppresses glycogenolysis (the breakdown of glycogen to glucose) and gluconeogenesis (the synthesis of glucose from non-carbohydrate sources) within the liver</w:t>
      </w:r>
      <w:r w:rsidR="00774131">
        <w:rPr>
          <w:rFonts w:ascii="Arial" w:hAnsi="Arial" w:cs="Arial"/>
          <w:sz w:val="22"/>
          <w:szCs w:val="22"/>
        </w:rPr>
        <w:t xml:space="preserve"> </w:t>
      </w:r>
      <w:r w:rsidR="00774131" w:rsidRPr="00774131">
        <w:rPr>
          <w:rFonts w:ascii="Arial" w:hAnsi="Arial" w:cs="Arial"/>
          <w:sz w:val="22"/>
          <w:szCs w:val="22"/>
        </w:rPr>
        <w:t>(Tortora and Derrickson, 2021).</w:t>
      </w:r>
      <w:r w:rsidR="00774131">
        <w:rPr>
          <w:rFonts w:ascii="Arial" w:hAnsi="Arial" w:cs="Arial"/>
          <w:sz w:val="22"/>
          <w:szCs w:val="22"/>
        </w:rPr>
        <w:t xml:space="preserve"> </w:t>
      </w:r>
      <w:r w:rsidR="003C7FCB" w:rsidRPr="003C7FCB">
        <w:rPr>
          <w:rFonts w:ascii="Arial" w:hAnsi="Arial" w:cs="Arial"/>
          <w:sz w:val="22"/>
          <w:szCs w:val="22"/>
        </w:rPr>
        <w:t>These combined actions reduce circulating blood glucose concentrations through a negative feedback mechanism.</w:t>
      </w:r>
    </w:p>
    <w:p w14:paraId="5E6E61F3" w14:textId="2BC278AE" w:rsidR="00340DA5" w:rsidRDefault="00340DA5" w:rsidP="00567F4D">
      <w:pPr>
        <w:spacing w:line="360" w:lineRule="auto"/>
        <w:jc w:val="both"/>
        <w:rPr>
          <w:rFonts w:ascii="Arial" w:hAnsi="Arial" w:cs="Arial"/>
          <w:sz w:val="22"/>
          <w:szCs w:val="22"/>
        </w:rPr>
      </w:pPr>
      <w:r w:rsidRPr="00340DA5">
        <w:rPr>
          <w:rFonts w:ascii="Arial" w:hAnsi="Arial" w:cs="Arial"/>
          <w:sz w:val="22"/>
          <w:szCs w:val="22"/>
        </w:rPr>
        <w:t>When blood glucose levels fall, such as during fasting, prolonged exercise or between meals, alpha cells in the pancreas secrete glucagon. Glucagon acts primarily on hepatocytes in the liver, stimulating glycogenolysis and gluconeogenesis to increase blood glucose levels (Hall, 2021). This counter-regulatory hormone ensures continuous glucose availability, particularly for the central nervous system, which relies almost exclusively on glucose as an energy source.</w:t>
      </w:r>
      <w:r>
        <w:rPr>
          <w:rFonts w:ascii="Arial" w:hAnsi="Arial" w:cs="Arial"/>
          <w:sz w:val="22"/>
          <w:szCs w:val="22"/>
        </w:rPr>
        <w:t xml:space="preserve"> </w:t>
      </w:r>
    </w:p>
    <w:p w14:paraId="77736117" w14:textId="7309A66E" w:rsidR="00322CB9" w:rsidRDefault="00D54005" w:rsidP="00322CB9">
      <w:pPr>
        <w:spacing w:line="360" w:lineRule="auto"/>
        <w:jc w:val="both"/>
        <w:rPr>
          <w:rFonts w:ascii="Arial" w:hAnsi="Arial" w:cs="Arial"/>
          <w:sz w:val="22"/>
          <w:szCs w:val="22"/>
        </w:rPr>
      </w:pPr>
      <w:r w:rsidRPr="00D54005">
        <w:rPr>
          <w:rFonts w:ascii="Arial" w:hAnsi="Arial" w:cs="Arial"/>
          <w:sz w:val="22"/>
          <w:szCs w:val="22"/>
        </w:rPr>
        <w:t xml:space="preserve">Insulin resistance in Type 2 diabetes </w:t>
      </w:r>
      <w:r w:rsidR="00850BE3">
        <w:rPr>
          <w:rFonts w:ascii="Arial" w:hAnsi="Arial" w:cs="Arial"/>
          <w:sz w:val="22"/>
          <w:szCs w:val="22"/>
        </w:rPr>
        <w:t>disrupts this highly calibrated regulatory</w:t>
      </w:r>
      <w:r w:rsidRPr="00D54005">
        <w:rPr>
          <w:rFonts w:ascii="Arial" w:hAnsi="Arial" w:cs="Arial"/>
          <w:sz w:val="22"/>
          <w:szCs w:val="22"/>
        </w:rPr>
        <w:t xml:space="preserve"> system. Insulin receptors </w:t>
      </w:r>
      <w:r w:rsidR="00850BE3">
        <w:rPr>
          <w:rFonts w:ascii="Arial" w:hAnsi="Arial" w:cs="Arial"/>
          <w:sz w:val="22"/>
          <w:szCs w:val="22"/>
        </w:rPr>
        <w:t>in target tissues become less sensitive, so</w:t>
      </w:r>
      <w:r w:rsidRPr="00D54005">
        <w:rPr>
          <w:rFonts w:ascii="Arial" w:hAnsi="Arial" w:cs="Arial"/>
          <w:sz w:val="22"/>
          <w:szCs w:val="22"/>
        </w:rPr>
        <w:t xml:space="preserve"> even when insulin is present, glucose uptake is reduced.</w:t>
      </w:r>
      <w:r w:rsidR="00322CB9">
        <w:rPr>
          <w:rFonts w:ascii="Arial" w:hAnsi="Arial" w:cs="Arial"/>
          <w:sz w:val="22"/>
          <w:szCs w:val="22"/>
        </w:rPr>
        <w:t xml:space="preserve"> </w:t>
      </w:r>
      <w:r w:rsidR="00322CB9" w:rsidRPr="00322CB9">
        <w:rPr>
          <w:rFonts w:ascii="Arial" w:hAnsi="Arial" w:cs="Arial"/>
          <w:sz w:val="22"/>
          <w:szCs w:val="22"/>
        </w:rPr>
        <w:t>Skeletal muscle cells are inefficient at removing glucose from the bloodstream, and adipose tissue contributes to metabolic imbalance by releasing inflammatory mediators. Furthermore, hepatic glucose synthesis may stay elevated despite already high circulating glucose levels</w:t>
      </w:r>
      <w:r w:rsidR="00081993">
        <w:rPr>
          <w:rFonts w:ascii="Arial" w:hAnsi="Arial" w:cs="Arial"/>
          <w:sz w:val="22"/>
          <w:szCs w:val="22"/>
        </w:rPr>
        <w:t xml:space="preserve"> </w:t>
      </w:r>
      <w:r w:rsidR="00081993" w:rsidRPr="00081993">
        <w:rPr>
          <w:rFonts w:ascii="Arial" w:hAnsi="Arial" w:cs="Arial"/>
          <w:sz w:val="22"/>
          <w:szCs w:val="22"/>
        </w:rPr>
        <w:t>(Merz and Thurmond, 2020)</w:t>
      </w:r>
      <w:r w:rsidR="00081993">
        <w:rPr>
          <w:rFonts w:ascii="Arial" w:hAnsi="Arial" w:cs="Arial"/>
          <w:sz w:val="22"/>
          <w:szCs w:val="22"/>
        </w:rPr>
        <w:t>.</w:t>
      </w:r>
      <w:r w:rsidR="00322CB9" w:rsidRPr="00322CB9">
        <w:rPr>
          <w:rFonts w:ascii="Arial" w:hAnsi="Arial" w:cs="Arial"/>
          <w:sz w:val="22"/>
          <w:szCs w:val="22"/>
        </w:rPr>
        <w:t xml:space="preserve"> This improper hepatic output exacerbates </w:t>
      </w:r>
      <w:r w:rsidR="00081993" w:rsidRPr="00322CB9">
        <w:rPr>
          <w:rFonts w:ascii="Arial" w:hAnsi="Arial" w:cs="Arial"/>
          <w:sz w:val="22"/>
          <w:szCs w:val="22"/>
        </w:rPr>
        <w:t>hyperglycaemia</w:t>
      </w:r>
      <w:r w:rsidR="00322CB9" w:rsidRPr="00322CB9">
        <w:rPr>
          <w:rFonts w:ascii="Arial" w:hAnsi="Arial" w:cs="Arial"/>
          <w:sz w:val="22"/>
          <w:szCs w:val="22"/>
        </w:rPr>
        <w:t>.</w:t>
      </w:r>
    </w:p>
    <w:p w14:paraId="693F45C3" w14:textId="064A8A73" w:rsidR="00086CD7" w:rsidRDefault="00086CD7" w:rsidP="00086CD7">
      <w:pPr>
        <w:spacing w:line="360" w:lineRule="auto"/>
        <w:jc w:val="both"/>
        <w:rPr>
          <w:rFonts w:ascii="Arial" w:hAnsi="Arial" w:cs="Arial"/>
          <w:sz w:val="22"/>
          <w:szCs w:val="22"/>
        </w:rPr>
      </w:pPr>
      <w:r w:rsidRPr="00086CD7">
        <w:rPr>
          <w:rFonts w:ascii="Arial" w:hAnsi="Arial" w:cs="Arial"/>
          <w:sz w:val="22"/>
          <w:szCs w:val="22"/>
        </w:rPr>
        <w:t xml:space="preserve">Initially, pancreatic beta cells attempt to compensate by </w:t>
      </w:r>
      <w:r w:rsidR="006E2ABD">
        <w:rPr>
          <w:rFonts w:ascii="Arial" w:hAnsi="Arial" w:cs="Arial"/>
          <w:sz w:val="22"/>
          <w:szCs w:val="22"/>
        </w:rPr>
        <w:t>producing more insulin, leading to</w:t>
      </w:r>
      <w:r w:rsidRPr="00086CD7">
        <w:rPr>
          <w:rFonts w:ascii="Arial" w:hAnsi="Arial" w:cs="Arial"/>
          <w:sz w:val="22"/>
          <w:szCs w:val="22"/>
        </w:rPr>
        <w:t xml:space="preserve"> hyperinsulinemia. However, persistent metabolic stress eventually </w:t>
      </w:r>
      <w:r w:rsidR="006E2ABD">
        <w:rPr>
          <w:rFonts w:ascii="Arial" w:hAnsi="Arial" w:cs="Arial"/>
          <w:sz w:val="22"/>
          <w:szCs w:val="22"/>
        </w:rPr>
        <w:t>leads to beta-cell dysfunction</w:t>
      </w:r>
      <w:r w:rsidRPr="00086CD7">
        <w:rPr>
          <w:rFonts w:ascii="Arial" w:hAnsi="Arial" w:cs="Arial"/>
          <w:sz w:val="22"/>
          <w:szCs w:val="22"/>
        </w:rPr>
        <w:t xml:space="preserve"> and diminished insulin secretion capacity. The combination of insulin resistance and relative insulin insufficiency causes chronic </w:t>
      </w:r>
      <w:r w:rsidR="006E2ABD" w:rsidRPr="00086CD7">
        <w:rPr>
          <w:rFonts w:ascii="Arial" w:hAnsi="Arial" w:cs="Arial"/>
          <w:sz w:val="22"/>
          <w:szCs w:val="22"/>
        </w:rPr>
        <w:t>hyperglycaemia</w:t>
      </w:r>
      <w:r w:rsidRPr="00086CD7">
        <w:rPr>
          <w:rFonts w:ascii="Arial" w:hAnsi="Arial" w:cs="Arial"/>
          <w:sz w:val="22"/>
          <w:szCs w:val="22"/>
        </w:rPr>
        <w:t>.</w:t>
      </w:r>
      <w:r w:rsidR="00771D73">
        <w:rPr>
          <w:rFonts w:ascii="Arial" w:hAnsi="Arial" w:cs="Arial"/>
          <w:sz w:val="22"/>
          <w:szCs w:val="22"/>
        </w:rPr>
        <w:t xml:space="preserve"> </w:t>
      </w:r>
    </w:p>
    <w:p w14:paraId="43D66B2B" w14:textId="745B759D" w:rsidR="00D50EBA" w:rsidRDefault="00C8228A" w:rsidP="00D50EBA">
      <w:pPr>
        <w:spacing w:line="360" w:lineRule="auto"/>
        <w:jc w:val="both"/>
        <w:rPr>
          <w:rFonts w:ascii="Arial" w:hAnsi="Arial" w:cs="Arial"/>
          <w:sz w:val="22"/>
          <w:szCs w:val="22"/>
        </w:rPr>
      </w:pPr>
      <w:r w:rsidRPr="00C8228A">
        <w:rPr>
          <w:rFonts w:ascii="Arial" w:hAnsi="Arial" w:cs="Arial"/>
          <w:sz w:val="22"/>
          <w:szCs w:val="22"/>
        </w:rPr>
        <w:t>A sustained rise in blood glucose triggers pathogenic processes that harm cells. One such mechanism is the production of advanced glycation end products (AGEs), which occur when glucose binds non-enzymatically to proteins and lipids (WHO, 202</w:t>
      </w:r>
      <w:r w:rsidR="009F7C92">
        <w:rPr>
          <w:rFonts w:ascii="Arial" w:hAnsi="Arial" w:cs="Arial"/>
          <w:sz w:val="22"/>
          <w:szCs w:val="22"/>
        </w:rPr>
        <w:t>4</w:t>
      </w:r>
      <w:r w:rsidRPr="00C8228A">
        <w:rPr>
          <w:rFonts w:ascii="Arial" w:hAnsi="Arial" w:cs="Arial"/>
          <w:sz w:val="22"/>
          <w:szCs w:val="22"/>
        </w:rPr>
        <w:t>).</w:t>
      </w:r>
      <w:r w:rsidR="00D50EBA">
        <w:rPr>
          <w:rFonts w:ascii="Arial" w:hAnsi="Arial" w:cs="Arial"/>
          <w:sz w:val="22"/>
          <w:szCs w:val="22"/>
        </w:rPr>
        <w:t xml:space="preserve"> </w:t>
      </w:r>
      <w:r w:rsidR="00D50EBA" w:rsidRPr="00D50EBA">
        <w:rPr>
          <w:rFonts w:ascii="Arial" w:hAnsi="Arial" w:cs="Arial"/>
          <w:sz w:val="22"/>
          <w:szCs w:val="22"/>
        </w:rPr>
        <w:t xml:space="preserve">AGEs accumulate in blood vessel walls, causing basement membrane thickening and endothelial dysfunction. Chronic hyperglycaemia further exacerbates oxidative stress by increasing the generation of reactive oxygen species. These alterations impede microcirculation, leading to </w:t>
      </w:r>
      <w:r w:rsidR="00D50EBA">
        <w:rPr>
          <w:rFonts w:ascii="Arial" w:hAnsi="Arial" w:cs="Arial"/>
          <w:sz w:val="22"/>
          <w:szCs w:val="22"/>
        </w:rPr>
        <w:t>diabetic</w:t>
      </w:r>
      <w:r w:rsidR="00D50EBA" w:rsidRPr="00D50EBA">
        <w:rPr>
          <w:rFonts w:ascii="Arial" w:hAnsi="Arial" w:cs="Arial"/>
          <w:sz w:val="22"/>
          <w:szCs w:val="22"/>
        </w:rPr>
        <w:t xml:space="preserve"> retinopathy, nephropathy, and neuropathy. Accelerated atherosclerosis causes macrovascular problems such as coronary artery disease and strokes.</w:t>
      </w:r>
      <w:r w:rsidR="00D50EBA">
        <w:rPr>
          <w:rFonts w:ascii="Arial" w:hAnsi="Arial" w:cs="Arial"/>
          <w:sz w:val="22"/>
          <w:szCs w:val="22"/>
        </w:rPr>
        <w:t xml:space="preserve"> </w:t>
      </w:r>
    </w:p>
    <w:p w14:paraId="5236FD5F" w14:textId="04DE38A8" w:rsidR="00D536AF" w:rsidRDefault="00D536AF" w:rsidP="00D50EBA">
      <w:pPr>
        <w:spacing w:line="360" w:lineRule="auto"/>
        <w:jc w:val="both"/>
        <w:rPr>
          <w:rFonts w:ascii="Arial" w:hAnsi="Arial" w:cs="Arial"/>
          <w:sz w:val="22"/>
          <w:szCs w:val="22"/>
        </w:rPr>
      </w:pPr>
      <w:r w:rsidRPr="00D536AF">
        <w:rPr>
          <w:rFonts w:ascii="Arial" w:hAnsi="Arial" w:cs="Arial"/>
          <w:sz w:val="22"/>
          <w:szCs w:val="22"/>
        </w:rPr>
        <w:t>Therefore, maintaining effective glucose homeostasis is not simply about preventing symptoms but about protecting long-term organ function. Understanding these physiological mechanisms highlights why sustained hyperglycaemia must be addressed through monitoring and lifestyle modification.</w:t>
      </w:r>
    </w:p>
    <w:p w14:paraId="7AA4FC72" w14:textId="35DB8033" w:rsidR="003D0EEA" w:rsidRPr="009C3F3E" w:rsidRDefault="003D0EEA" w:rsidP="00D50EBA">
      <w:pPr>
        <w:spacing w:line="360" w:lineRule="auto"/>
        <w:jc w:val="both"/>
        <w:rPr>
          <w:rFonts w:ascii="Arial" w:hAnsi="Arial" w:cs="Arial"/>
          <w:b/>
          <w:bCs/>
          <w:sz w:val="28"/>
          <w:szCs w:val="28"/>
        </w:rPr>
      </w:pPr>
      <w:r w:rsidRPr="009C3F3E">
        <w:rPr>
          <w:rFonts w:ascii="Arial" w:hAnsi="Arial" w:cs="Arial"/>
          <w:b/>
          <w:bCs/>
          <w:sz w:val="28"/>
          <w:szCs w:val="28"/>
        </w:rPr>
        <w:lastRenderedPageBreak/>
        <w:t>Oxygen, Glucose and Cellular Energy Production</w:t>
      </w:r>
    </w:p>
    <w:p w14:paraId="0015C2E1" w14:textId="266784E4" w:rsidR="009C3F3E" w:rsidRDefault="009C3F3E" w:rsidP="009C3F3E">
      <w:pPr>
        <w:spacing w:line="360" w:lineRule="auto"/>
        <w:jc w:val="both"/>
        <w:rPr>
          <w:rFonts w:ascii="Arial" w:hAnsi="Arial" w:cs="Arial"/>
          <w:sz w:val="22"/>
          <w:szCs w:val="22"/>
        </w:rPr>
      </w:pPr>
      <w:r w:rsidRPr="009C3F3E">
        <w:rPr>
          <w:rFonts w:ascii="Arial" w:hAnsi="Arial" w:cs="Arial"/>
          <w:sz w:val="22"/>
          <w:szCs w:val="22"/>
        </w:rPr>
        <w:t xml:space="preserve">Glucose is the principal fuel for cellular respiration, the metabolic process by which cells generate adenosine triphosphate (ATP). ATP supplies the energy </w:t>
      </w:r>
      <w:r>
        <w:rPr>
          <w:rFonts w:ascii="Arial" w:hAnsi="Arial" w:cs="Arial"/>
          <w:sz w:val="22"/>
          <w:szCs w:val="22"/>
        </w:rPr>
        <w:t>required for critical biological functions, including</w:t>
      </w:r>
      <w:r w:rsidRPr="009C3F3E">
        <w:rPr>
          <w:rFonts w:ascii="Arial" w:hAnsi="Arial" w:cs="Arial"/>
          <w:sz w:val="22"/>
          <w:szCs w:val="22"/>
        </w:rPr>
        <w:t xml:space="preserve"> muscular contraction, nerve impulse transmission, active transport, and biosynthesis. Efficient energy production is thus critical to preserving physiological homeostasis.</w:t>
      </w:r>
      <w:r>
        <w:rPr>
          <w:rFonts w:ascii="Arial" w:hAnsi="Arial" w:cs="Arial"/>
          <w:sz w:val="22"/>
          <w:szCs w:val="22"/>
        </w:rPr>
        <w:t xml:space="preserve"> </w:t>
      </w:r>
    </w:p>
    <w:p w14:paraId="19E04B4C" w14:textId="43B1791B" w:rsidR="00996E35" w:rsidRDefault="00996E35" w:rsidP="00996E35">
      <w:pPr>
        <w:spacing w:line="360" w:lineRule="auto"/>
        <w:jc w:val="both"/>
        <w:rPr>
          <w:rFonts w:ascii="Arial" w:hAnsi="Arial" w:cs="Arial"/>
          <w:sz w:val="22"/>
          <w:szCs w:val="22"/>
        </w:rPr>
      </w:pPr>
      <w:r w:rsidRPr="00996E35">
        <w:rPr>
          <w:rFonts w:ascii="Arial" w:hAnsi="Arial" w:cs="Arial"/>
          <w:sz w:val="22"/>
          <w:szCs w:val="22"/>
        </w:rPr>
        <w:t xml:space="preserve">Cellular respiration has three major stages: glycolysis, the Krebs cycle, and the electron transport chain (Tortora &amp; Derrickson, 2021). Glycolysis occurs in the cytoplasm when one glucose molecule is broken down into two pyruvate molecules. This stage generates a modest </w:t>
      </w:r>
      <w:r w:rsidR="00EE533D">
        <w:rPr>
          <w:rFonts w:ascii="Arial" w:hAnsi="Arial" w:cs="Arial"/>
          <w:sz w:val="22"/>
          <w:szCs w:val="22"/>
        </w:rPr>
        <w:t>amount of ATP and reduced electron carriers, such as</w:t>
      </w:r>
      <w:r w:rsidRPr="00996E35">
        <w:rPr>
          <w:rFonts w:ascii="Arial" w:hAnsi="Arial" w:cs="Arial"/>
          <w:sz w:val="22"/>
          <w:szCs w:val="22"/>
        </w:rPr>
        <w:t xml:space="preserve"> NADH. Although glycolysis does not require oxygen, it </w:t>
      </w:r>
      <w:r w:rsidR="00EE533D">
        <w:rPr>
          <w:rFonts w:ascii="Arial" w:hAnsi="Arial" w:cs="Arial"/>
          <w:sz w:val="22"/>
          <w:szCs w:val="22"/>
        </w:rPr>
        <w:t>provides substrates for subsequent</w:t>
      </w:r>
      <w:r w:rsidRPr="00996E35">
        <w:rPr>
          <w:rFonts w:ascii="Arial" w:hAnsi="Arial" w:cs="Arial"/>
          <w:sz w:val="22"/>
          <w:szCs w:val="22"/>
        </w:rPr>
        <w:t xml:space="preserve"> aerobic processes.</w:t>
      </w:r>
      <w:r>
        <w:rPr>
          <w:rFonts w:ascii="Arial" w:hAnsi="Arial" w:cs="Arial"/>
          <w:sz w:val="22"/>
          <w:szCs w:val="22"/>
        </w:rPr>
        <w:t xml:space="preserve"> </w:t>
      </w:r>
    </w:p>
    <w:p w14:paraId="25C623A8" w14:textId="27BC0DDB" w:rsidR="00AC2732" w:rsidRDefault="00AC2732" w:rsidP="00AC2732">
      <w:pPr>
        <w:spacing w:line="360" w:lineRule="auto"/>
        <w:jc w:val="both"/>
        <w:rPr>
          <w:rFonts w:ascii="Arial" w:hAnsi="Arial" w:cs="Arial"/>
          <w:sz w:val="22"/>
          <w:szCs w:val="22"/>
        </w:rPr>
      </w:pPr>
      <w:r w:rsidRPr="00AC2732">
        <w:rPr>
          <w:rFonts w:ascii="Arial" w:hAnsi="Arial" w:cs="Arial"/>
          <w:sz w:val="22"/>
          <w:szCs w:val="22"/>
        </w:rPr>
        <w:t>The pyruvate molecules produced during glycolysis are taken to the mitochondria and transformed into acetyl coenzyme A. Acetyl coenzyme A enters the Krebs cycle (also known as the citric acid cycle). During this stage, oxidation events release carbon dioxide and produce more NADH and FADH</w:t>
      </w:r>
      <w:r w:rsidRPr="00AC2732">
        <w:rPr>
          <w:rFonts w:ascii="Cambria Math" w:hAnsi="Cambria Math" w:cs="Cambria Math"/>
          <w:sz w:val="22"/>
          <w:szCs w:val="22"/>
        </w:rPr>
        <w:t>₂</w:t>
      </w:r>
      <w:r w:rsidRPr="00AC2732">
        <w:rPr>
          <w:rFonts w:ascii="Arial" w:hAnsi="Arial" w:cs="Arial"/>
          <w:sz w:val="22"/>
          <w:szCs w:val="22"/>
        </w:rPr>
        <w:t xml:space="preserve"> molecules (Hall, 2021). These electron carriers hold high-energy electrons for the last stage of respiration.</w:t>
      </w:r>
      <w:r w:rsidR="00EE533D">
        <w:rPr>
          <w:rFonts w:ascii="Arial" w:hAnsi="Arial" w:cs="Arial"/>
          <w:sz w:val="22"/>
          <w:szCs w:val="22"/>
        </w:rPr>
        <w:t xml:space="preserve"> </w:t>
      </w:r>
    </w:p>
    <w:p w14:paraId="09F0FF9D" w14:textId="48AC0C8F" w:rsidR="00325705" w:rsidRPr="00325705" w:rsidRDefault="00325705" w:rsidP="00325705">
      <w:pPr>
        <w:spacing w:line="360" w:lineRule="auto"/>
        <w:jc w:val="both"/>
        <w:rPr>
          <w:rFonts w:ascii="Arial" w:hAnsi="Arial" w:cs="Arial"/>
          <w:sz w:val="22"/>
          <w:szCs w:val="22"/>
        </w:rPr>
      </w:pPr>
      <w:r w:rsidRPr="00325705">
        <w:rPr>
          <w:rFonts w:ascii="Arial" w:hAnsi="Arial" w:cs="Arial"/>
          <w:sz w:val="22"/>
          <w:szCs w:val="22"/>
        </w:rPr>
        <w:t>The electron transport chain is found within the inner mitochondrial membrane. NADH and FADH</w:t>
      </w:r>
      <w:r w:rsidRPr="00325705">
        <w:rPr>
          <w:rFonts w:ascii="Cambria Math" w:hAnsi="Cambria Math" w:cs="Cambria Math"/>
          <w:sz w:val="22"/>
          <w:szCs w:val="22"/>
        </w:rPr>
        <w:t>₂</w:t>
      </w:r>
      <w:r w:rsidRPr="00325705">
        <w:rPr>
          <w:rFonts w:ascii="Arial" w:hAnsi="Arial" w:cs="Arial"/>
          <w:sz w:val="22"/>
          <w:szCs w:val="22"/>
        </w:rPr>
        <w:t xml:space="preserve"> provide electrons to several protein complexes. As electrons flow through the chain, energy is </w:t>
      </w:r>
      <w:r w:rsidR="006B3A63">
        <w:rPr>
          <w:rFonts w:ascii="Arial" w:hAnsi="Arial" w:cs="Arial"/>
          <w:sz w:val="22"/>
          <w:szCs w:val="22"/>
        </w:rPr>
        <w:t>released and used to drive protons across the membrane, establishing</w:t>
      </w:r>
      <w:r w:rsidRPr="00325705">
        <w:rPr>
          <w:rFonts w:ascii="Arial" w:hAnsi="Arial" w:cs="Arial"/>
          <w:sz w:val="22"/>
          <w:szCs w:val="22"/>
        </w:rPr>
        <w:t xml:space="preserve"> an electrochemical gradient. This gradient stimulates ATP generation via oxidative phosphorylation. Oxygen serves as the ultimate electron acceptor, joining electrons and hydrogen ions to form water (Tortora and Derrickson, 2021). Without oxygen, the electron transport chain cannot </w:t>
      </w:r>
      <w:r w:rsidR="00433C80">
        <w:rPr>
          <w:rFonts w:ascii="Arial" w:hAnsi="Arial" w:cs="Arial"/>
          <w:sz w:val="22"/>
          <w:szCs w:val="22"/>
        </w:rPr>
        <w:t>function properly, leading to a dramatic reduction in</w:t>
      </w:r>
      <w:r w:rsidRPr="00325705">
        <w:rPr>
          <w:rFonts w:ascii="Arial" w:hAnsi="Arial" w:cs="Arial"/>
          <w:sz w:val="22"/>
          <w:szCs w:val="22"/>
        </w:rPr>
        <w:t xml:space="preserve"> ATP synthesis.</w:t>
      </w:r>
    </w:p>
    <w:p w14:paraId="3920A516" w14:textId="31B0329B" w:rsidR="000D0EEC" w:rsidRDefault="000D0EEC" w:rsidP="000D0EEC">
      <w:pPr>
        <w:spacing w:line="360" w:lineRule="auto"/>
        <w:jc w:val="both"/>
        <w:rPr>
          <w:rFonts w:ascii="Arial" w:hAnsi="Arial" w:cs="Arial"/>
          <w:sz w:val="22"/>
          <w:szCs w:val="22"/>
        </w:rPr>
      </w:pPr>
      <w:r w:rsidRPr="000D0EEC">
        <w:rPr>
          <w:rFonts w:ascii="Arial" w:hAnsi="Arial" w:cs="Arial"/>
          <w:sz w:val="22"/>
          <w:szCs w:val="22"/>
        </w:rPr>
        <w:t xml:space="preserve">In those with Type 2 diabetes, poor insulin signalling lowers glucose absorption into skeletal muscle and adipose tissue. Despite elevated </w:t>
      </w:r>
      <w:r w:rsidR="00433C80">
        <w:rPr>
          <w:rFonts w:ascii="Arial" w:hAnsi="Arial" w:cs="Arial"/>
          <w:sz w:val="22"/>
          <w:szCs w:val="22"/>
        </w:rPr>
        <w:t>circulating</w:t>
      </w:r>
      <w:r w:rsidRPr="000D0EEC">
        <w:rPr>
          <w:rFonts w:ascii="Arial" w:hAnsi="Arial" w:cs="Arial"/>
          <w:sz w:val="22"/>
          <w:szCs w:val="22"/>
        </w:rPr>
        <w:t xml:space="preserve"> glucose levels, intracellular glucose availability may be insufficient for optimal ATP generation. This paradox explains why individuals may feel exhaustion despite having high blood glucose levels. Furthermore, chronic </w:t>
      </w:r>
      <w:r w:rsidR="00115414" w:rsidRPr="000D0EEC">
        <w:rPr>
          <w:rFonts w:ascii="Arial" w:hAnsi="Arial" w:cs="Arial"/>
          <w:sz w:val="22"/>
          <w:szCs w:val="22"/>
        </w:rPr>
        <w:t>hyperglycaemia</w:t>
      </w:r>
      <w:r w:rsidRPr="000D0EEC">
        <w:rPr>
          <w:rFonts w:ascii="Arial" w:hAnsi="Arial" w:cs="Arial"/>
          <w:sz w:val="22"/>
          <w:szCs w:val="22"/>
        </w:rPr>
        <w:t xml:space="preserve"> </w:t>
      </w:r>
      <w:r w:rsidR="00433C80">
        <w:rPr>
          <w:rFonts w:ascii="Arial" w:hAnsi="Arial" w:cs="Arial"/>
          <w:sz w:val="22"/>
          <w:szCs w:val="22"/>
        </w:rPr>
        <w:t>increases mitochondrial production of reactive oxygen species, contributing</w:t>
      </w:r>
      <w:r w:rsidRPr="000D0EEC">
        <w:rPr>
          <w:rFonts w:ascii="Arial" w:hAnsi="Arial" w:cs="Arial"/>
          <w:sz w:val="22"/>
          <w:szCs w:val="22"/>
        </w:rPr>
        <w:t xml:space="preserve"> to oxidative stress and cell damage (WHO, 202</w:t>
      </w:r>
      <w:r>
        <w:rPr>
          <w:rFonts w:ascii="Arial" w:hAnsi="Arial" w:cs="Arial"/>
          <w:sz w:val="22"/>
          <w:szCs w:val="22"/>
        </w:rPr>
        <w:t>4</w:t>
      </w:r>
      <w:r w:rsidRPr="000D0EEC">
        <w:rPr>
          <w:rFonts w:ascii="Arial" w:hAnsi="Arial" w:cs="Arial"/>
          <w:sz w:val="22"/>
          <w:szCs w:val="22"/>
        </w:rPr>
        <w:t>). Over time</w:t>
      </w:r>
      <w:r w:rsidR="00125B7B">
        <w:rPr>
          <w:rFonts w:ascii="Arial" w:hAnsi="Arial" w:cs="Arial"/>
          <w:sz w:val="22"/>
          <w:szCs w:val="22"/>
        </w:rPr>
        <w:t xml:space="preserve">, Oxidative stress </w:t>
      </w:r>
      <w:proofErr w:type="gramStart"/>
      <w:r w:rsidR="00125B7B">
        <w:rPr>
          <w:rFonts w:ascii="Arial" w:hAnsi="Arial" w:cs="Arial"/>
          <w:sz w:val="22"/>
          <w:szCs w:val="22"/>
        </w:rPr>
        <w:t>compromises</w:t>
      </w:r>
      <w:proofErr w:type="gramEnd"/>
      <w:r w:rsidR="00125B7B">
        <w:rPr>
          <w:rFonts w:ascii="Arial" w:hAnsi="Arial" w:cs="Arial"/>
          <w:sz w:val="22"/>
          <w:szCs w:val="22"/>
        </w:rPr>
        <w:t xml:space="preserve"> </w:t>
      </w:r>
      <w:r w:rsidR="002D6FD5">
        <w:rPr>
          <w:rFonts w:ascii="Arial" w:hAnsi="Arial" w:cs="Arial"/>
          <w:sz w:val="22"/>
          <w:szCs w:val="22"/>
        </w:rPr>
        <w:t>endothelial function</w:t>
      </w:r>
      <w:r w:rsidR="007828F9">
        <w:rPr>
          <w:rFonts w:ascii="Arial" w:hAnsi="Arial" w:cs="Arial"/>
          <w:sz w:val="22"/>
          <w:szCs w:val="22"/>
        </w:rPr>
        <w:t>, decreases tissue oxygen delivery, and increases</w:t>
      </w:r>
      <w:r w:rsidR="00D65756">
        <w:rPr>
          <w:rFonts w:ascii="Arial" w:hAnsi="Arial" w:cs="Arial"/>
          <w:sz w:val="22"/>
          <w:szCs w:val="22"/>
        </w:rPr>
        <w:t xml:space="preserve"> metabolic insufficiency. </w:t>
      </w:r>
      <w:r w:rsidRPr="000D0EEC">
        <w:rPr>
          <w:rFonts w:ascii="Arial" w:hAnsi="Arial" w:cs="Arial"/>
          <w:sz w:val="22"/>
          <w:szCs w:val="22"/>
        </w:rPr>
        <w:br/>
        <w:t xml:space="preserve">As a result, adequate glycaemic management is required not only to </w:t>
      </w:r>
      <w:r w:rsidR="00433C80">
        <w:rPr>
          <w:rFonts w:ascii="Arial" w:hAnsi="Arial" w:cs="Arial"/>
          <w:sz w:val="22"/>
          <w:szCs w:val="22"/>
        </w:rPr>
        <w:t>prevent vascular complications but also to maintain efficient cellular energy metabolism</w:t>
      </w:r>
      <w:r w:rsidRPr="000D0EEC">
        <w:rPr>
          <w:rFonts w:ascii="Arial" w:hAnsi="Arial" w:cs="Arial"/>
          <w:sz w:val="22"/>
          <w:szCs w:val="22"/>
        </w:rPr>
        <w:t xml:space="preserve">. Understanding the </w:t>
      </w:r>
      <w:r w:rsidRPr="000D0EEC">
        <w:rPr>
          <w:rFonts w:ascii="Arial" w:hAnsi="Arial" w:cs="Arial"/>
          <w:sz w:val="22"/>
          <w:szCs w:val="22"/>
        </w:rPr>
        <w:lastRenderedPageBreak/>
        <w:t>relationship between glucose regulation and ATP production might help patients understand why diabetes care requires regular monitoring and lifestyle adjustments.</w:t>
      </w:r>
    </w:p>
    <w:p w14:paraId="5DE630B8" w14:textId="44F06741" w:rsidR="00F04BB3" w:rsidRPr="00DE4F43" w:rsidRDefault="00F04BB3" w:rsidP="000D0EEC">
      <w:pPr>
        <w:spacing w:line="360" w:lineRule="auto"/>
        <w:jc w:val="both"/>
        <w:rPr>
          <w:rFonts w:ascii="Arial" w:hAnsi="Arial" w:cs="Arial"/>
          <w:b/>
          <w:bCs/>
          <w:sz w:val="28"/>
          <w:szCs w:val="28"/>
        </w:rPr>
      </w:pPr>
      <w:r w:rsidRPr="00DE4F43">
        <w:rPr>
          <w:rFonts w:ascii="Arial" w:hAnsi="Arial" w:cs="Arial"/>
          <w:b/>
          <w:bCs/>
          <w:sz w:val="28"/>
          <w:szCs w:val="28"/>
        </w:rPr>
        <w:t>Recording and Tracking Blood Glucose Levels</w:t>
      </w:r>
    </w:p>
    <w:p w14:paraId="3A4E1061" w14:textId="77777777" w:rsidR="00486D5B" w:rsidRPr="00486D5B" w:rsidRDefault="00486D5B" w:rsidP="00486D5B">
      <w:pPr>
        <w:spacing w:line="360" w:lineRule="auto"/>
        <w:jc w:val="both"/>
        <w:rPr>
          <w:rFonts w:ascii="Arial" w:hAnsi="Arial" w:cs="Arial"/>
          <w:sz w:val="22"/>
          <w:szCs w:val="22"/>
        </w:rPr>
      </w:pPr>
      <w:r w:rsidRPr="00486D5B">
        <w:rPr>
          <w:rFonts w:ascii="Arial" w:hAnsi="Arial" w:cs="Arial"/>
          <w:sz w:val="22"/>
          <w:szCs w:val="22"/>
        </w:rPr>
        <w:t>Monitoring blood glucose levels is a fundamental component of Type 2 diabetes management and demonstrates how routine clinical data is used to inform safe, evidence-based decision-making in health and social care practice (NICE, 2023). In primary care, structured monitoring supports both prevention of complications and personalised treatment adjustments. It also directly links to patient empowerment and shared decision-making.</w:t>
      </w:r>
    </w:p>
    <w:p w14:paraId="5FD73998" w14:textId="77777777" w:rsidR="00486D5B" w:rsidRPr="00486D5B" w:rsidRDefault="00486D5B" w:rsidP="00486D5B">
      <w:pPr>
        <w:spacing w:line="360" w:lineRule="auto"/>
        <w:jc w:val="both"/>
        <w:rPr>
          <w:rFonts w:ascii="Arial" w:hAnsi="Arial" w:cs="Arial"/>
          <w:sz w:val="22"/>
          <w:szCs w:val="22"/>
        </w:rPr>
      </w:pPr>
      <w:r w:rsidRPr="00486D5B">
        <w:rPr>
          <w:rFonts w:ascii="Arial" w:hAnsi="Arial" w:cs="Arial"/>
          <w:sz w:val="22"/>
          <w:szCs w:val="22"/>
        </w:rPr>
        <w:t>Self-monitoring of blood glucose (SMBG) allows individuals to measure capillary blood glucose using a glucometer. These readings provide immediate feedback regarding the physiological impact of food intake, physical activity, stress and medication. For example, postprandial monitoring can reveal excessive glucose spikes after meals high in refined carbohydrates. Fasting readings may indicate insufficient overnight glycaemic control or excessive hepatic glucose production. When patients record these readings systematically, patterns become identifiable.</w:t>
      </w:r>
    </w:p>
    <w:p w14:paraId="619F0151" w14:textId="77777777" w:rsidR="007B7F62" w:rsidRPr="007B7F62" w:rsidRDefault="00767A1A" w:rsidP="007B7F62">
      <w:pPr>
        <w:spacing w:line="360" w:lineRule="auto"/>
        <w:jc w:val="both"/>
        <w:rPr>
          <w:rFonts w:ascii="Arial" w:hAnsi="Arial" w:cs="Arial"/>
          <w:sz w:val="22"/>
          <w:szCs w:val="22"/>
        </w:rPr>
      </w:pPr>
      <w:r w:rsidRPr="00767A1A">
        <w:rPr>
          <w:rFonts w:ascii="Arial" w:hAnsi="Arial" w:cs="Arial"/>
          <w:sz w:val="22"/>
          <w:szCs w:val="22"/>
        </w:rPr>
        <w:t>In addition to daily monitoring, glycated haemoglobin (HbA1c) testing provides a longer-term assessment of glycaemic control. HbA1c is formed when glucose binds irreversibly to haemoglobin within red blood cells. As red blood cells circulate for approximately 120 days, HbA1c reflects average blood glucose over the previous 8–12 weeks (N</w:t>
      </w:r>
      <w:r w:rsidR="001A7D5E">
        <w:rPr>
          <w:rFonts w:ascii="Arial" w:hAnsi="Arial" w:cs="Arial"/>
          <w:sz w:val="22"/>
          <w:szCs w:val="22"/>
        </w:rPr>
        <w:t>ICE, 2017</w:t>
      </w:r>
      <w:r w:rsidRPr="00767A1A">
        <w:rPr>
          <w:rFonts w:ascii="Arial" w:hAnsi="Arial" w:cs="Arial"/>
          <w:sz w:val="22"/>
          <w:szCs w:val="22"/>
        </w:rPr>
        <w:t>).</w:t>
      </w:r>
      <w:r w:rsidR="001A7D5E">
        <w:rPr>
          <w:rFonts w:ascii="Arial" w:hAnsi="Arial" w:cs="Arial"/>
          <w:sz w:val="22"/>
          <w:szCs w:val="22"/>
        </w:rPr>
        <w:t xml:space="preserve"> </w:t>
      </w:r>
      <w:r w:rsidR="008C61B2" w:rsidRPr="008C61B2">
        <w:rPr>
          <w:rFonts w:ascii="Arial" w:hAnsi="Arial" w:cs="Arial"/>
          <w:sz w:val="22"/>
          <w:szCs w:val="22"/>
        </w:rPr>
        <w:t>Elevated HbA1c levels are strongly associated with increased risk of microvascular complications such as retinopathy and nephropathy</w:t>
      </w:r>
      <w:r w:rsidR="008C61B2">
        <w:rPr>
          <w:rFonts w:ascii="Arial" w:hAnsi="Arial" w:cs="Arial"/>
          <w:sz w:val="22"/>
          <w:szCs w:val="22"/>
        </w:rPr>
        <w:t xml:space="preserve">. </w:t>
      </w:r>
      <w:r w:rsidR="00CC41FC">
        <w:rPr>
          <w:rFonts w:ascii="Arial" w:hAnsi="Arial" w:cs="Arial"/>
          <w:sz w:val="22"/>
          <w:szCs w:val="22"/>
        </w:rPr>
        <w:t>National Institute for Health and Social Care Excellence (</w:t>
      </w:r>
      <w:r w:rsidR="007B7F62">
        <w:rPr>
          <w:rFonts w:ascii="Arial" w:hAnsi="Arial" w:cs="Arial"/>
          <w:sz w:val="22"/>
          <w:szCs w:val="22"/>
        </w:rPr>
        <w:t xml:space="preserve">2023) </w:t>
      </w:r>
      <w:r w:rsidR="007B7F62" w:rsidRPr="007B7F62">
        <w:rPr>
          <w:rFonts w:ascii="Arial" w:hAnsi="Arial" w:cs="Arial"/>
          <w:sz w:val="22"/>
          <w:szCs w:val="22"/>
        </w:rPr>
        <w:t>recommends individualised HbA1c targets, often around 48–53 mmol/mol for many adults, depending on comorbidities and hypoglycaemia risk.</w:t>
      </w:r>
    </w:p>
    <w:p w14:paraId="1F149FF3" w14:textId="4BC52D95" w:rsidR="00944AD0" w:rsidRPr="00944AD0" w:rsidRDefault="00944AD0" w:rsidP="00944AD0">
      <w:pPr>
        <w:spacing w:line="360" w:lineRule="auto"/>
        <w:jc w:val="both"/>
        <w:rPr>
          <w:rFonts w:ascii="Arial" w:hAnsi="Arial" w:cs="Arial"/>
          <w:sz w:val="22"/>
          <w:szCs w:val="22"/>
        </w:rPr>
      </w:pPr>
      <w:r w:rsidRPr="00944AD0">
        <w:rPr>
          <w:rFonts w:ascii="Arial" w:hAnsi="Arial" w:cs="Arial"/>
          <w:sz w:val="22"/>
          <w:szCs w:val="22"/>
        </w:rPr>
        <w:t xml:space="preserve">Routine monitoring </w:t>
      </w:r>
      <w:r w:rsidR="00726A8D">
        <w:rPr>
          <w:rFonts w:ascii="Arial" w:hAnsi="Arial" w:cs="Arial"/>
          <w:sz w:val="22"/>
          <w:szCs w:val="22"/>
        </w:rPr>
        <w:t>demonstrate</w:t>
      </w:r>
      <w:r w:rsidRPr="00944AD0">
        <w:rPr>
          <w:rFonts w:ascii="Arial" w:hAnsi="Arial" w:cs="Arial"/>
          <w:sz w:val="22"/>
          <w:szCs w:val="22"/>
        </w:rPr>
        <w:t xml:space="preserve">s how physiological measures </w:t>
      </w:r>
      <w:r w:rsidR="00E16497">
        <w:rPr>
          <w:rFonts w:ascii="Arial" w:hAnsi="Arial" w:cs="Arial"/>
          <w:sz w:val="22"/>
          <w:szCs w:val="22"/>
        </w:rPr>
        <w:t>translate</w:t>
      </w:r>
      <w:r w:rsidRPr="00944AD0">
        <w:rPr>
          <w:rFonts w:ascii="Arial" w:hAnsi="Arial" w:cs="Arial"/>
          <w:sz w:val="22"/>
          <w:szCs w:val="22"/>
        </w:rPr>
        <w:t xml:space="preserve"> into clinical action. For example, persistently elevated HbA1c may prompt intensification of pharmacological therapy, such as initiating metformin, adding an SGLT2 inhibitor, or considering GLP-1 receptor agonists (NICE, 2023). Conversely, episodes of hypoglycaemia may require medication review or dietary adjustment. Therefore, recorded data directly influences treatment decisions.</w:t>
      </w:r>
    </w:p>
    <w:p w14:paraId="7548F295" w14:textId="77777777" w:rsidR="00944AD0" w:rsidRPr="00944AD0" w:rsidRDefault="00944AD0" w:rsidP="00944AD0">
      <w:pPr>
        <w:spacing w:line="360" w:lineRule="auto"/>
        <w:jc w:val="both"/>
        <w:rPr>
          <w:rFonts w:ascii="Arial" w:hAnsi="Arial" w:cs="Arial"/>
          <w:sz w:val="22"/>
          <w:szCs w:val="22"/>
        </w:rPr>
      </w:pPr>
      <w:r w:rsidRPr="00944AD0">
        <w:rPr>
          <w:rFonts w:ascii="Arial" w:hAnsi="Arial" w:cs="Arial"/>
          <w:sz w:val="22"/>
          <w:szCs w:val="22"/>
        </w:rPr>
        <w:t>Importantly, tracking blood glucose also promotes behavioural change. When patients observe how dietary choices affect their glucose levels, they gain insight into the relationship between carbohydrate intake and glycaemic response. This reinforces lifestyle education and increases adherence to care plans. Research consistently shows that patient engagement improves when individuals actively participate in monitoring and reviewing their own data.</w:t>
      </w:r>
    </w:p>
    <w:p w14:paraId="6B194D7B" w14:textId="77777777" w:rsidR="00F80AAC" w:rsidRPr="00F80AAC" w:rsidRDefault="00F80AAC" w:rsidP="00F80AAC">
      <w:pPr>
        <w:spacing w:line="360" w:lineRule="auto"/>
        <w:jc w:val="both"/>
        <w:rPr>
          <w:rFonts w:ascii="Arial" w:hAnsi="Arial" w:cs="Arial"/>
          <w:sz w:val="22"/>
          <w:szCs w:val="22"/>
        </w:rPr>
      </w:pPr>
      <w:r w:rsidRPr="00F80AAC">
        <w:rPr>
          <w:rFonts w:ascii="Arial" w:hAnsi="Arial" w:cs="Arial"/>
          <w:sz w:val="22"/>
          <w:szCs w:val="22"/>
        </w:rPr>
        <w:lastRenderedPageBreak/>
        <w:t>Furthermore, routine data collection contributes to preventative care. Early detection of rising glucose levels allows timely intervention before complications develop. Monitoring supports risk stratification and structured annual reviews, including blood pressure measurement, lipid profiles and kidney function tests. These integrated data points allow healthcare professionals to assess overall cardiovascular risk and implement preventative strategies.</w:t>
      </w:r>
    </w:p>
    <w:p w14:paraId="44BE6856" w14:textId="77777777" w:rsidR="00F80AAC" w:rsidRPr="00F80AAC" w:rsidRDefault="00F80AAC" w:rsidP="00F80AAC">
      <w:pPr>
        <w:spacing w:line="360" w:lineRule="auto"/>
        <w:jc w:val="both"/>
        <w:rPr>
          <w:rFonts w:ascii="Arial" w:hAnsi="Arial" w:cs="Arial"/>
          <w:sz w:val="22"/>
          <w:szCs w:val="22"/>
        </w:rPr>
      </w:pPr>
      <w:r w:rsidRPr="00F80AAC">
        <w:rPr>
          <w:rFonts w:ascii="Arial" w:hAnsi="Arial" w:cs="Arial"/>
          <w:sz w:val="22"/>
          <w:szCs w:val="22"/>
        </w:rPr>
        <w:t>In primary care, therefore, blood glucose monitoring is not merely a diagnostic measure but a dynamic tool that connects physiology with personalised, preventative healthcare. It demonstrates how routine data supports clinical judgement, reduces hospital admissions and enhances long-term outcomes.</w:t>
      </w:r>
    </w:p>
    <w:p w14:paraId="76C7B97F" w14:textId="33854383" w:rsidR="00435A19" w:rsidRPr="001B6371" w:rsidRDefault="009E535F" w:rsidP="000D0EEC">
      <w:pPr>
        <w:spacing w:line="360" w:lineRule="auto"/>
        <w:jc w:val="both"/>
        <w:rPr>
          <w:rFonts w:ascii="Arial" w:hAnsi="Arial" w:cs="Arial"/>
          <w:b/>
          <w:bCs/>
          <w:sz w:val="28"/>
          <w:szCs w:val="28"/>
        </w:rPr>
      </w:pPr>
      <w:r w:rsidRPr="001B6371">
        <w:rPr>
          <w:rFonts w:ascii="Arial" w:hAnsi="Arial" w:cs="Arial"/>
          <w:b/>
          <w:bCs/>
          <w:sz w:val="28"/>
          <w:szCs w:val="28"/>
        </w:rPr>
        <w:t>Evidence-Based Lifestyle Recommendations</w:t>
      </w:r>
    </w:p>
    <w:p w14:paraId="6ABB26B4" w14:textId="77777777" w:rsidR="00220601" w:rsidRPr="00220601" w:rsidRDefault="00220601" w:rsidP="00220601">
      <w:pPr>
        <w:spacing w:line="360" w:lineRule="auto"/>
        <w:jc w:val="both"/>
        <w:rPr>
          <w:rFonts w:ascii="Arial" w:hAnsi="Arial" w:cs="Arial"/>
          <w:sz w:val="22"/>
          <w:szCs w:val="22"/>
        </w:rPr>
      </w:pPr>
      <w:r w:rsidRPr="00220601">
        <w:rPr>
          <w:rFonts w:ascii="Arial" w:hAnsi="Arial" w:cs="Arial"/>
          <w:sz w:val="22"/>
          <w:szCs w:val="22"/>
        </w:rPr>
        <w:t>Lifestyle modification remains the cornerstone of Type 2 diabetes management and addresses the underlying mechanisms of insulin resistance rather than simply treating hyperglycaemia (NICE, 2023). Evidence-based recommendations focus on dietary intervention, increased physical activity, weight management and smoking cessation.</w:t>
      </w:r>
    </w:p>
    <w:p w14:paraId="28C8BA68" w14:textId="77777777" w:rsidR="00220601" w:rsidRPr="00220601" w:rsidRDefault="00220601" w:rsidP="00220601">
      <w:pPr>
        <w:spacing w:line="360" w:lineRule="auto"/>
        <w:jc w:val="both"/>
        <w:rPr>
          <w:rFonts w:ascii="Arial" w:hAnsi="Arial" w:cs="Arial"/>
          <w:b/>
          <w:bCs/>
          <w:sz w:val="22"/>
          <w:szCs w:val="22"/>
        </w:rPr>
      </w:pPr>
      <w:r w:rsidRPr="00220601">
        <w:rPr>
          <w:rFonts w:ascii="Arial" w:hAnsi="Arial" w:cs="Arial"/>
          <w:b/>
          <w:bCs/>
          <w:sz w:val="22"/>
          <w:szCs w:val="22"/>
        </w:rPr>
        <w:t>Dietary Modification</w:t>
      </w:r>
    </w:p>
    <w:p w14:paraId="37A3FAA7" w14:textId="77777777" w:rsidR="00220601" w:rsidRPr="00220601" w:rsidRDefault="00220601" w:rsidP="00220601">
      <w:pPr>
        <w:spacing w:line="360" w:lineRule="auto"/>
        <w:jc w:val="both"/>
        <w:rPr>
          <w:rFonts w:ascii="Arial" w:hAnsi="Arial" w:cs="Arial"/>
          <w:sz w:val="22"/>
          <w:szCs w:val="22"/>
        </w:rPr>
      </w:pPr>
      <w:r w:rsidRPr="00220601">
        <w:rPr>
          <w:rFonts w:ascii="Arial" w:hAnsi="Arial" w:cs="Arial"/>
          <w:sz w:val="22"/>
          <w:szCs w:val="22"/>
        </w:rPr>
        <w:t>Diet plays a central role in regulating postprandial glucose levels. High glycaemic index (GI) carbohydrates are rapidly digested and absorbed, causing sharp increases in blood glucose and increased insulin demand. In contrast, low-GI foods such as whole grains, legumes, vegetables and fibre-rich foods slow glucose absorption and reduce glycaemic variability (Diabetes UK, 2023). Reducing refined sugars and processed carbohydrates lowers postprandial hyperglycaemia and reduces stress on pancreatic beta cells.</w:t>
      </w:r>
    </w:p>
    <w:p w14:paraId="6036B893" w14:textId="5C54319D" w:rsidR="009E535F" w:rsidRDefault="00220601" w:rsidP="000D0EEC">
      <w:pPr>
        <w:spacing w:line="360" w:lineRule="auto"/>
        <w:jc w:val="both"/>
        <w:rPr>
          <w:rFonts w:ascii="Arial" w:hAnsi="Arial" w:cs="Arial"/>
          <w:sz w:val="22"/>
          <w:szCs w:val="22"/>
        </w:rPr>
      </w:pPr>
      <w:r w:rsidRPr="00220601">
        <w:rPr>
          <w:rFonts w:ascii="Arial" w:hAnsi="Arial" w:cs="Arial"/>
          <w:sz w:val="22"/>
          <w:szCs w:val="22"/>
        </w:rPr>
        <w:t xml:space="preserve">Weight reduction is particularly important for improving insulin sensitivity. Excess adipose tissue contributes to chronic inflammation and insulin resistance </w:t>
      </w:r>
      <w:r w:rsidR="00D47368">
        <w:rPr>
          <w:rFonts w:ascii="Arial" w:hAnsi="Arial" w:cs="Arial"/>
          <w:sz w:val="22"/>
          <w:szCs w:val="22"/>
        </w:rPr>
        <w:t>by releasing</w:t>
      </w:r>
      <w:r w:rsidRPr="00220601">
        <w:rPr>
          <w:rFonts w:ascii="Arial" w:hAnsi="Arial" w:cs="Arial"/>
          <w:sz w:val="22"/>
          <w:szCs w:val="22"/>
        </w:rPr>
        <w:t xml:space="preserve"> adipokines and free fatty acids (Hall, 2021). Evidence suggests that even modest weight loss of 5–10% significantly improves HbA1c levels and reduces cardiovascular risk (NICE, 2023). In some cases, substantial weight loss may even induce remission of Type 2 diabetes.</w:t>
      </w:r>
    </w:p>
    <w:p w14:paraId="1870D426" w14:textId="77777777" w:rsidR="00D60EA4" w:rsidRPr="00D60EA4" w:rsidRDefault="00D60EA4" w:rsidP="00D60EA4">
      <w:pPr>
        <w:spacing w:line="360" w:lineRule="auto"/>
        <w:jc w:val="both"/>
        <w:rPr>
          <w:rFonts w:ascii="Arial" w:hAnsi="Arial" w:cs="Arial"/>
          <w:b/>
          <w:bCs/>
          <w:sz w:val="22"/>
          <w:szCs w:val="22"/>
        </w:rPr>
      </w:pPr>
      <w:r w:rsidRPr="00D60EA4">
        <w:rPr>
          <w:rFonts w:ascii="Arial" w:hAnsi="Arial" w:cs="Arial"/>
          <w:b/>
          <w:bCs/>
          <w:sz w:val="22"/>
          <w:szCs w:val="22"/>
        </w:rPr>
        <w:t>Physical Activity</w:t>
      </w:r>
    </w:p>
    <w:p w14:paraId="3B87659C" w14:textId="1523409B" w:rsidR="00D60EA4" w:rsidRPr="00D60EA4" w:rsidRDefault="00D60EA4" w:rsidP="00D60EA4">
      <w:pPr>
        <w:spacing w:line="360" w:lineRule="auto"/>
        <w:jc w:val="both"/>
        <w:rPr>
          <w:rFonts w:ascii="Arial" w:hAnsi="Arial" w:cs="Arial"/>
          <w:sz w:val="22"/>
          <w:szCs w:val="22"/>
        </w:rPr>
      </w:pPr>
      <w:r w:rsidRPr="00D60EA4">
        <w:rPr>
          <w:rFonts w:ascii="Arial" w:hAnsi="Arial" w:cs="Arial"/>
          <w:sz w:val="22"/>
          <w:szCs w:val="22"/>
        </w:rPr>
        <w:t xml:space="preserve">Regular physical activity enhances glucose uptake independently of insulin. During exercise, muscle contractions stimulate </w:t>
      </w:r>
      <w:r>
        <w:rPr>
          <w:rFonts w:ascii="Arial" w:hAnsi="Arial" w:cs="Arial"/>
          <w:sz w:val="22"/>
          <w:szCs w:val="22"/>
        </w:rPr>
        <w:t>the translocation of GLUT4 transporters</w:t>
      </w:r>
      <w:r w:rsidRPr="00D60EA4">
        <w:rPr>
          <w:rFonts w:ascii="Arial" w:hAnsi="Arial" w:cs="Arial"/>
          <w:sz w:val="22"/>
          <w:szCs w:val="22"/>
        </w:rPr>
        <w:t xml:space="preserve"> to the cell membrane, increasing glucose entry into skeletal muscle cells (Hall, 2021). This mechanism improves glycaemic control even in the presence of insulin resistance.</w:t>
      </w:r>
    </w:p>
    <w:p w14:paraId="5451E72A" w14:textId="77777777" w:rsidR="00D60EA4" w:rsidRDefault="00D60EA4" w:rsidP="00D60EA4">
      <w:pPr>
        <w:spacing w:line="360" w:lineRule="auto"/>
        <w:jc w:val="both"/>
        <w:rPr>
          <w:rFonts w:ascii="Arial" w:hAnsi="Arial" w:cs="Arial"/>
          <w:sz w:val="22"/>
          <w:szCs w:val="22"/>
        </w:rPr>
      </w:pPr>
      <w:r w:rsidRPr="00D60EA4">
        <w:rPr>
          <w:rFonts w:ascii="Arial" w:hAnsi="Arial" w:cs="Arial"/>
          <w:sz w:val="22"/>
          <w:szCs w:val="22"/>
        </w:rPr>
        <w:t xml:space="preserve">Exercise also increases insulin receptor sensitivity and promotes glycogen storage in muscle tissue. Over time, increased muscle mass improves basal metabolic rate and glucose </w:t>
      </w:r>
      <w:r w:rsidRPr="00D60EA4">
        <w:rPr>
          <w:rFonts w:ascii="Arial" w:hAnsi="Arial" w:cs="Arial"/>
          <w:sz w:val="22"/>
          <w:szCs w:val="22"/>
        </w:rPr>
        <w:lastRenderedPageBreak/>
        <w:t>utilisation efficiency. The NHS (2023) recommends at least 150 minutes of moderate-intensity aerobic activity per week, alongside resistance training to strengthen major muscle groups. Structured exercise programmes have been shown to lower HbA1c levels and improve cardiovascular health.</w:t>
      </w:r>
    </w:p>
    <w:p w14:paraId="5C184C3D" w14:textId="77777777" w:rsidR="008533E6" w:rsidRPr="008533E6" w:rsidRDefault="008533E6" w:rsidP="008533E6">
      <w:pPr>
        <w:spacing w:line="360" w:lineRule="auto"/>
        <w:jc w:val="both"/>
        <w:rPr>
          <w:rFonts w:ascii="Arial" w:hAnsi="Arial" w:cs="Arial"/>
          <w:b/>
          <w:bCs/>
          <w:sz w:val="22"/>
          <w:szCs w:val="22"/>
        </w:rPr>
      </w:pPr>
      <w:r w:rsidRPr="008533E6">
        <w:rPr>
          <w:rFonts w:ascii="Arial" w:hAnsi="Arial" w:cs="Arial"/>
          <w:b/>
          <w:bCs/>
          <w:sz w:val="22"/>
          <w:szCs w:val="22"/>
        </w:rPr>
        <w:t>Smoking Cessation</w:t>
      </w:r>
    </w:p>
    <w:p w14:paraId="2B31B952" w14:textId="66268D47" w:rsidR="008533E6" w:rsidRPr="008533E6" w:rsidRDefault="008533E6" w:rsidP="008533E6">
      <w:pPr>
        <w:spacing w:line="360" w:lineRule="auto"/>
        <w:jc w:val="both"/>
        <w:rPr>
          <w:rFonts w:ascii="Arial" w:hAnsi="Arial" w:cs="Arial"/>
          <w:sz w:val="22"/>
          <w:szCs w:val="22"/>
        </w:rPr>
      </w:pPr>
      <w:r w:rsidRPr="008533E6">
        <w:rPr>
          <w:rFonts w:ascii="Arial" w:hAnsi="Arial" w:cs="Arial"/>
          <w:sz w:val="22"/>
          <w:szCs w:val="22"/>
        </w:rPr>
        <w:t xml:space="preserve">Smoking significantly increases cardiovascular risk in individuals with diabetes. Nicotine promotes vasoconstriction and endothelial dysfunction, compounding the vascular damage caused by chronic hyperglycaemia (WHO, 2023). Smoking accelerates atherosclerosis and increases </w:t>
      </w:r>
      <w:r w:rsidR="00DE4F43">
        <w:rPr>
          <w:rFonts w:ascii="Arial" w:hAnsi="Arial" w:cs="Arial"/>
          <w:sz w:val="22"/>
          <w:szCs w:val="22"/>
        </w:rPr>
        <w:t xml:space="preserve">the </w:t>
      </w:r>
      <w:r w:rsidRPr="008533E6">
        <w:rPr>
          <w:rFonts w:ascii="Arial" w:hAnsi="Arial" w:cs="Arial"/>
          <w:sz w:val="22"/>
          <w:szCs w:val="22"/>
        </w:rPr>
        <w:t xml:space="preserve">risk of myocardial infarction and stroke. It also impairs peripheral circulation, increasing </w:t>
      </w:r>
      <w:r w:rsidR="00DE4F43">
        <w:rPr>
          <w:rFonts w:ascii="Arial" w:hAnsi="Arial" w:cs="Arial"/>
          <w:sz w:val="22"/>
          <w:szCs w:val="22"/>
        </w:rPr>
        <w:t xml:space="preserve">the </w:t>
      </w:r>
      <w:r w:rsidRPr="008533E6">
        <w:rPr>
          <w:rFonts w:ascii="Arial" w:hAnsi="Arial" w:cs="Arial"/>
          <w:sz w:val="22"/>
          <w:szCs w:val="22"/>
        </w:rPr>
        <w:t>risk of neuropathy and diabetic foot complications.</w:t>
      </w:r>
    </w:p>
    <w:p w14:paraId="2D9F4D9D" w14:textId="77777777" w:rsidR="008533E6" w:rsidRPr="008533E6" w:rsidRDefault="008533E6" w:rsidP="008533E6">
      <w:pPr>
        <w:spacing w:line="360" w:lineRule="auto"/>
        <w:jc w:val="both"/>
        <w:rPr>
          <w:rFonts w:ascii="Arial" w:hAnsi="Arial" w:cs="Arial"/>
          <w:sz w:val="22"/>
          <w:szCs w:val="22"/>
        </w:rPr>
      </w:pPr>
      <w:r w:rsidRPr="008533E6">
        <w:rPr>
          <w:rFonts w:ascii="Arial" w:hAnsi="Arial" w:cs="Arial"/>
          <w:sz w:val="22"/>
          <w:szCs w:val="22"/>
        </w:rPr>
        <w:t>Providing structured smoking cessation support within primary care is therefore essential. Combining behavioural counselling with pharmacological support, such as nicotine replacement therapy, significantly improves cessation success rates. Reducing smoking prevalence among individuals with diabetes has a direct impact on reducing morbidity and mortality.</w:t>
      </w:r>
    </w:p>
    <w:p w14:paraId="53715D2C" w14:textId="77777777" w:rsidR="008533E6" w:rsidRPr="008533E6" w:rsidRDefault="008533E6" w:rsidP="008533E6">
      <w:pPr>
        <w:spacing w:line="360" w:lineRule="auto"/>
        <w:jc w:val="both"/>
        <w:rPr>
          <w:rFonts w:ascii="Arial" w:hAnsi="Arial" w:cs="Arial"/>
          <w:b/>
          <w:bCs/>
          <w:sz w:val="22"/>
          <w:szCs w:val="22"/>
        </w:rPr>
      </w:pPr>
      <w:r w:rsidRPr="008533E6">
        <w:rPr>
          <w:rFonts w:ascii="Arial" w:hAnsi="Arial" w:cs="Arial"/>
          <w:b/>
          <w:bCs/>
          <w:sz w:val="22"/>
          <w:szCs w:val="22"/>
        </w:rPr>
        <w:t>Integrated Lifestyle Approach</w:t>
      </w:r>
    </w:p>
    <w:p w14:paraId="3F10325B" w14:textId="1DDD5018" w:rsidR="008533E6" w:rsidRPr="008533E6" w:rsidRDefault="008533E6" w:rsidP="008533E6">
      <w:pPr>
        <w:spacing w:line="360" w:lineRule="auto"/>
        <w:jc w:val="both"/>
        <w:rPr>
          <w:rFonts w:ascii="Arial" w:hAnsi="Arial" w:cs="Arial"/>
          <w:sz w:val="22"/>
          <w:szCs w:val="22"/>
        </w:rPr>
      </w:pPr>
      <w:r w:rsidRPr="008533E6">
        <w:rPr>
          <w:rFonts w:ascii="Arial" w:hAnsi="Arial" w:cs="Arial"/>
          <w:sz w:val="22"/>
          <w:szCs w:val="22"/>
        </w:rPr>
        <w:t xml:space="preserve">Importantly, these lifestyle interventions are interconnected. </w:t>
      </w:r>
      <w:r w:rsidR="00DE4F43">
        <w:rPr>
          <w:rFonts w:ascii="Arial" w:hAnsi="Arial" w:cs="Arial"/>
          <w:sz w:val="22"/>
          <w:szCs w:val="22"/>
        </w:rPr>
        <w:t>An improved diet supports weight reduction, thereby enhancing</w:t>
      </w:r>
      <w:r w:rsidRPr="008533E6">
        <w:rPr>
          <w:rFonts w:ascii="Arial" w:hAnsi="Arial" w:cs="Arial"/>
          <w:sz w:val="22"/>
          <w:szCs w:val="22"/>
        </w:rPr>
        <w:t xml:space="preserve"> insulin sensitivity. Increased physical activity improves both glycaemic control and cardiovascular fitness. Smoking cessation reduces vascular stress. Together, these strategies address the root pathophysiological mechanisms underlying Type 2 diabetes rather than merely controlling symptoms.</w:t>
      </w:r>
    </w:p>
    <w:p w14:paraId="6B68B0F0" w14:textId="77777777" w:rsidR="008533E6" w:rsidRPr="008533E6" w:rsidRDefault="008533E6" w:rsidP="008533E6">
      <w:pPr>
        <w:spacing w:line="360" w:lineRule="auto"/>
        <w:jc w:val="both"/>
        <w:rPr>
          <w:rFonts w:ascii="Arial" w:hAnsi="Arial" w:cs="Arial"/>
          <w:sz w:val="22"/>
          <w:szCs w:val="22"/>
        </w:rPr>
      </w:pPr>
      <w:r w:rsidRPr="008533E6">
        <w:rPr>
          <w:rFonts w:ascii="Arial" w:hAnsi="Arial" w:cs="Arial"/>
          <w:sz w:val="22"/>
          <w:szCs w:val="22"/>
        </w:rPr>
        <w:t>Education delivered by practice nurses plays a critical role in supporting sustainable behaviour change. Motivational interviewing, goal-setting and regular review appointments can strengthen adherence and empower patients to take ownership of their health. Therefore, lifestyle modification is not simply advice but an ongoing collaborative process within primary care.</w:t>
      </w:r>
    </w:p>
    <w:p w14:paraId="2AACD2CF" w14:textId="77777777" w:rsidR="008533E6" w:rsidRPr="00F673F4" w:rsidRDefault="008533E6" w:rsidP="008533E6">
      <w:pPr>
        <w:spacing w:line="360" w:lineRule="auto"/>
        <w:jc w:val="both"/>
        <w:rPr>
          <w:rFonts w:ascii="Arial" w:hAnsi="Arial" w:cs="Arial"/>
          <w:b/>
          <w:bCs/>
          <w:sz w:val="28"/>
          <w:szCs w:val="28"/>
        </w:rPr>
      </w:pPr>
      <w:r w:rsidRPr="00F673F4">
        <w:rPr>
          <w:rFonts w:ascii="Arial" w:hAnsi="Arial" w:cs="Arial"/>
          <w:b/>
          <w:bCs/>
          <w:sz w:val="28"/>
          <w:szCs w:val="28"/>
        </w:rPr>
        <w:t>Conclusion</w:t>
      </w:r>
    </w:p>
    <w:p w14:paraId="43202943" w14:textId="77777777" w:rsidR="008533E6" w:rsidRPr="008533E6" w:rsidRDefault="008533E6" w:rsidP="008533E6">
      <w:pPr>
        <w:spacing w:line="360" w:lineRule="auto"/>
        <w:jc w:val="both"/>
        <w:rPr>
          <w:rFonts w:ascii="Arial" w:hAnsi="Arial" w:cs="Arial"/>
          <w:sz w:val="22"/>
          <w:szCs w:val="22"/>
        </w:rPr>
      </w:pPr>
      <w:r w:rsidRPr="008533E6">
        <w:rPr>
          <w:rFonts w:ascii="Arial" w:hAnsi="Arial" w:cs="Arial"/>
          <w:sz w:val="22"/>
          <w:szCs w:val="22"/>
        </w:rPr>
        <w:t>Type 2 diabetes mellitus is a complex metabolic disorder characterised by insulin resistance, impaired glucose homeostasis and persistent hyperglycaemia. Normal regulation of blood glucose depends on coordinated endocrine mechanisms involving insulin and glucagon. When these mechanisms fail, chronic hyperglycaemia leads to oxidative stress, vascular damage and progressive organ dysfunction.</w:t>
      </w:r>
    </w:p>
    <w:p w14:paraId="43DBD5EB" w14:textId="77777777" w:rsidR="008533E6" w:rsidRPr="008533E6" w:rsidRDefault="008533E6" w:rsidP="008533E6">
      <w:pPr>
        <w:spacing w:line="360" w:lineRule="auto"/>
        <w:jc w:val="both"/>
        <w:rPr>
          <w:rFonts w:ascii="Arial" w:hAnsi="Arial" w:cs="Arial"/>
          <w:sz w:val="22"/>
          <w:szCs w:val="22"/>
        </w:rPr>
      </w:pPr>
      <w:r w:rsidRPr="008533E6">
        <w:rPr>
          <w:rFonts w:ascii="Arial" w:hAnsi="Arial" w:cs="Arial"/>
          <w:sz w:val="22"/>
          <w:szCs w:val="22"/>
        </w:rPr>
        <w:lastRenderedPageBreak/>
        <w:t>Understanding the relationship between glucose metabolism, oxygen-dependent ATP production and long-term complications highlights the importance of maintaining stable glycaemic control. Routine monitoring through SMBG and HbA1c testing transforms physiological measurements into actionable clinical decisions, demonstrating how health data supports personalised and preventative care.</w:t>
      </w:r>
    </w:p>
    <w:p w14:paraId="63AA6565" w14:textId="77777777" w:rsidR="008533E6" w:rsidRPr="008533E6" w:rsidRDefault="008533E6" w:rsidP="008533E6">
      <w:pPr>
        <w:spacing w:line="360" w:lineRule="auto"/>
        <w:jc w:val="both"/>
        <w:rPr>
          <w:rFonts w:ascii="Arial" w:hAnsi="Arial" w:cs="Arial"/>
          <w:sz w:val="22"/>
          <w:szCs w:val="22"/>
        </w:rPr>
      </w:pPr>
      <w:r w:rsidRPr="008533E6">
        <w:rPr>
          <w:rFonts w:ascii="Arial" w:hAnsi="Arial" w:cs="Arial"/>
          <w:sz w:val="22"/>
          <w:szCs w:val="22"/>
        </w:rPr>
        <w:t>Evidence-based lifestyle interventions, including dietary modification, increased physical activity and smoking cessation, directly improve insulin sensitivity and reduce cardiovascular risk. As a practice nurse, providing structured education, regular monitoring and behavioural support enables patients to engage effectively with their care plans. Through improved understanding and consistent self-management, individuals with Type 2 diabetes can achieve better glycaemic control, reduce complications and improve overall quality of life.</w:t>
      </w:r>
    </w:p>
    <w:p w14:paraId="19B19D3B" w14:textId="455DBDCF" w:rsidR="00220601" w:rsidRPr="00A35A68" w:rsidRDefault="00F673F4" w:rsidP="000D0EEC">
      <w:pPr>
        <w:spacing w:line="360" w:lineRule="auto"/>
        <w:jc w:val="both"/>
        <w:rPr>
          <w:rFonts w:ascii="Arial" w:hAnsi="Arial" w:cs="Arial"/>
          <w:b/>
          <w:bCs/>
          <w:sz w:val="28"/>
          <w:szCs w:val="28"/>
        </w:rPr>
      </w:pPr>
      <w:r w:rsidRPr="00A35A68">
        <w:rPr>
          <w:rFonts w:ascii="Arial" w:hAnsi="Arial" w:cs="Arial"/>
          <w:b/>
          <w:bCs/>
          <w:sz w:val="28"/>
          <w:szCs w:val="28"/>
        </w:rPr>
        <w:t xml:space="preserve">References </w:t>
      </w:r>
    </w:p>
    <w:p w14:paraId="7A7B1344"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Chait, A. and den </w:t>
      </w:r>
      <w:proofErr w:type="spellStart"/>
      <w:r w:rsidRPr="00F673F4">
        <w:rPr>
          <w:rFonts w:ascii="Arial" w:hAnsi="Arial" w:cs="Arial"/>
          <w:sz w:val="22"/>
          <w:szCs w:val="22"/>
        </w:rPr>
        <w:t>Hartigh</w:t>
      </w:r>
      <w:proofErr w:type="spellEnd"/>
      <w:r w:rsidRPr="00F673F4">
        <w:rPr>
          <w:rFonts w:ascii="Arial" w:hAnsi="Arial" w:cs="Arial"/>
          <w:sz w:val="22"/>
          <w:szCs w:val="22"/>
        </w:rPr>
        <w:t>, L.J. (2020). Adipose Tissue Distribution, Inflammation and Its Metabolic Consequences, Including Diabetes and Cardiovascular Disease. </w:t>
      </w:r>
      <w:r w:rsidRPr="00F673F4">
        <w:rPr>
          <w:rFonts w:ascii="Arial" w:hAnsi="Arial" w:cs="Arial"/>
          <w:i/>
          <w:iCs/>
          <w:sz w:val="22"/>
          <w:szCs w:val="22"/>
        </w:rPr>
        <w:t>Frontiers in Cardiovascular Medicine</w:t>
      </w:r>
      <w:r w:rsidRPr="00F673F4">
        <w:rPr>
          <w:rFonts w:ascii="Arial" w:hAnsi="Arial" w:cs="Arial"/>
          <w:sz w:val="22"/>
          <w:szCs w:val="22"/>
        </w:rPr>
        <w:t xml:space="preserve">, 7(22). </w:t>
      </w:r>
      <w:proofErr w:type="spellStart"/>
      <w:r w:rsidRPr="00F673F4">
        <w:rPr>
          <w:rFonts w:ascii="Arial" w:hAnsi="Arial" w:cs="Arial"/>
          <w:sz w:val="22"/>
          <w:szCs w:val="22"/>
        </w:rPr>
        <w:t>doi</w:t>
      </w:r>
      <w:proofErr w:type="spellEnd"/>
      <w:r w:rsidRPr="00F673F4">
        <w:rPr>
          <w:rFonts w:ascii="Arial" w:hAnsi="Arial" w:cs="Arial"/>
          <w:sz w:val="22"/>
          <w:szCs w:val="22"/>
        </w:rPr>
        <w:t xml:space="preserve">: </w:t>
      </w:r>
      <w:hyperlink r:id="rId6" w:history="1">
        <w:r w:rsidRPr="00F673F4">
          <w:rPr>
            <w:rStyle w:val="Hyperlink"/>
            <w:rFonts w:ascii="Arial" w:hAnsi="Arial" w:cs="Arial"/>
            <w:sz w:val="22"/>
            <w:szCs w:val="22"/>
          </w:rPr>
          <w:t>https://doi.org/10.3389/fcvm.2020.00022</w:t>
        </w:r>
      </w:hyperlink>
      <w:r w:rsidRPr="00F673F4">
        <w:rPr>
          <w:rFonts w:ascii="Arial" w:hAnsi="Arial" w:cs="Arial"/>
          <w:sz w:val="22"/>
          <w:szCs w:val="22"/>
        </w:rPr>
        <w:t xml:space="preserve"> [Accessed 09 Feb. 2026].</w:t>
      </w:r>
    </w:p>
    <w:p w14:paraId="5E9F13EF"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Diabetes UK (2017). </w:t>
      </w:r>
      <w:r w:rsidRPr="00F673F4">
        <w:rPr>
          <w:rFonts w:ascii="Arial" w:hAnsi="Arial" w:cs="Arial"/>
          <w:i/>
          <w:iCs/>
          <w:sz w:val="22"/>
          <w:szCs w:val="22"/>
        </w:rPr>
        <w:t>What is HbA1c?</w:t>
      </w:r>
      <w:r w:rsidRPr="00F673F4">
        <w:rPr>
          <w:rFonts w:ascii="Arial" w:hAnsi="Arial" w:cs="Arial"/>
          <w:sz w:val="22"/>
          <w:szCs w:val="22"/>
        </w:rPr>
        <w:t xml:space="preserve"> [online] Diabetes UK. Available at: </w:t>
      </w:r>
      <w:hyperlink r:id="rId7" w:history="1">
        <w:r w:rsidRPr="00F673F4">
          <w:rPr>
            <w:rStyle w:val="Hyperlink"/>
            <w:rFonts w:ascii="Arial" w:hAnsi="Arial" w:cs="Arial"/>
            <w:sz w:val="22"/>
            <w:szCs w:val="22"/>
          </w:rPr>
          <w:t>https://www.diabetes.org.uk/about-diabetes/looking-after-diabetes/hba1c</w:t>
        </w:r>
      </w:hyperlink>
      <w:r w:rsidRPr="00F673F4">
        <w:rPr>
          <w:rFonts w:ascii="Arial" w:hAnsi="Arial" w:cs="Arial"/>
          <w:sz w:val="22"/>
          <w:szCs w:val="22"/>
        </w:rPr>
        <w:t xml:space="preserve"> [Accessed 20 Feb. 2026].</w:t>
      </w:r>
    </w:p>
    <w:p w14:paraId="17CC97F6"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Hall, J.E. (2021). </w:t>
      </w:r>
      <w:r w:rsidRPr="00F673F4">
        <w:rPr>
          <w:rFonts w:ascii="Arial" w:hAnsi="Arial" w:cs="Arial"/>
          <w:i/>
          <w:iCs/>
          <w:sz w:val="22"/>
          <w:szCs w:val="22"/>
        </w:rPr>
        <w:t>Guyton and Hall textbook of medical physiology</w:t>
      </w:r>
      <w:r w:rsidRPr="00F673F4">
        <w:rPr>
          <w:rFonts w:ascii="Arial" w:hAnsi="Arial" w:cs="Arial"/>
          <w:sz w:val="22"/>
          <w:szCs w:val="22"/>
        </w:rPr>
        <w:t xml:space="preserve">. 14th </w:t>
      </w:r>
      <w:proofErr w:type="spellStart"/>
      <w:r w:rsidRPr="00F673F4">
        <w:rPr>
          <w:rFonts w:ascii="Arial" w:hAnsi="Arial" w:cs="Arial"/>
          <w:sz w:val="22"/>
          <w:szCs w:val="22"/>
        </w:rPr>
        <w:t>edn</w:t>
      </w:r>
      <w:proofErr w:type="spellEnd"/>
      <w:r w:rsidRPr="00F673F4">
        <w:rPr>
          <w:rFonts w:ascii="Arial" w:hAnsi="Arial" w:cs="Arial"/>
          <w:sz w:val="22"/>
          <w:szCs w:val="22"/>
        </w:rPr>
        <w:t>. Elsevier.</w:t>
      </w:r>
    </w:p>
    <w:p w14:paraId="1EEE6D92"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Hu, F.B. (2010). Are refined carbohydrates worse than saturated fat? </w:t>
      </w:r>
      <w:r w:rsidRPr="00F673F4">
        <w:rPr>
          <w:rFonts w:ascii="Arial" w:hAnsi="Arial" w:cs="Arial"/>
          <w:i/>
          <w:iCs/>
          <w:sz w:val="22"/>
          <w:szCs w:val="22"/>
        </w:rPr>
        <w:t>The American journal of clinical nutrition</w:t>
      </w:r>
      <w:r w:rsidRPr="00F673F4">
        <w:rPr>
          <w:rFonts w:ascii="Arial" w:hAnsi="Arial" w:cs="Arial"/>
          <w:sz w:val="22"/>
          <w:szCs w:val="22"/>
        </w:rPr>
        <w:t xml:space="preserve">, [online] 91(6), pp.1541–2. </w:t>
      </w:r>
      <w:proofErr w:type="spellStart"/>
      <w:r w:rsidRPr="00F673F4">
        <w:rPr>
          <w:rFonts w:ascii="Arial" w:hAnsi="Arial" w:cs="Arial"/>
          <w:sz w:val="22"/>
          <w:szCs w:val="22"/>
        </w:rPr>
        <w:t>doi</w:t>
      </w:r>
      <w:proofErr w:type="spellEnd"/>
      <w:r w:rsidRPr="00F673F4">
        <w:rPr>
          <w:rFonts w:ascii="Arial" w:hAnsi="Arial" w:cs="Arial"/>
          <w:sz w:val="22"/>
          <w:szCs w:val="22"/>
        </w:rPr>
        <w:t xml:space="preserve">: </w:t>
      </w:r>
      <w:hyperlink r:id="rId8" w:history="1">
        <w:r w:rsidRPr="00F673F4">
          <w:rPr>
            <w:rStyle w:val="Hyperlink"/>
            <w:rFonts w:ascii="Arial" w:hAnsi="Arial" w:cs="Arial"/>
            <w:sz w:val="22"/>
            <w:szCs w:val="22"/>
          </w:rPr>
          <w:t>https://doi.org/10.3945/ajcn.2010.29622</w:t>
        </w:r>
      </w:hyperlink>
      <w:r w:rsidRPr="00F673F4">
        <w:rPr>
          <w:rFonts w:ascii="Arial" w:hAnsi="Arial" w:cs="Arial"/>
          <w:sz w:val="22"/>
          <w:szCs w:val="22"/>
        </w:rPr>
        <w:t xml:space="preserve"> [Accessed 18 Feb. 2026].</w:t>
      </w:r>
    </w:p>
    <w:p w14:paraId="3BEE2C2B"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Katsarou, A., </w:t>
      </w:r>
      <w:proofErr w:type="spellStart"/>
      <w:r w:rsidRPr="00F673F4">
        <w:rPr>
          <w:rFonts w:ascii="Arial" w:hAnsi="Arial" w:cs="Arial"/>
          <w:sz w:val="22"/>
          <w:szCs w:val="22"/>
        </w:rPr>
        <w:t>Gudbjörnsdottir</w:t>
      </w:r>
      <w:proofErr w:type="spellEnd"/>
      <w:r w:rsidRPr="00F673F4">
        <w:rPr>
          <w:rFonts w:ascii="Arial" w:hAnsi="Arial" w:cs="Arial"/>
          <w:sz w:val="22"/>
          <w:szCs w:val="22"/>
        </w:rPr>
        <w:t xml:space="preserve">, S., </w:t>
      </w:r>
      <w:proofErr w:type="spellStart"/>
      <w:r w:rsidRPr="00F673F4">
        <w:rPr>
          <w:rFonts w:ascii="Arial" w:hAnsi="Arial" w:cs="Arial"/>
          <w:sz w:val="22"/>
          <w:szCs w:val="22"/>
        </w:rPr>
        <w:t>Rawshani</w:t>
      </w:r>
      <w:proofErr w:type="spellEnd"/>
      <w:r w:rsidRPr="00F673F4">
        <w:rPr>
          <w:rFonts w:ascii="Arial" w:hAnsi="Arial" w:cs="Arial"/>
          <w:sz w:val="22"/>
          <w:szCs w:val="22"/>
        </w:rPr>
        <w:t xml:space="preserve">, A., </w:t>
      </w:r>
      <w:proofErr w:type="spellStart"/>
      <w:r w:rsidRPr="00F673F4">
        <w:rPr>
          <w:rFonts w:ascii="Arial" w:hAnsi="Arial" w:cs="Arial"/>
          <w:sz w:val="22"/>
          <w:szCs w:val="22"/>
        </w:rPr>
        <w:t>Dabelea</w:t>
      </w:r>
      <w:proofErr w:type="spellEnd"/>
      <w:r w:rsidRPr="00F673F4">
        <w:rPr>
          <w:rFonts w:ascii="Arial" w:hAnsi="Arial" w:cs="Arial"/>
          <w:sz w:val="22"/>
          <w:szCs w:val="22"/>
        </w:rPr>
        <w:t xml:space="preserve">, D., Bonifacio, E., Anderson, B.J., Jacobsen, L.M., Schatz, D.A. and </w:t>
      </w:r>
      <w:proofErr w:type="spellStart"/>
      <w:r w:rsidRPr="00F673F4">
        <w:rPr>
          <w:rFonts w:ascii="Arial" w:hAnsi="Arial" w:cs="Arial"/>
          <w:sz w:val="22"/>
          <w:szCs w:val="22"/>
        </w:rPr>
        <w:t>Lernmark</w:t>
      </w:r>
      <w:proofErr w:type="spellEnd"/>
      <w:r w:rsidRPr="00F673F4">
        <w:rPr>
          <w:rFonts w:ascii="Arial" w:hAnsi="Arial" w:cs="Arial"/>
          <w:sz w:val="22"/>
          <w:szCs w:val="22"/>
        </w:rPr>
        <w:t xml:space="preserve">, Å. (2017). Type 1 Diabetes Mellitus. </w:t>
      </w:r>
      <w:r w:rsidRPr="00F673F4">
        <w:rPr>
          <w:rFonts w:ascii="Arial" w:hAnsi="Arial" w:cs="Arial"/>
          <w:i/>
          <w:iCs/>
          <w:sz w:val="22"/>
          <w:szCs w:val="22"/>
        </w:rPr>
        <w:t>Nature Reviews Disease Primers</w:t>
      </w:r>
      <w:r w:rsidRPr="00F673F4">
        <w:rPr>
          <w:rFonts w:ascii="Arial" w:hAnsi="Arial" w:cs="Arial"/>
          <w:sz w:val="22"/>
          <w:szCs w:val="22"/>
        </w:rPr>
        <w:t xml:space="preserve">, [online] 3(3), p.17016. </w:t>
      </w:r>
      <w:proofErr w:type="spellStart"/>
      <w:r w:rsidRPr="00F673F4">
        <w:rPr>
          <w:rFonts w:ascii="Arial" w:hAnsi="Arial" w:cs="Arial"/>
          <w:sz w:val="22"/>
          <w:szCs w:val="22"/>
        </w:rPr>
        <w:t>doi</w:t>
      </w:r>
      <w:proofErr w:type="spellEnd"/>
      <w:r w:rsidRPr="00F673F4">
        <w:rPr>
          <w:rFonts w:ascii="Arial" w:hAnsi="Arial" w:cs="Arial"/>
          <w:sz w:val="22"/>
          <w:szCs w:val="22"/>
        </w:rPr>
        <w:t xml:space="preserve">: </w:t>
      </w:r>
      <w:hyperlink r:id="rId9" w:history="1">
        <w:r w:rsidRPr="00F673F4">
          <w:rPr>
            <w:rStyle w:val="Hyperlink"/>
            <w:rFonts w:ascii="Arial" w:hAnsi="Arial" w:cs="Arial"/>
            <w:sz w:val="22"/>
            <w:szCs w:val="22"/>
          </w:rPr>
          <w:t>https://doi.org/10.1038/nrdp.2017.16</w:t>
        </w:r>
      </w:hyperlink>
      <w:r w:rsidRPr="00F673F4">
        <w:rPr>
          <w:rFonts w:ascii="Arial" w:hAnsi="Arial" w:cs="Arial"/>
          <w:sz w:val="22"/>
          <w:szCs w:val="22"/>
        </w:rPr>
        <w:t xml:space="preserve"> [Accessed 14 Feb. 2026].</w:t>
      </w:r>
    </w:p>
    <w:p w14:paraId="3B2134F4"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Ma, X., Liu, R., Xi, X., Zhuo, H. and Gu, Y. (2025b). Global burden of chronic kidney disease due to diabetes mellitus, 1990-2021, and projections to 2050. </w:t>
      </w:r>
      <w:r w:rsidRPr="00F673F4">
        <w:rPr>
          <w:rFonts w:ascii="Arial" w:hAnsi="Arial" w:cs="Arial"/>
          <w:i/>
          <w:iCs/>
          <w:sz w:val="22"/>
          <w:szCs w:val="22"/>
        </w:rPr>
        <w:t>Frontiers in Endocrinology</w:t>
      </w:r>
      <w:r w:rsidRPr="00F673F4">
        <w:rPr>
          <w:rFonts w:ascii="Arial" w:hAnsi="Arial" w:cs="Arial"/>
          <w:sz w:val="22"/>
          <w:szCs w:val="22"/>
        </w:rPr>
        <w:t xml:space="preserve">, 16(1513008). </w:t>
      </w:r>
      <w:proofErr w:type="spellStart"/>
      <w:r w:rsidRPr="00F673F4">
        <w:rPr>
          <w:rFonts w:ascii="Arial" w:hAnsi="Arial" w:cs="Arial"/>
          <w:sz w:val="22"/>
          <w:szCs w:val="22"/>
        </w:rPr>
        <w:t>doi</w:t>
      </w:r>
      <w:proofErr w:type="spellEnd"/>
      <w:r w:rsidRPr="00F673F4">
        <w:rPr>
          <w:rFonts w:ascii="Arial" w:hAnsi="Arial" w:cs="Arial"/>
          <w:sz w:val="22"/>
          <w:szCs w:val="22"/>
        </w:rPr>
        <w:t xml:space="preserve">: </w:t>
      </w:r>
      <w:hyperlink r:id="rId10" w:history="1">
        <w:r w:rsidRPr="00F673F4">
          <w:rPr>
            <w:rStyle w:val="Hyperlink"/>
            <w:rFonts w:ascii="Arial" w:hAnsi="Arial" w:cs="Arial"/>
            <w:sz w:val="22"/>
            <w:szCs w:val="22"/>
          </w:rPr>
          <w:t>https://doi.org/10.3389/fendo.2025.1513008</w:t>
        </w:r>
      </w:hyperlink>
      <w:r w:rsidRPr="00F673F4">
        <w:rPr>
          <w:rFonts w:ascii="Arial" w:hAnsi="Arial" w:cs="Arial"/>
          <w:sz w:val="22"/>
          <w:szCs w:val="22"/>
        </w:rPr>
        <w:t xml:space="preserve">  [Accessed 13 Feb. 2026].</w:t>
      </w:r>
    </w:p>
    <w:p w14:paraId="03F94B7D"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Merz, K.E. and Thurmond, D.C. (2020). Role of Skeletal Muscle in Insulin Resistance and Glucose Uptake. </w:t>
      </w:r>
      <w:r w:rsidRPr="00F673F4">
        <w:rPr>
          <w:rFonts w:ascii="Arial" w:hAnsi="Arial" w:cs="Arial"/>
          <w:i/>
          <w:iCs/>
          <w:sz w:val="22"/>
          <w:szCs w:val="22"/>
        </w:rPr>
        <w:t>Comprehensive Physiology</w:t>
      </w:r>
      <w:r w:rsidRPr="00F673F4">
        <w:rPr>
          <w:rFonts w:ascii="Arial" w:hAnsi="Arial" w:cs="Arial"/>
          <w:sz w:val="22"/>
          <w:szCs w:val="22"/>
        </w:rPr>
        <w:t xml:space="preserve">, [online] 10(3), pp.785–809. </w:t>
      </w:r>
      <w:proofErr w:type="spellStart"/>
      <w:r w:rsidRPr="00F673F4">
        <w:rPr>
          <w:rFonts w:ascii="Arial" w:hAnsi="Arial" w:cs="Arial"/>
          <w:sz w:val="22"/>
          <w:szCs w:val="22"/>
        </w:rPr>
        <w:t>doi</w:t>
      </w:r>
      <w:proofErr w:type="spellEnd"/>
      <w:r w:rsidRPr="00F673F4">
        <w:rPr>
          <w:rFonts w:ascii="Arial" w:hAnsi="Arial" w:cs="Arial"/>
          <w:sz w:val="22"/>
          <w:szCs w:val="22"/>
        </w:rPr>
        <w:t xml:space="preserve">: </w:t>
      </w:r>
      <w:hyperlink r:id="rId11" w:history="1">
        <w:r w:rsidRPr="00F673F4">
          <w:rPr>
            <w:rStyle w:val="Hyperlink"/>
            <w:rFonts w:ascii="Arial" w:hAnsi="Arial" w:cs="Arial"/>
            <w:sz w:val="22"/>
            <w:szCs w:val="22"/>
          </w:rPr>
          <w:t>https://doi.org/10.1002/cphy.c190029</w:t>
        </w:r>
      </w:hyperlink>
      <w:r w:rsidRPr="00F673F4">
        <w:rPr>
          <w:rFonts w:ascii="Arial" w:hAnsi="Arial" w:cs="Arial"/>
          <w:sz w:val="22"/>
          <w:szCs w:val="22"/>
        </w:rPr>
        <w:t xml:space="preserve"> [Accessed 18 Feb. 2026].</w:t>
      </w:r>
    </w:p>
    <w:p w14:paraId="0DD19B88"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lastRenderedPageBreak/>
        <w:t xml:space="preserve">NHS (2025). </w:t>
      </w:r>
      <w:r w:rsidRPr="00F673F4">
        <w:rPr>
          <w:rFonts w:ascii="Arial" w:hAnsi="Arial" w:cs="Arial"/>
          <w:i/>
          <w:iCs/>
          <w:sz w:val="22"/>
          <w:szCs w:val="22"/>
        </w:rPr>
        <w:t>Symptoms - type 2 diabetes</w:t>
      </w:r>
      <w:r w:rsidRPr="00F673F4">
        <w:rPr>
          <w:rFonts w:ascii="Arial" w:hAnsi="Arial" w:cs="Arial"/>
          <w:sz w:val="22"/>
          <w:szCs w:val="22"/>
        </w:rPr>
        <w:t xml:space="preserve">. [online] NHS. Available at: </w:t>
      </w:r>
      <w:hyperlink r:id="rId12" w:history="1">
        <w:r w:rsidRPr="00F673F4">
          <w:rPr>
            <w:rStyle w:val="Hyperlink"/>
            <w:rFonts w:ascii="Arial" w:hAnsi="Arial" w:cs="Arial"/>
            <w:sz w:val="22"/>
            <w:szCs w:val="22"/>
          </w:rPr>
          <w:t>https://www.nhs.uk/conditions/type-2-diabetes/symptoms/</w:t>
        </w:r>
      </w:hyperlink>
      <w:r w:rsidRPr="00F673F4">
        <w:rPr>
          <w:rFonts w:ascii="Arial" w:hAnsi="Arial" w:cs="Arial"/>
          <w:sz w:val="22"/>
          <w:szCs w:val="22"/>
        </w:rPr>
        <w:t xml:space="preserve"> [Accessed 13 Feb. 2026].</w:t>
      </w:r>
    </w:p>
    <w:p w14:paraId="3D486ED2"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NICE (2023). </w:t>
      </w:r>
      <w:r w:rsidRPr="00F673F4">
        <w:rPr>
          <w:rFonts w:ascii="Arial" w:hAnsi="Arial" w:cs="Arial"/>
          <w:i/>
          <w:iCs/>
          <w:sz w:val="22"/>
          <w:szCs w:val="22"/>
        </w:rPr>
        <w:t>Type 2 diabetes in adults</w:t>
      </w:r>
      <w:r w:rsidRPr="00F673F4">
        <w:rPr>
          <w:rFonts w:ascii="Arial" w:hAnsi="Arial" w:cs="Arial"/>
          <w:sz w:val="22"/>
          <w:szCs w:val="22"/>
        </w:rPr>
        <w:t xml:space="preserve">. [online] Available at: </w:t>
      </w:r>
      <w:hyperlink r:id="rId13" w:history="1">
        <w:r w:rsidRPr="00F673F4">
          <w:rPr>
            <w:rStyle w:val="Hyperlink"/>
            <w:rFonts w:ascii="Arial" w:hAnsi="Arial" w:cs="Arial"/>
            <w:sz w:val="22"/>
            <w:szCs w:val="22"/>
          </w:rPr>
          <w:t>https://www.nice.org.uk/guidance/qs209/resources/type-2-diabetes-in-adults-pdf-75547422824389</w:t>
        </w:r>
      </w:hyperlink>
      <w:r w:rsidRPr="00F673F4">
        <w:rPr>
          <w:rFonts w:ascii="Arial" w:hAnsi="Arial" w:cs="Arial"/>
          <w:sz w:val="22"/>
          <w:szCs w:val="22"/>
        </w:rPr>
        <w:t xml:space="preserve"> [Accessed 14 Feb. 2026].</w:t>
      </w:r>
    </w:p>
    <w:p w14:paraId="1ED053E5"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 xml:space="preserve">Tortora, G.J. and Derrickson, B. (2021). </w:t>
      </w:r>
      <w:r w:rsidRPr="00F673F4">
        <w:rPr>
          <w:rFonts w:ascii="Arial" w:hAnsi="Arial" w:cs="Arial"/>
          <w:i/>
          <w:iCs/>
          <w:sz w:val="22"/>
          <w:szCs w:val="22"/>
        </w:rPr>
        <w:t>Principles of anatomy and physiology</w:t>
      </w:r>
      <w:r w:rsidRPr="00F673F4">
        <w:rPr>
          <w:rFonts w:ascii="Arial" w:hAnsi="Arial" w:cs="Arial"/>
          <w:sz w:val="22"/>
          <w:szCs w:val="22"/>
        </w:rPr>
        <w:t xml:space="preserve">. 16th </w:t>
      </w:r>
      <w:proofErr w:type="spellStart"/>
      <w:r w:rsidRPr="00F673F4">
        <w:rPr>
          <w:rFonts w:ascii="Arial" w:hAnsi="Arial" w:cs="Arial"/>
          <w:sz w:val="22"/>
          <w:szCs w:val="22"/>
        </w:rPr>
        <w:t>edn</w:t>
      </w:r>
      <w:proofErr w:type="spellEnd"/>
      <w:r w:rsidRPr="00F673F4">
        <w:rPr>
          <w:rFonts w:ascii="Arial" w:hAnsi="Arial" w:cs="Arial"/>
          <w:sz w:val="22"/>
          <w:szCs w:val="22"/>
        </w:rPr>
        <w:t>. Wiley.</w:t>
      </w:r>
    </w:p>
    <w:p w14:paraId="392F375B" w14:textId="77777777" w:rsidR="00F673F4" w:rsidRPr="00F673F4" w:rsidRDefault="00F673F4" w:rsidP="00F673F4">
      <w:pPr>
        <w:spacing w:line="360" w:lineRule="auto"/>
        <w:rPr>
          <w:rFonts w:ascii="Arial" w:hAnsi="Arial" w:cs="Arial"/>
          <w:sz w:val="22"/>
          <w:szCs w:val="22"/>
        </w:rPr>
      </w:pPr>
      <w:r w:rsidRPr="00F673F4">
        <w:rPr>
          <w:rFonts w:ascii="Arial" w:hAnsi="Arial" w:cs="Arial"/>
          <w:sz w:val="22"/>
          <w:szCs w:val="22"/>
        </w:rPr>
        <w:t>World Health Organisation (2024). </w:t>
      </w:r>
      <w:r w:rsidRPr="00F673F4">
        <w:rPr>
          <w:rFonts w:ascii="Arial" w:hAnsi="Arial" w:cs="Arial"/>
          <w:i/>
          <w:iCs/>
          <w:sz w:val="22"/>
          <w:szCs w:val="22"/>
        </w:rPr>
        <w:t>Diabetes</w:t>
      </w:r>
      <w:r w:rsidRPr="00F673F4">
        <w:rPr>
          <w:rFonts w:ascii="Arial" w:hAnsi="Arial" w:cs="Arial"/>
          <w:sz w:val="22"/>
          <w:szCs w:val="22"/>
        </w:rPr>
        <w:t xml:space="preserve">. [online] World Health Organisation. Available at: </w:t>
      </w:r>
      <w:hyperlink r:id="rId14" w:history="1">
        <w:r w:rsidRPr="00F673F4">
          <w:rPr>
            <w:rStyle w:val="Hyperlink"/>
            <w:rFonts w:ascii="Arial" w:hAnsi="Arial" w:cs="Arial"/>
            <w:sz w:val="22"/>
            <w:szCs w:val="22"/>
          </w:rPr>
          <w:t>https://www.who.int/news-room/fact-sheets/detail/diabetes</w:t>
        </w:r>
      </w:hyperlink>
      <w:r w:rsidRPr="00F673F4">
        <w:rPr>
          <w:rFonts w:ascii="Arial" w:hAnsi="Arial" w:cs="Arial"/>
          <w:sz w:val="22"/>
          <w:szCs w:val="22"/>
        </w:rPr>
        <w:t xml:space="preserve"> [Accessed 13 Feb. 2026].</w:t>
      </w:r>
    </w:p>
    <w:p w14:paraId="2B0FB240" w14:textId="77777777" w:rsidR="00F673F4" w:rsidRPr="000D0EEC" w:rsidRDefault="00F673F4" w:rsidP="00F673F4">
      <w:pPr>
        <w:spacing w:line="360" w:lineRule="auto"/>
        <w:rPr>
          <w:rFonts w:ascii="Arial" w:hAnsi="Arial" w:cs="Arial"/>
          <w:sz w:val="22"/>
          <w:szCs w:val="22"/>
        </w:rPr>
      </w:pPr>
    </w:p>
    <w:p w14:paraId="2D1D7665" w14:textId="77777777" w:rsidR="00325705" w:rsidRPr="00AC2732" w:rsidRDefault="00325705" w:rsidP="00AC2732">
      <w:pPr>
        <w:spacing w:line="360" w:lineRule="auto"/>
        <w:jc w:val="both"/>
        <w:rPr>
          <w:rFonts w:ascii="Arial" w:hAnsi="Arial" w:cs="Arial"/>
          <w:sz w:val="22"/>
          <w:szCs w:val="22"/>
        </w:rPr>
      </w:pPr>
    </w:p>
    <w:p w14:paraId="152417DE" w14:textId="77777777" w:rsidR="00286B6B" w:rsidRPr="00996E35" w:rsidRDefault="00286B6B" w:rsidP="00996E35">
      <w:pPr>
        <w:spacing w:line="360" w:lineRule="auto"/>
        <w:jc w:val="both"/>
        <w:rPr>
          <w:rFonts w:ascii="Arial" w:hAnsi="Arial" w:cs="Arial"/>
          <w:sz w:val="22"/>
          <w:szCs w:val="22"/>
        </w:rPr>
      </w:pPr>
    </w:p>
    <w:p w14:paraId="5D616964" w14:textId="77777777" w:rsidR="00996E35" w:rsidRPr="009C3F3E" w:rsidRDefault="00996E35" w:rsidP="009C3F3E">
      <w:pPr>
        <w:spacing w:line="360" w:lineRule="auto"/>
        <w:jc w:val="both"/>
        <w:rPr>
          <w:rFonts w:ascii="Arial" w:hAnsi="Arial" w:cs="Arial"/>
          <w:sz w:val="22"/>
          <w:szCs w:val="22"/>
        </w:rPr>
      </w:pPr>
    </w:p>
    <w:p w14:paraId="77AE7FF4" w14:textId="77777777" w:rsidR="003D0EEA" w:rsidRDefault="003D0EEA" w:rsidP="00D50EBA">
      <w:pPr>
        <w:spacing w:line="360" w:lineRule="auto"/>
        <w:jc w:val="both"/>
        <w:rPr>
          <w:rFonts w:ascii="Arial" w:hAnsi="Arial" w:cs="Arial"/>
          <w:sz w:val="22"/>
          <w:szCs w:val="22"/>
        </w:rPr>
      </w:pPr>
    </w:p>
    <w:p w14:paraId="58AECCC2" w14:textId="77777777" w:rsidR="00D536AF" w:rsidRPr="00D50EBA" w:rsidRDefault="00D536AF" w:rsidP="00D50EBA">
      <w:pPr>
        <w:spacing w:line="360" w:lineRule="auto"/>
        <w:jc w:val="both"/>
        <w:rPr>
          <w:rFonts w:ascii="Arial" w:hAnsi="Arial" w:cs="Arial"/>
          <w:sz w:val="22"/>
          <w:szCs w:val="22"/>
        </w:rPr>
      </w:pPr>
    </w:p>
    <w:p w14:paraId="3FCB395F" w14:textId="13DA2E0F" w:rsidR="00C8228A" w:rsidRDefault="00C8228A" w:rsidP="00C8228A">
      <w:pPr>
        <w:spacing w:line="360" w:lineRule="auto"/>
        <w:jc w:val="both"/>
        <w:rPr>
          <w:rFonts w:ascii="Arial" w:hAnsi="Arial" w:cs="Arial"/>
          <w:sz w:val="22"/>
          <w:szCs w:val="22"/>
        </w:rPr>
      </w:pPr>
    </w:p>
    <w:p w14:paraId="3F282D75" w14:textId="77777777" w:rsidR="00D679BF" w:rsidRPr="00C8228A" w:rsidRDefault="00D679BF" w:rsidP="00C8228A">
      <w:pPr>
        <w:spacing w:line="360" w:lineRule="auto"/>
        <w:jc w:val="both"/>
        <w:rPr>
          <w:rFonts w:ascii="Arial" w:hAnsi="Arial" w:cs="Arial"/>
          <w:sz w:val="22"/>
          <w:szCs w:val="22"/>
        </w:rPr>
      </w:pPr>
    </w:p>
    <w:p w14:paraId="507A66E6" w14:textId="77777777" w:rsidR="00C8228A" w:rsidRPr="00086CD7" w:rsidRDefault="00C8228A" w:rsidP="00086CD7">
      <w:pPr>
        <w:spacing w:line="360" w:lineRule="auto"/>
        <w:jc w:val="both"/>
        <w:rPr>
          <w:rFonts w:ascii="Arial" w:hAnsi="Arial" w:cs="Arial"/>
          <w:sz w:val="22"/>
          <w:szCs w:val="22"/>
        </w:rPr>
      </w:pPr>
    </w:p>
    <w:p w14:paraId="6A26511F" w14:textId="77777777" w:rsidR="00086CD7" w:rsidRPr="00322CB9" w:rsidRDefault="00086CD7" w:rsidP="00322CB9">
      <w:pPr>
        <w:spacing w:line="360" w:lineRule="auto"/>
        <w:jc w:val="both"/>
        <w:rPr>
          <w:rFonts w:ascii="Arial" w:hAnsi="Arial" w:cs="Arial"/>
          <w:sz w:val="22"/>
          <w:szCs w:val="22"/>
        </w:rPr>
      </w:pPr>
    </w:p>
    <w:p w14:paraId="12243D2E" w14:textId="20609AA8" w:rsidR="00D54005" w:rsidRPr="00D54005" w:rsidRDefault="00D54005" w:rsidP="00D54005">
      <w:pPr>
        <w:spacing w:line="360" w:lineRule="auto"/>
        <w:jc w:val="both"/>
        <w:rPr>
          <w:rFonts w:ascii="Arial" w:hAnsi="Arial" w:cs="Arial"/>
          <w:sz w:val="22"/>
          <w:szCs w:val="22"/>
        </w:rPr>
      </w:pPr>
    </w:p>
    <w:p w14:paraId="1E645453" w14:textId="77777777" w:rsidR="001B2F72" w:rsidRPr="00567F4D" w:rsidRDefault="001B2F72" w:rsidP="00567F4D">
      <w:pPr>
        <w:spacing w:line="360" w:lineRule="auto"/>
        <w:jc w:val="both"/>
        <w:rPr>
          <w:rFonts w:ascii="Arial" w:hAnsi="Arial" w:cs="Arial"/>
          <w:sz w:val="22"/>
          <w:szCs w:val="22"/>
        </w:rPr>
      </w:pPr>
    </w:p>
    <w:p w14:paraId="7C7B74A1" w14:textId="5DB582E8" w:rsidR="002409F5" w:rsidRPr="002409F5" w:rsidRDefault="002409F5" w:rsidP="002409F5">
      <w:pPr>
        <w:spacing w:line="360" w:lineRule="auto"/>
        <w:jc w:val="both"/>
        <w:rPr>
          <w:rFonts w:ascii="Arial" w:hAnsi="Arial" w:cs="Arial"/>
          <w:sz w:val="22"/>
          <w:szCs w:val="22"/>
        </w:rPr>
      </w:pPr>
    </w:p>
    <w:p w14:paraId="5B317A59" w14:textId="77777777" w:rsidR="002409F5" w:rsidRDefault="002409F5" w:rsidP="00C37258">
      <w:pPr>
        <w:spacing w:line="360" w:lineRule="auto"/>
        <w:jc w:val="both"/>
        <w:rPr>
          <w:rFonts w:ascii="Arial" w:hAnsi="Arial" w:cs="Arial"/>
          <w:sz w:val="22"/>
          <w:szCs w:val="22"/>
        </w:rPr>
      </w:pPr>
    </w:p>
    <w:p w14:paraId="0D30B43F" w14:textId="77777777" w:rsidR="00210995" w:rsidRPr="00C37258" w:rsidRDefault="00210995" w:rsidP="00C37258">
      <w:pPr>
        <w:spacing w:line="360" w:lineRule="auto"/>
        <w:jc w:val="both"/>
        <w:rPr>
          <w:rFonts w:ascii="Arial" w:hAnsi="Arial" w:cs="Arial"/>
          <w:sz w:val="22"/>
          <w:szCs w:val="22"/>
        </w:rPr>
      </w:pPr>
    </w:p>
    <w:p w14:paraId="5C58C619" w14:textId="2BA098C9" w:rsidR="00B27610" w:rsidRPr="00B27610" w:rsidRDefault="00B27610" w:rsidP="00B27610">
      <w:pPr>
        <w:spacing w:line="360" w:lineRule="auto"/>
        <w:jc w:val="both"/>
        <w:rPr>
          <w:rFonts w:ascii="Arial" w:hAnsi="Arial" w:cs="Arial"/>
          <w:sz w:val="22"/>
          <w:szCs w:val="22"/>
        </w:rPr>
      </w:pPr>
    </w:p>
    <w:p w14:paraId="43EB9D29" w14:textId="54B49994" w:rsidR="00422AD2" w:rsidRPr="001128E2" w:rsidRDefault="00A63E5C" w:rsidP="001128E2">
      <w:pPr>
        <w:spacing w:line="360" w:lineRule="auto"/>
        <w:jc w:val="both"/>
        <w:rPr>
          <w:rFonts w:ascii="Arial" w:hAnsi="Arial" w:cs="Arial"/>
          <w:sz w:val="22"/>
          <w:szCs w:val="22"/>
        </w:rPr>
      </w:pPr>
      <w:r>
        <w:rPr>
          <w:rFonts w:ascii="Arial" w:hAnsi="Arial" w:cs="Arial"/>
          <w:sz w:val="22"/>
          <w:szCs w:val="22"/>
        </w:rPr>
        <w:t xml:space="preserve"> </w:t>
      </w:r>
    </w:p>
    <w:p w14:paraId="6400BB89" w14:textId="57FEAB06" w:rsidR="008756FD" w:rsidRPr="008756FD" w:rsidRDefault="00F4500B" w:rsidP="008756FD">
      <w:pPr>
        <w:spacing w:line="360" w:lineRule="auto"/>
        <w:jc w:val="both"/>
        <w:rPr>
          <w:rFonts w:ascii="Arial" w:hAnsi="Arial" w:cs="Arial"/>
          <w:sz w:val="22"/>
          <w:szCs w:val="22"/>
        </w:rPr>
      </w:pPr>
      <w:r>
        <w:rPr>
          <w:rFonts w:ascii="Arial" w:hAnsi="Arial" w:cs="Arial"/>
          <w:sz w:val="22"/>
          <w:szCs w:val="22"/>
        </w:rPr>
        <w:t xml:space="preserve"> </w:t>
      </w:r>
    </w:p>
    <w:p w14:paraId="599F217B" w14:textId="28A47144" w:rsidR="000B4749" w:rsidRPr="000B4749" w:rsidRDefault="008756FD" w:rsidP="00E75E71">
      <w:pPr>
        <w:spacing w:line="360" w:lineRule="auto"/>
        <w:jc w:val="both"/>
        <w:rPr>
          <w:rFonts w:ascii="Arial" w:hAnsi="Arial" w:cs="Arial"/>
          <w:sz w:val="22"/>
          <w:szCs w:val="22"/>
          <w:lang w:val="en-US"/>
        </w:rPr>
      </w:pPr>
      <w:r>
        <w:rPr>
          <w:rFonts w:ascii="Arial" w:hAnsi="Arial" w:cs="Arial"/>
          <w:sz w:val="22"/>
          <w:szCs w:val="22"/>
        </w:rPr>
        <w:lastRenderedPageBreak/>
        <w:t xml:space="preserve"> </w:t>
      </w:r>
    </w:p>
    <w:sectPr w:rsidR="000B4749" w:rsidRPr="000B474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B8523" w14:textId="77777777" w:rsidR="0010591D" w:rsidRDefault="0010591D" w:rsidP="00435A19">
      <w:pPr>
        <w:spacing w:after="0" w:line="240" w:lineRule="auto"/>
      </w:pPr>
      <w:r>
        <w:separator/>
      </w:r>
    </w:p>
  </w:endnote>
  <w:endnote w:type="continuationSeparator" w:id="0">
    <w:p w14:paraId="1476265A" w14:textId="77777777" w:rsidR="0010591D" w:rsidRDefault="0010591D" w:rsidP="00435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8681681"/>
      <w:docPartObj>
        <w:docPartGallery w:val="Page Numbers (Bottom of Page)"/>
        <w:docPartUnique/>
      </w:docPartObj>
    </w:sdtPr>
    <w:sdtEndPr>
      <w:rPr>
        <w:noProof/>
      </w:rPr>
    </w:sdtEndPr>
    <w:sdtContent>
      <w:p w14:paraId="15E6EDB5" w14:textId="674A6105" w:rsidR="00435A19" w:rsidRDefault="00435A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972BA1" w14:textId="77777777" w:rsidR="00435A19" w:rsidRDefault="00435A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47132" w14:textId="77777777" w:rsidR="0010591D" w:rsidRDefault="0010591D" w:rsidP="00435A19">
      <w:pPr>
        <w:spacing w:after="0" w:line="240" w:lineRule="auto"/>
      </w:pPr>
      <w:r>
        <w:separator/>
      </w:r>
    </w:p>
  </w:footnote>
  <w:footnote w:type="continuationSeparator" w:id="0">
    <w:p w14:paraId="3FD07514" w14:textId="77777777" w:rsidR="0010591D" w:rsidRDefault="0010591D" w:rsidP="00435A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749"/>
    <w:rsid w:val="00006AE9"/>
    <w:rsid w:val="00081993"/>
    <w:rsid w:val="00086CD7"/>
    <w:rsid w:val="000B4749"/>
    <w:rsid w:val="000D0EEC"/>
    <w:rsid w:val="000D1F40"/>
    <w:rsid w:val="00101923"/>
    <w:rsid w:val="0010591D"/>
    <w:rsid w:val="001059DE"/>
    <w:rsid w:val="001128E2"/>
    <w:rsid w:val="00115414"/>
    <w:rsid w:val="00122289"/>
    <w:rsid w:val="00125B7B"/>
    <w:rsid w:val="001274AB"/>
    <w:rsid w:val="001A7D5E"/>
    <w:rsid w:val="001B2F72"/>
    <w:rsid w:val="001B6371"/>
    <w:rsid w:val="001D12F3"/>
    <w:rsid w:val="001D1314"/>
    <w:rsid w:val="001F57D4"/>
    <w:rsid w:val="00203881"/>
    <w:rsid w:val="00210995"/>
    <w:rsid w:val="00220601"/>
    <w:rsid w:val="00232FCE"/>
    <w:rsid w:val="002409F5"/>
    <w:rsid w:val="00284D45"/>
    <w:rsid w:val="00286B6B"/>
    <w:rsid w:val="002D2265"/>
    <w:rsid w:val="002D2C97"/>
    <w:rsid w:val="002D6FD5"/>
    <w:rsid w:val="00322CB9"/>
    <w:rsid w:val="003233E0"/>
    <w:rsid w:val="003242E0"/>
    <w:rsid w:val="00325705"/>
    <w:rsid w:val="00331EFB"/>
    <w:rsid w:val="00340DA5"/>
    <w:rsid w:val="00347277"/>
    <w:rsid w:val="00387E70"/>
    <w:rsid w:val="003C7FCB"/>
    <w:rsid w:val="003D0EEA"/>
    <w:rsid w:val="003D2F65"/>
    <w:rsid w:val="003D7296"/>
    <w:rsid w:val="003F2DBE"/>
    <w:rsid w:val="00416834"/>
    <w:rsid w:val="004170CD"/>
    <w:rsid w:val="00422AD2"/>
    <w:rsid w:val="00432407"/>
    <w:rsid w:val="00433C80"/>
    <w:rsid w:val="00435A19"/>
    <w:rsid w:val="00456D20"/>
    <w:rsid w:val="004762AD"/>
    <w:rsid w:val="004845AC"/>
    <w:rsid w:val="00486D5B"/>
    <w:rsid w:val="00506075"/>
    <w:rsid w:val="0051664F"/>
    <w:rsid w:val="00537791"/>
    <w:rsid w:val="00567F4D"/>
    <w:rsid w:val="005A1055"/>
    <w:rsid w:val="00616B60"/>
    <w:rsid w:val="006757EF"/>
    <w:rsid w:val="00690835"/>
    <w:rsid w:val="006B3A63"/>
    <w:rsid w:val="006E2ABD"/>
    <w:rsid w:val="00726A8D"/>
    <w:rsid w:val="00767A1A"/>
    <w:rsid w:val="00767D55"/>
    <w:rsid w:val="00770447"/>
    <w:rsid w:val="00771D73"/>
    <w:rsid w:val="00774131"/>
    <w:rsid w:val="00781F6D"/>
    <w:rsid w:val="007828F9"/>
    <w:rsid w:val="0078642A"/>
    <w:rsid w:val="007B7F62"/>
    <w:rsid w:val="007E0510"/>
    <w:rsid w:val="00816939"/>
    <w:rsid w:val="00820BDB"/>
    <w:rsid w:val="00824FFA"/>
    <w:rsid w:val="00850BE3"/>
    <w:rsid w:val="008533E6"/>
    <w:rsid w:val="00871D89"/>
    <w:rsid w:val="008756FD"/>
    <w:rsid w:val="00892DF4"/>
    <w:rsid w:val="008C38D4"/>
    <w:rsid w:val="008C61B2"/>
    <w:rsid w:val="00944AD0"/>
    <w:rsid w:val="00962A61"/>
    <w:rsid w:val="00992D48"/>
    <w:rsid w:val="00996E35"/>
    <w:rsid w:val="009B08F9"/>
    <w:rsid w:val="009C3F3E"/>
    <w:rsid w:val="009C475D"/>
    <w:rsid w:val="009E008E"/>
    <w:rsid w:val="009E535F"/>
    <w:rsid w:val="009F7C92"/>
    <w:rsid w:val="00A01941"/>
    <w:rsid w:val="00A03772"/>
    <w:rsid w:val="00A26038"/>
    <w:rsid w:val="00A35A68"/>
    <w:rsid w:val="00A36F36"/>
    <w:rsid w:val="00A63E5C"/>
    <w:rsid w:val="00AB4627"/>
    <w:rsid w:val="00AC2732"/>
    <w:rsid w:val="00AD134E"/>
    <w:rsid w:val="00AF7AB5"/>
    <w:rsid w:val="00B27610"/>
    <w:rsid w:val="00B357E0"/>
    <w:rsid w:val="00B77980"/>
    <w:rsid w:val="00B872E6"/>
    <w:rsid w:val="00BA2B1C"/>
    <w:rsid w:val="00BB2799"/>
    <w:rsid w:val="00C27A97"/>
    <w:rsid w:val="00C32903"/>
    <w:rsid w:val="00C37258"/>
    <w:rsid w:val="00C55C0E"/>
    <w:rsid w:val="00C729F2"/>
    <w:rsid w:val="00C8228A"/>
    <w:rsid w:val="00C82BE6"/>
    <w:rsid w:val="00C91CE0"/>
    <w:rsid w:val="00CC41FC"/>
    <w:rsid w:val="00D04576"/>
    <w:rsid w:val="00D12E22"/>
    <w:rsid w:val="00D211B2"/>
    <w:rsid w:val="00D47368"/>
    <w:rsid w:val="00D50EBA"/>
    <w:rsid w:val="00D536AF"/>
    <w:rsid w:val="00D54005"/>
    <w:rsid w:val="00D60EA4"/>
    <w:rsid w:val="00D65756"/>
    <w:rsid w:val="00D679BF"/>
    <w:rsid w:val="00D83E36"/>
    <w:rsid w:val="00D92A90"/>
    <w:rsid w:val="00D977B4"/>
    <w:rsid w:val="00DB2FF2"/>
    <w:rsid w:val="00DD16B8"/>
    <w:rsid w:val="00DE4F43"/>
    <w:rsid w:val="00E0002E"/>
    <w:rsid w:val="00E16497"/>
    <w:rsid w:val="00E34BD3"/>
    <w:rsid w:val="00E75E71"/>
    <w:rsid w:val="00E76F47"/>
    <w:rsid w:val="00E8090F"/>
    <w:rsid w:val="00E810DB"/>
    <w:rsid w:val="00EB5BED"/>
    <w:rsid w:val="00ED6018"/>
    <w:rsid w:val="00EE0799"/>
    <w:rsid w:val="00EE533D"/>
    <w:rsid w:val="00F04BB3"/>
    <w:rsid w:val="00F07507"/>
    <w:rsid w:val="00F4500B"/>
    <w:rsid w:val="00F61DFC"/>
    <w:rsid w:val="00F66565"/>
    <w:rsid w:val="00F673F4"/>
    <w:rsid w:val="00F67AB9"/>
    <w:rsid w:val="00F80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CBB9B"/>
  <w15:chartTrackingRefBased/>
  <w15:docId w15:val="{14F926F8-417F-43C4-884D-1E2AA2E23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7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7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7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7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7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7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7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7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7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4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4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749"/>
    <w:rPr>
      <w:rFonts w:eastAsiaTheme="majorEastAsia" w:cstheme="majorBidi"/>
      <w:color w:val="272727" w:themeColor="text1" w:themeTint="D8"/>
    </w:rPr>
  </w:style>
  <w:style w:type="paragraph" w:styleId="Title">
    <w:name w:val="Title"/>
    <w:basedOn w:val="Normal"/>
    <w:next w:val="Normal"/>
    <w:link w:val="TitleChar"/>
    <w:uiPriority w:val="10"/>
    <w:qFormat/>
    <w:rsid w:val="000B47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7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749"/>
    <w:pPr>
      <w:spacing w:before="160"/>
      <w:jc w:val="center"/>
    </w:pPr>
    <w:rPr>
      <w:i/>
      <w:iCs/>
      <w:color w:val="404040" w:themeColor="text1" w:themeTint="BF"/>
    </w:rPr>
  </w:style>
  <w:style w:type="character" w:customStyle="1" w:styleId="QuoteChar">
    <w:name w:val="Quote Char"/>
    <w:basedOn w:val="DefaultParagraphFont"/>
    <w:link w:val="Quote"/>
    <w:uiPriority w:val="29"/>
    <w:rsid w:val="000B4749"/>
    <w:rPr>
      <w:i/>
      <w:iCs/>
      <w:color w:val="404040" w:themeColor="text1" w:themeTint="BF"/>
    </w:rPr>
  </w:style>
  <w:style w:type="paragraph" w:styleId="ListParagraph">
    <w:name w:val="List Paragraph"/>
    <w:basedOn w:val="Normal"/>
    <w:uiPriority w:val="34"/>
    <w:qFormat/>
    <w:rsid w:val="000B4749"/>
    <w:pPr>
      <w:ind w:left="720"/>
      <w:contextualSpacing/>
    </w:pPr>
  </w:style>
  <w:style w:type="character" w:styleId="IntenseEmphasis">
    <w:name w:val="Intense Emphasis"/>
    <w:basedOn w:val="DefaultParagraphFont"/>
    <w:uiPriority w:val="21"/>
    <w:qFormat/>
    <w:rsid w:val="000B4749"/>
    <w:rPr>
      <w:i/>
      <w:iCs/>
      <w:color w:val="0F4761" w:themeColor="accent1" w:themeShade="BF"/>
    </w:rPr>
  </w:style>
  <w:style w:type="paragraph" w:styleId="IntenseQuote">
    <w:name w:val="Intense Quote"/>
    <w:basedOn w:val="Normal"/>
    <w:next w:val="Normal"/>
    <w:link w:val="IntenseQuoteChar"/>
    <w:uiPriority w:val="30"/>
    <w:qFormat/>
    <w:rsid w:val="000B47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749"/>
    <w:rPr>
      <w:i/>
      <w:iCs/>
      <w:color w:val="0F4761" w:themeColor="accent1" w:themeShade="BF"/>
    </w:rPr>
  </w:style>
  <w:style w:type="character" w:styleId="IntenseReference">
    <w:name w:val="Intense Reference"/>
    <w:basedOn w:val="DefaultParagraphFont"/>
    <w:uiPriority w:val="32"/>
    <w:qFormat/>
    <w:rsid w:val="000B4749"/>
    <w:rPr>
      <w:b/>
      <w:bCs/>
      <w:smallCaps/>
      <w:color w:val="0F4761" w:themeColor="accent1" w:themeShade="BF"/>
      <w:spacing w:val="5"/>
    </w:rPr>
  </w:style>
  <w:style w:type="paragraph" w:styleId="Header">
    <w:name w:val="header"/>
    <w:basedOn w:val="Normal"/>
    <w:link w:val="HeaderChar"/>
    <w:uiPriority w:val="99"/>
    <w:unhideWhenUsed/>
    <w:rsid w:val="00435A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A19"/>
  </w:style>
  <w:style w:type="paragraph" w:styleId="Footer">
    <w:name w:val="footer"/>
    <w:basedOn w:val="Normal"/>
    <w:link w:val="FooterChar"/>
    <w:uiPriority w:val="99"/>
    <w:unhideWhenUsed/>
    <w:rsid w:val="00435A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A19"/>
  </w:style>
  <w:style w:type="paragraph" w:styleId="NormalWeb">
    <w:name w:val="Normal (Web)"/>
    <w:basedOn w:val="Normal"/>
    <w:uiPriority w:val="99"/>
    <w:semiHidden/>
    <w:unhideWhenUsed/>
    <w:rsid w:val="007B7F62"/>
    <w:rPr>
      <w:rFonts w:ascii="Times New Roman" w:hAnsi="Times New Roman" w:cs="Times New Roman"/>
    </w:rPr>
  </w:style>
  <w:style w:type="character" w:styleId="Hyperlink">
    <w:name w:val="Hyperlink"/>
    <w:basedOn w:val="DefaultParagraphFont"/>
    <w:uiPriority w:val="99"/>
    <w:unhideWhenUsed/>
    <w:rsid w:val="003D7296"/>
    <w:rPr>
      <w:color w:val="467886" w:themeColor="hyperlink"/>
      <w:u w:val="single"/>
    </w:rPr>
  </w:style>
  <w:style w:type="character" w:styleId="UnresolvedMention">
    <w:name w:val="Unresolved Mention"/>
    <w:basedOn w:val="DefaultParagraphFont"/>
    <w:uiPriority w:val="99"/>
    <w:semiHidden/>
    <w:unhideWhenUsed/>
    <w:rsid w:val="003D72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945/ajcn.2010.29622" TargetMode="External"/><Relationship Id="rId13" Type="http://schemas.openxmlformats.org/officeDocument/2006/relationships/hyperlink" Target="https://www.nice.org.uk/guidance/qs209/resources/type-2-diabetes-in-adults-pdf-75547422824389" TargetMode="External"/><Relationship Id="rId3" Type="http://schemas.openxmlformats.org/officeDocument/2006/relationships/webSettings" Target="webSettings.xml"/><Relationship Id="rId7" Type="http://schemas.openxmlformats.org/officeDocument/2006/relationships/hyperlink" Target="https://www.diabetes.org.uk/about-diabetes/looking-after-diabetes/hba1c" TargetMode="External"/><Relationship Id="rId12" Type="http://schemas.openxmlformats.org/officeDocument/2006/relationships/hyperlink" Target="https://www.nhs.uk/conditions/type-2-diabetes/symptom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3389/fcvm.2020.00022" TargetMode="External"/><Relationship Id="rId11" Type="http://schemas.openxmlformats.org/officeDocument/2006/relationships/hyperlink" Target="https://doi.org/10.1002/cphy.c190029"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oi.org/10.3389/fendo.2025.1513008" TargetMode="External"/><Relationship Id="rId4" Type="http://schemas.openxmlformats.org/officeDocument/2006/relationships/footnotes" Target="footnotes.xml"/><Relationship Id="rId9" Type="http://schemas.openxmlformats.org/officeDocument/2006/relationships/hyperlink" Target="https://doi.org/10.1038/nrdp.2017.16" TargetMode="External"/><Relationship Id="rId14"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237</TotalTime>
  <Pages>10</Pages>
  <Words>2996</Words>
  <Characters>17082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said</dc:creator>
  <cp:keywords/>
  <dc:description/>
  <cp:lastModifiedBy>uzma said</cp:lastModifiedBy>
  <cp:revision>136</cp:revision>
  <dcterms:created xsi:type="dcterms:W3CDTF">2026-02-20T22:49:00Z</dcterms:created>
  <dcterms:modified xsi:type="dcterms:W3CDTF">2026-02-21T21:09:00Z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04778a3e-7c2c-47d7-b65a-0bde23e2fe1c</vt:lpwstr>
  </property>
</Properties>
</file>