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78CC" w14:textId="2364E311" w:rsidR="005F6CFF" w:rsidRDefault="005F6CFF" w:rsidP="005F6CFF">
      <w:r>
        <w:rPr>
          <w:noProof/>
        </w:rPr>
        <w:drawing>
          <wp:inline distT="0" distB="0" distL="0" distR="0" wp14:anchorId="68CBDB64" wp14:editId="7776CB5F">
            <wp:extent cx="2026920" cy="708660"/>
            <wp:effectExtent l="0" t="0" r="0" b="0"/>
            <wp:docPr id="1671423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4657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26920" cy="708660"/>
                    </a:xfrm>
                    <a:prstGeom prst="rect">
                      <a:avLst/>
                    </a:prstGeom>
                    <a:noFill/>
                    <a:ln>
                      <a:noFill/>
                    </a:ln>
                  </pic:spPr>
                </pic:pic>
              </a:graphicData>
            </a:graphic>
          </wp:inline>
        </w:drawing>
      </w:r>
    </w:p>
    <w:p w14:paraId="46A31269" w14:textId="77777777" w:rsidR="005F6CFF" w:rsidRDefault="005F6CFF" w:rsidP="005F6CFF">
      <w:pPr>
        <w:rPr>
          <w:rFonts w:ascii="Times New Roman" w:hAnsi="Times New Roman" w:cs="Times New Roman"/>
          <w:sz w:val="24"/>
          <w:szCs w:val="24"/>
        </w:rPr>
      </w:pPr>
    </w:p>
    <w:p w14:paraId="790619FC" w14:textId="77777777" w:rsidR="005F6CFF" w:rsidRPr="004F5FD6" w:rsidRDefault="005F6CFF" w:rsidP="005F6CFF">
      <w:pPr>
        <w:overflowPunct/>
        <w:autoSpaceDE/>
        <w:adjustRightInd/>
        <w:rPr>
          <w:b/>
          <w:bCs/>
          <w:color w:val="auto"/>
          <w:sz w:val="40"/>
          <w:szCs w:val="40"/>
        </w:rPr>
      </w:pPr>
      <w:r w:rsidRPr="004F5FD6">
        <w:rPr>
          <w:b/>
          <w:color w:val="auto"/>
          <w:sz w:val="40"/>
          <w:szCs w:val="40"/>
        </w:rPr>
        <w:t xml:space="preserve">GRADUATE CERTIFICATE in </w:t>
      </w:r>
      <w:r w:rsidRPr="004F5FD6">
        <w:rPr>
          <w:b/>
          <w:bCs/>
          <w:color w:val="auto"/>
          <w:sz w:val="40"/>
          <w:szCs w:val="40"/>
        </w:rPr>
        <w:t>Consolidation of Social Work Practice</w:t>
      </w:r>
    </w:p>
    <w:p w14:paraId="7A1FE290" w14:textId="77777777" w:rsidR="005F6CFF" w:rsidRPr="004F5FD6" w:rsidRDefault="005F6CFF" w:rsidP="005F6CFF">
      <w:pPr>
        <w:overflowPunct/>
        <w:autoSpaceDE/>
        <w:adjustRightInd/>
        <w:ind w:right="-957"/>
        <w:rPr>
          <w:b/>
          <w:color w:val="auto"/>
          <w:sz w:val="40"/>
          <w:szCs w:val="40"/>
        </w:rPr>
      </w:pPr>
      <w:r w:rsidRPr="004F5FD6">
        <w:rPr>
          <w:b/>
          <w:color w:val="auto"/>
          <w:sz w:val="40"/>
          <w:szCs w:val="40"/>
        </w:rPr>
        <w:t>LEVEL 6 - 60 Credits</w:t>
      </w:r>
    </w:p>
    <w:p w14:paraId="34439EA2" w14:textId="77777777" w:rsidR="005F6CFF" w:rsidRPr="004F5FD6" w:rsidRDefault="005F6CFF" w:rsidP="005F6CFF">
      <w:pPr>
        <w:overflowPunct/>
        <w:autoSpaceDE/>
        <w:adjustRightInd/>
        <w:ind w:right="-957"/>
        <w:rPr>
          <w:b/>
          <w:color w:val="auto"/>
          <w:sz w:val="40"/>
          <w:szCs w:val="40"/>
        </w:rPr>
      </w:pPr>
      <w:r w:rsidRPr="004F5FD6">
        <w:rPr>
          <w:b/>
          <w:color w:val="auto"/>
          <w:sz w:val="40"/>
          <w:szCs w:val="40"/>
        </w:rPr>
        <w:t>BMPF6044</w:t>
      </w:r>
    </w:p>
    <w:p w14:paraId="21296B1F" w14:textId="77777777" w:rsidR="005F6CFF" w:rsidRPr="004F5FD6" w:rsidRDefault="005F6CFF" w:rsidP="005F6CFF">
      <w:pPr>
        <w:overflowPunct/>
        <w:autoSpaceDE/>
        <w:adjustRightInd/>
        <w:ind w:right="-957"/>
        <w:rPr>
          <w:b/>
          <w:color w:val="auto"/>
          <w:sz w:val="40"/>
          <w:szCs w:val="40"/>
        </w:rPr>
      </w:pPr>
    </w:p>
    <w:p w14:paraId="4CFF3590" w14:textId="77777777" w:rsidR="005F6CFF" w:rsidRPr="004F5FD6" w:rsidRDefault="005F6CFF" w:rsidP="005F6CFF">
      <w:pPr>
        <w:overflowPunct/>
        <w:autoSpaceDE/>
        <w:adjustRightInd/>
        <w:ind w:right="-957"/>
        <w:rPr>
          <w:b/>
          <w:color w:val="auto"/>
          <w:sz w:val="40"/>
          <w:szCs w:val="40"/>
        </w:rPr>
      </w:pPr>
    </w:p>
    <w:p w14:paraId="75B6C314" w14:textId="77777777" w:rsidR="005F6CFF" w:rsidRPr="004F5FD6" w:rsidRDefault="005F6CFF" w:rsidP="005F6CFF">
      <w:pPr>
        <w:overflowPunct/>
        <w:autoSpaceDE/>
        <w:adjustRightInd/>
        <w:ind w:right="-957"/>
        <w:rPr>
          <w:b/>
          <w:color w:val="auto"/>
          <w:sz w:val="40"/>
          <w:szCs w:val="40"/>
        </w:rPr>
      </w:pPr>
      <w:r w:rsidRPr="004F5FD6">
        <w:rPr>
          <w:b/>
          <w:color w:val="auto"/>
          <w:sz w:val="40"/>
          <w:szCs w:val="40"/>
        </w:rPr>
        <w:t>LEARNER PORTFOLIO</w:t>
      </w:r>
    </w:p>
    <w:p w14:paraId="7F66DA70" w14:textId="77777777" w:rsidR="005F6CFF" w:rsidRPr="004F5FD6" w:rsidRDefault="005F6CFF" w:rsidP="005F6CFF">
      <w:pPr>
        <w:overflowPunct/>
        <w:autoSpaceDE/>
        <w:adjustRightInd/>
        <w:ind w:right="-957"/>
        <w:rPr>
          <w:b/>
          <w:bCs/>
          <w:color w:val="auto"/>
          <w:sz w:val="40"/>
          <w:szCs w:val="40"/>
        </w:rPr>
      </w:pPr>
      <w:r w:rsidRPr="004F5FD6">
        <w:rPr>
          <w:b/>
          <w:bCs/>
          <w:color w:val="auto"/>
          <w:sz w:val="40"/>
          <w:szCs w:val="40"/>
        </w:rPr>
        <w:t>(PORTH AGORED and UNIVERSITY OF WALES TRINITY SAINT DAVID)</w:t>
      </w:r>
    </w:p>
    <w:p w14:paraId="27D6E46A" w14:textId="77777777" w:rsidR="005F6CFF" w:rsidRPr="004F5FD6" w:rsidRDefault="005F6CFF" w:rsidP="005F6CFF">
      <w:pPr>
        <w:overflowPunct/>
        <w:autoSpaceDE/>
        <w:adjustRightInd/>
        <w:ind w:right="-957"/>
        <w:rPr>
          <w:b/>
          <w:color w:val="auto"/>
          <w:sz w:val="40"/>
          <w:szCs w:val="40"/>
        </w:rPr>
      </w:pPr>
    </w:p>
    <w:p w14:paraId="7A05755F" w14:textId="77777777" w:rsidR="005F6CFF" w:rsidRPr="004F5FD6" w:rsidRDefault="005F6CFF" w:rsidP="005F6CFF">
      <w:pPr>
        <w:overflowPunct/>
        <w:autoSpaceDE/>
        <w:adjustRightInd/>
        <w:ind w:right="-957"/>
        <w:rPr>
          <w:b/>
          <w:color w:val="auto"/>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F6CFF" w:rsidRPr="004F5FD6" w14:paraId="06CCFDA4" w14:textId="77777777" w:rsidTr="000C622D">
        <w:tc>
          <w:tcPr>
            <w:tcW w:w="9493" w:type="dxa"/>
            <w:tcBorders>
              <w:top w:val="single" w:sz="4" w:space="0" w:color="auto"/>
              <w:left w:val="single" w:sz="4" w:space="0" w:color="auto"/>
              <w:bottom w:val="single" w:sz="4" w:space="0" w:color="auto"/>
              <w:right w:val="single" w:sz="4" w:space="0" w:color="auto"/>
            </w:tcBorders>
          </w:tcPr>
          <w:p w14:paraId="1C26AF44" w14:textId="6174DE3C" w:rsidR="005F6CFF" w:rsidRPr="004F5FD6" w:rsidRDefault="005F6CFF">
            <w:pPr>
              <w:overflowPunct/>
              <w:autoSpaceDE/>
              <w:adjustRightInd/>
              <w:ind w:right="-957"/>
              <w:rPr>
                <w:bCs/>
                <w:color w:val="auto"/>
                <w:sz w:val="40"/>
                <w:szCs w:val="40"/>
              </w:rPr>
            </w:pPr>
            <w:r w:rsidRPr="004F5FD6">
              <w:rPr>
                <w:b/>
                <w:color w:val="auto"/>
                <w:sz w:val="40"/>
                <w:szCs w:val="40"/>
              </w:rPr>
              <w:t xml:space="preserve">Learner’s name: </w:t>
            </w:r>
            <w:r w:rsidR="006E2A67" w:rsidRPr="004F5FD6">
              <w:rPr>
                <w:bCs/>
                <w:color w:val="auto"/>
                <w:sz w:val="40"/>
                <w:szCs w:val="40"/>
              </w:rPr>
              <w:t>Ashli Evans</w:t>
            </w:r>
          </w:p>
          <w:p w14:paraId="04F6B651" w14:textId="77777777" w:rsidR="000C622D" w:rsidRPr="004F5FD6" w:rsidRDefault="000C622D">
            <w:pPr>
              <w:overflowPunct/>
              <w:autoSpaceDE/>
              <w:adjustRightInd/>
              <w:ind w:right="-957"/>
              <w:rPr>
                <w:b/>
                <w:color w:val="auto"/>
                <w:sz w:val="40"/>
                <w:szCs w:val="40"/>
              </w:rPr>
            </w:pPr>
          </w:p>
          <w:p w14:paraId="21CE638C" w14:textId="77777777" w:rsidR="006E2A67" w:rsidRPr="004F5FD6" w:rsidRDefault="005F6CFF">
            <w:pPr>
              <w:overflowPunct/>
              <w:autoSpaceDE/>
              <w:adjustRightInd/>
              <w:ind w:right="-957"/>
              <w:rPr>
                <w:b/>
                <w:color w:val="auto"/>
                <w:sz w:val="40"/>
                <w:szCs w:val="40"/>
              </w:rPr>
            </w:pPr>
            <w:r w:rsidRPr="004F5FD6">
              <w:rPr>
                <w:b/>
                <w:color w:val="auto"/>
                <w:sz w:val="40"/>
                <w:szCs w:val="40"/>
              </w:rPr>
              <w:t>Email address:</w:t>
            </w:r>
            <w:r w:rsidR="006E2A67" w:rsidRPr="004F5FD6">
              <w:rPr>
                <w:b/>
                <w:color w:val="auto"/>
                <w:sz w:val="40"/>
                <w:szCs w:val="40"/>
              </w:rPr>
              <w:t xml:space="preserve"> </w:t>
            </w:r>
          </w:p>
          <w:p w14:paraId="131E8C16" w14:textId="533D402A" w:rsidR="005F6CFF" w:rsidRPr="004F5FD6" w:rsidRDefault="000C622D">
            <w:pPr>
              <w:overflowPunct/>
              <w:autoSpaceDE/>
              <w:adjustRightInd/>
              <w:ind w:right="-957"/>
              <w:rPr>
                <w:bCs/>
                <w:color w:val="auto"/>
                <w:sz w:val="40"/>
                <w:szCs w:val="40"/>
              </w:rPr>
            </w:pPr>
            <w:hyperlink r:id="rId5" w:history="1">
              <w:r w:rsidRPr="004F5FD6">
                <w:rPr>
                  <w:rStyle w:val="Hyperlink"/>
                  <w:bCs/>
                  <w:sz w:val="40"/>
                  <w:szCs w:val="40"/>
                </w:rPr>
                <w:t>Ashli.Evans@pembrokeshire.gov.uk</w:t>
              </w:r>
            </w:hyperlink>
          </w:p>
          <w:p w14:paraId="169DE997" w14:textId="77777777" w:rsidR="000C622D" w:rsidRPr="004F5FD6" w:rsidRDefault="000C622D">
            <w:pPr>
              <w:overflowPunct/>
              <w:autoSpaceDE/>
              <w:adjustRightInd/>
              <w:ind w:right="-957"/>
              <w:rPr>
                <w:bCs/>
                <w:color w:val="auto"/>
                <w:sz w:val="40"/>
                <w:szCs w:val="40"/>
              </w:rPr>
            </w:pPr>
          </w:p>
          <w:p w14:paraId="56CC7D7C" w14:textId="4B91DC76" w:rsidR="005F6CFF" w:rsidRPr="004F5FD6" w:rsidRDefault="005F6CFF">
            <w:pPr>
              <w:overflowPunct/>
              <w:autoSpaceDE/>
              <w:adjustRightInd/>
              <w:ind w:right="-957"/>
              <w:rPr>
                <w:b/>
                <w:color w:val="auto"/>
                <w:sz w:val="40"/>
                <w:szCs w:val="40"/>
              </w:rPr>
            </w:pPr>
            <w:r w:rsidRPr="004F5FD6">
              <w:rPr>
                <w:b/>
                <w:color w:val="auto"/>
                <w:sz w:val="40"/>
                <w:szCs w:val="40"/>
              </w:rPr>
              <w:t>Learner’s University Registration Number:</w:t>
            </w:r>
            <w:r w:rsidR="006E2A67" w:rsidRPr="004F5FD6">
              <w:rPr>
                <w:b/>
                <w:color w:val="auto"/>
                <w:sz w:val="40"/>
                <w:szCs w:val="40"/>
              </w:rPr>
              <w:t xml:space="preserve"> </w:t>
            </w:r>
          </w:p>
          <w:p w14:paraId="7DF6E811" w14:textId="047FFE8D" w:rsidR="005F6CFF" w:rsidRPr="004F5FD6" w:rsidRDefault="000C622D">
            <w:pPr>
              <w:overflowPunct/>
              <w:autoSpaceDE/>
              <w:adjustRightInd/>
              <w:ind w:right="-957"/>
              <w:rPr>
                <w:bCs/>
                <w:color w:val="auto"/>
                <w:sz w:val="40"/>
                <w:szCs w:val="40"/>
              </w:rPr>
            </w:pPr>
            <w:r w:rsidRPr="004F5FD6">
              <w:rPr>
                <w:bCs/>
                <w:color w:val="auto"/>
                <w:sz w:val="40"/>
                <w:szCs w:val="40"/>
              </w:rPr>
              <w:t>2520557</w:t>
            </w:r>
          </w:p>
          <w:p w14:paraId="0633FD72" w14:textId="77777777" w:rsidR="000C622D" w:rsidRPr="004F5FD6" w:rsidRDefault="000C622D">
            <w:pPr>
              <w:overflowPunct/>
              <w:autoSpaceDE/>
              <w:adjustRightInd/>
              <w:ind w:right="-957"/>
              <w:rPr>
                <w:bCs/>
                <w:color w:val="auto"/>
                <w:sz w:val="40"/>
                <w:szCs w:val="40"/>
              </w:rPr>
            </w:pPr>
          </w:p>
          <w:p w14:paraId="0497EAC5" w14:textId="77777777" w:rsidR="005F6CFF" w:rsidRPr="004F5FD6" w:rsidRDefault="005F6CFF">
            <w:pPr>
              <w:overflowPunct/>
              <w:autoSpaceDE/>
              <w:adjustRightInd/>
              <w:ind w:right="-957"/>
              <w:rPr>
                <w:bCs/>
                <w:color w:val="auto"/>
                <w:sz w:val="40"/>
                <w:szCs w:val="40"/>
              </w:rPr>
            </w:pPr>
            <w:r w:rsidRPr="004F5FD6">
              <w:rPr>
                <w:b/>
                <w:color w:val="auto"/>
                <w:sz w:val="40"/>
                <w:szCs w:val="40"/>
              </w:rPr>
              <w:t xml:space="preserve">Cohort: </w:t>
            </w:r>
            <w:r w:rsidRPr="004F5FD6">
              <w:rPr>
                <w:bCs/>
                <w:color w:val="auto"/>
                <w:sz w:val="40"/>
                <w:szCs w:val="40"/>
              </w:rPr>
              <w:t>2</w:t>
            </w:r>
            <w:r w:rsidR="000C622D" w:rsidRPr="004F5FD6">
              <w:rPr>
                <w:bCs/>
                <w:color w:val="auto"/>
                <w:sz w:val="40"/>
                <w:szCs w:val="40"/>
              </w:rPr>
              <w:t>6</w:t>
            </w:r>
          </w:p>
          <w:p w14:paraId="0431D535" w14:textId="61A3ECB4" w:rsidR="004F5FD6" w:rsidRPr="004F5FD6" w:rsidRDefault="004F5FD6">
            <w:pPr>
              <w:overflowPunct/>
              <w:autoSpaceDE/>
              <w:adjustRightInd/>
              <w:ind w:right="-957"/>
              <w:rPr>
                <w:b/>
                <w:color w:val="auto"/>
                <w:sz w:val="40"/>
                <w:szCs w:val="40"/>
              </w:rPr>
            </w:pPr>
          </w:p>
        </w:tc>
      </w:tr>
    </w:tbl>
    <w:p w14:paraId="012B3694" w14:textId="77777777" w:rsidR="005F6CFF" w:rsidRPr="004F5FD6" w:rsidRDefault="005F6CFF" w:rsidP="005F6CFF">
      <w:pPr>
        <w:overflowPunct/>
        <w:autoSpaceDE/>
        <w:adjustRightInd/>
        <w:ind w:right="-957"/>
        <w:rPr>
          <w:b/>
          <w:color w:val="auto"/>
          <w:sz w:val="40"/>
          <w:szCs w:val="40"/>
        </w:rPr>
      </w:pPr>
      <w:r w:rsidRPr="004F5FD6">
        <w:rPr>
          <w:b/>
          <w:color w:val="auto"/>
          <w:sz w:val="40"/>
          <w:szCs w:val="40"/>
        </w:rPr>
        <w:t xml:space="preserve"> </w:t>
      </w:r>
    </w:p>
    <w:p w14:paraId="71D96F81" w14:textId="77777777" w:rsidR="005F6CFF" w:rsidRDefault="005F6CFF" w:rsidP="005F6CFF">
      <w:pPr>
        <w:overflowPunct/>
        <w:autoSpaceDE/>
        <w:adjustRightInd/>
        <w:rPr>
          <w:color w:val="auto"/>
          <w:sz w:val="40"/>
          <w:szCs w:val="40"/>
        </w:rPr>
      </w:pPr>
    </w:p>
    <w:p w14:paraId="0E37CB7D" w14:textId="77777777" w:rsidR="004F5FD6" w:rsidRDefault="004F5FD6" w:rsidP="005F6CFF">
      <w:pPr>
        <w:overflowPunct/>
        <w:autoSpaceDE/>
        <w:adjustRightInd/>
        <w:rPr>
          <w:color w:val="auto"/>
          <w:sz w:val="40"/>
          <w:szCs w:val="40"/>
        </w:rPr>
      </w:pPr>
    </w:p>
    <w:p w14:paraId="6D9006AC" w14:textId="77777777" w:rsidR="004F5FD6" w:rsidRDefault="004F5FD6" w:rsidP="005F6CFF">
      <w:pPr>
        <w:overflowPunct/>
        <w:autoSpaceDE/>
        <w:adjustRightInd/>
        <w:rPr>
          <w:color w:val="auto"/>
          <w:sz w:val="40"/>
          <w:szCs w:val="40"/>
        </w:rPr>
      </w:pPr>
    </w:p>
    <w:p w14:paraId="0B7D7435" w14:textId="77777777" w:rsidR="004F5FD6" w:rsidRPr="004F5FD6" w:rsidRDefault="004F5FD6" w:rsidP="005F6CFF">
      <w:pPr>
        <w:overflowPunct/>
        <w:autoSpaceDE/>
        <w:adjustRightInd/>
        <w:rPr>
          <w:color w:val="auto"/>
          <w:sz w:val="40"/>
          <w:szCs w:val="40"/>
        </w:rPr>
      </w:pPr>
    </w:p>
    <w:p w14:paraId="7316B436" w14:textId="77777777" w:rsidR="004F5FD6" w:rsidRDefault="004F5FD6" w:rsidP="009F7A12">
      <w:pPr>
        <w:spacing w:line="360" w:lineRule="auto"/>
        <w:rPr>
          <w:rFonts w:ascii="Times New Roman" w:hAnsi="Times New Roman" w:cs="Times New Roman"/>
          <w:b/>
          <w:color w:val="auto"/>
          <w:sz w:val="48"/>
        </w:rPr>
      </w:pPr>
    </w:p>
    <w:p w14:paraId="4F51A647" w14:textId="3690FBC0" w:rsidR="005F6CFF" w:rsidRPr="004F5FD6" w:rsidRDefault="005F6CFF" w:rsidP="004F5FD6">
      <w:pPr>
        <w:spacing w:line="360" w:lineRule="auto"/>
        <w:rPr>
          <w:b/>
          <w:sz w:val="24"/>
          <w:szCs w:val="24"/>
        </w:rPr>
      </w:pPr>
      <w:r w:rsidRPr="004F5FD6">
        <w:rPr>
          <w:b/>
          <w:sz w:val="24"/>
          <w:szCs w:val="24"/>
          <w:u w:val="single"/>
        </w:rPr>
        <w:lastRenderedPageBreak/>
        <w:t>Task 4</w:t>
      </w:r>
    </w:p>
    <w:p w14:paraId="0A64C3B1" w14:textId="77777777" w:rsidR="005F6CFF" w:rsidRPr="004F5FD6" w:rsidRDefault="005F6CFF" w:rsidP="004F5FD6">
      <w:pPr>
        <w:spacing w:line="360" w:lineRule="auto"/>
        <w:jc w:val="center"/>
        <w:rPr>
          <w:b/>
          <w:sz w:val="24"/>
          <w:szCs w:val="24"/>
        </w:rPr>
      </w:pPr>
    </w:p>
    <w:p w14:paraId="56B4253B" w14:textId="77777777" w:rsidR="005F6CFF" w:rsidRPr="004F5FD6" w:rsidRDefault="005F6CFF" w:rsidP="004F5FD6">
      <w:pPr>
        <w:spacing w:line="360" w:lineRule="auto"/>
        <w:jc w:val="center"/>
        <w:rPr>
          <w:b/>
          <w:sz w:val="24"/>
          <w:szCs w:val="24"/>
        </w:rPr>
      </w:pPr>
      <w:r w:rsidRPr="004F5FD6">
        <w:rPr>
          <w:b/>
          <w:sz w:val="24"/>
          <w:szCs w:val="24"/>
        </w:rPr>
        <w:t>Safeguarding in an area which is not your main area of work</w:t>
      </w:r>
    </w:p>
    <w:p w14:paraId="580530A8" w14:textId="77777777" w:rsidR="005F6CFF" w:rsidRPr="004F5FD6" w:rsidRDefault="005F6CFF" w:rsidP="004F5FD6">
      <w:pPr>
        <w:spacing w:line="360" w:lineRule="auto"/>
        <w:jc w:val="both"/>
        <w:rPr>
          <w:b/>
          <w:sz w:val="24"/>
          <w:szCs w:val="24"/>
        </w:rPr>
      </w:pPr>
    </w:p>
    <w:p w14:paraId="5A289045" w14:textId="77777777" w:rsidR="005F6CFF" w:rsidRPr="004F5FD6" w:rsidRDefault="005F6CFF" w:rsidP="004F5FD6">
      <w:pPr>
        <w:spacing w:line="360" w:lineRule="auto"/>
        <w:ind w:left="-90"/>
        <w:jc w:val="both"/>
        <w:rPr>
          <w:b/>
          <w:i/>
          <w:sz w:val="24"/>
          <w:szCs w:val="24"/>
        </w:rPr>
      </w:pPr>
      <w:r w:rsidRPr="004F5FD6">
        <w:rPr>
          <w:b/>
          <w:i/>
          <w:sz w:val="24"/>
          <w:szCs w:val="24"/>
        </w:rPr>
        <w:t xml:space="preserve">Guidance: </w:t>
      </w:r>
    </w:p>
    <w:p w14:paraId="61338ED7" w14:textId="77777777" w:rsidR="005F6CFF" w:rsidRPr="004F5FD6" w:rsidRDefault="005F6CFF" w:rsidP="004F5FD6">
      <w:pPr>
        <w:spacing w:line="360" w:lineRule="auto"/>
        <w:ind w:left="-90"/>
        <w:jc w:val="both"/>
        <w:rPr>
          <w:i/>
          <w:iCs/>
          <w:sz w:val="24"/>
          <w:szCs w:val="24"/>
        </w:rPr>
      </w:pPr>
      <w:r w:rsidRPr="004F5FD6">
        <w:rPr>
          <w:i/>
          <w:iCs/>
          <w:sz w:val="24"/>
          <w:szCs w:val="24"/>
        </w:rPr>
        <w:t xml:space="preserve">Social Care Wales require newly qualified social workers to provide evidence of their understanding of safeguarding work with adults and children. The assignment below will enable you to demonstrate this. </w:t>
      </w:r>
      <w:r w:rsidRPr="004F5FD6">
        <w:rPr>
          <w:b/>
          <w:bCs/>
          <w:i/>
          <w:iCs/>
          <w:sz w:val="24"/>
          <w:szCs w:val="24"/>
        </w:rPr>
        <w:t>N.B</w:t>
      </w:r>
      <w:r w:rsidRPr="004F5FD6">
        <w:rPr>
          <w:i/>
          <w:iCs/>
          <w:sz w:val="24"/>
          <w:szCs w:val="24"/>
        </w:rPr>
        <w:t>. if your usual area of work is with children please write about adult safeguarding. If you usually work with adults, then write about child safeguarding.  Ensure you meet the learning out comes for this task (see appendix 5 of the handbook).</w:t>
      </w:r>
    </w:p>
    <w:p w14:paraId="11FBBDE7" w14:textId="77777777" w:rsidR="005F6CFF" w:rsidRPr="004F5FD6" w:rsidRDefault="005F6CFF" w:rsidP="004F5FD6">
      <w:pPr>
        <w:spacing w:line="360" w:lineRule="auto"/>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F6CFF" w:rsidRPr="004F5FD6" w14:paraId="6AF0E27E" w14:textId="77777777">
        <w:tc>
          <w:tcPr>
            <w:tcW w:w="10188" w:type="dxa"/>
            <w:tcBorders>
              <w:top w:val="single" w:sz="4" w:space="0" w:color="auto"/>
              <w:left w:val="single" w:sz="4" w:space="0" w:color="auto"/>
              <w:bottom w:val="single" w:sz="4" w:space="0" w:color="auto"/>
              <w:right w:val="single" w:sz="4" w:space="0" w:color="auto"/>
            </w:tcBorders>
          </w:tcPr>
          <w:p w14:paraId="01B0FAB3" w14:textId="77777777" w:rsidR="005F6CFF" w:rsidRPr="004F5FD6" w:rsidRDefault="005F6CFF" w:rsidP="004F5FD6">
            <w:pPr>
              <w:spacing w:line="360" w:lineRule="auto"/>
              <w:jc w:val="both"/>
              <w:rPr>
                <w:b/>
                <w:sz w:val="24"/>
                <w:szCs w:val="24"/>
              </w:rPr>
            </w:pPr>
            <w:r w:rsidRPr="004F5FD6">
              <w:rPr>
                <w:b/>
                <w:sz w:val="24"/>
                <w:szCs w:val="24"/>
              </w:rPr>
              <w:t>Question a:</w:t>
            </w:r>
          </w:p>
          <w:p w14:paraId="7D8E45D8" w14:textId="77777777" w:rsidR="005F6CFF" w:rsidRPr="004F5FD6" w:rsidRDefault="005F6CFF" w:rsidP="004F5FD6">
            <w:pPr>
              <w:spacing w:line="360" w:lineRule="auto"/>
              <w:jc w:val="both"/>
              <w:rPr>
                <w:b/>
                <w:sz w:val="24"/>
                <w:szCs w:val="24"/>
              </w:rPr>
            </w:pPr>
            <w:r w:rsidRPr="004F5FD6">
              <w:rPr>
                <w:b/>
                <w:sz w:val="24"/>
                <w:szCs w:val="24"/>
              </w:rPr>
              <w:t xml:space="preserve">In an area that is not your main focus of work (see guidance above), explain the relevant legislation, and the national, local and organisational policies and procedures for safeguarding. </w:t>
            </w:r>
          </w:p>
          <w:p w14:paraId="561A5EBD" w14:textId="77777777" w:rsidR="005F6CFF" w:rsidRPr="004F5FD6" w:rsidRDefault="005F6CFF" w:rsidP="004F5FD6">
            <w:pPr>
              <w:spacing w:line="360" w:lineRule="auto"/>
              <w:jc w:val="both"/>
              <w:rPr>
                <w:sz w:val="24"/>
                <w:szCs w:val="24"/>
              </w:rPr>
            </w:pPr>
          </w:p>
          <w:p w14:paraId="6CAC7CF8" w14:textId="77777777" w:rsidR="00C13877" w:rsidRPr="004F5FD6" w:rsidRDefault="00C13877" w:rsidP="004F5FD6">
            <w:pPr>
              <w:spacing w:line="360" w:lineRule="auto"/>
              <w:jc w:val="both"/>
              <w:rPr>
                <w:sz w:val="24"/>
                <w:szCs w:val="24"/>
              </w:rPr>
            </w:pPr>
            <w:r w:rsidRPr="004F5FD6">
              <w:rPr>
                <w:sz w:val="24"/>
                <w:szCs w:val="24"/>
              </w:rPr>
              <w:t>Adult services is not my predominant area of work; however, I have developed an understanding of the legislation and national, local and organisational policies that are in place to protect vulnerable adults. These frameworks are in place to ensure that adults are protected from harm whilst having autonomy to make their own decisions.</w:t>
            </w:r>
          </w:p>
          <w:p w14:paraId="0BD0219C" w14:textId="77777777" w:rsidR="003865C8" w:rsidRPr="004F5FD6" w:rsidRDefault="003865C8" w:rsidP="004F5FD6">
            <w:pPr>
              <w:spacing w:line="360" w:lineRule="auto"/>
              <w:jc w:val="both"/>
              <w:rPr>
                <w:sz w:val="24"/>
                <w:szCs w:val="24"/>
              </w:rPr>
            </w:pPr>
          </w:p>
          <w:p w14:paraId="30433147" w14:textId="2AE58DC5" w:rsidR="00C13877" w:rsidRPr="004F5FD6" w:rsidRDefault="00C13877" w:rsidP="004F5FD6">
            <w:pPr>
              <w:spacing w:line="360" w:lineRule="auto"/>
              <w:jc w:val="both"/>
              <w:rPr>
                <w:sz w:val="24"/>
                <w:szCs w:val="24"/>
              </w:rPr>
            </w:pPr>
            <w:r w:rsidRPr="004F5FD6">
              <w:rPr>
                <w:sz w:val="24"/>
                <w:szCs w:val="24"/>
              </w:rPr>
              <w:t xml:space="preserve">One of the main pieces of legislation that underpins adult safeguarding in Wales is the Social Services and Well-being (Wales) Act </w:t>
            </w:r>
            <w:r w:rsidR="005F0F48">
              <w:rPr>
                <w:sz w:val="24"/>
                <w:szCs w:val="24"/>
              </w:rPr>
              <w:t>(</w:t>
            </w:r>
            <w:r w:rsidRPr="004F5FD6">
              <w:rPr>
                <w:sz w:val="24"/>
                <w:szCs w:val="24"/>
              </w:rPr>
              <w:t>2014</w:t>
            </w:r>
            <w:r w:rsidR="005F0F48">
              <w:rPr>
                <w:sz w:val="24"/>
                <w:szCs w:val="24"/>
              </w:rPr>
              <w:t>)</w:t>
            </w:r>
            <w:r w:rsidRPr="004F5FD6">
              <w:rPr>
                <w:sz w:val="24"/>
                <w:szCs w:val="24"/>
              </w:rPr>
              <w:t xml:space="preserve"> (SSWBA). The SSWBA promotes wellbeing, early intervention and partnership working between agencies and individuals in need of care and support. </w:t>
            </w:r>
          </w:p>
          <w:p w14:paraId="4635D6D1" w14:textId="77777777" w:rsidR="003865C8" w:rsidRPr="004F5FD6" w:rsidRDefault="003865C8" w:rsidP="004F5FD6">
            <w:pPr>
              <w:spacing w:line="360" w:lineRule="auto"/>
              <w:jc w:val="both"/>
              <w:rPr>
                <w:sz w:val="24"/>
                <w:szCs w:val="24"/>
              </w:rPr>
            </w:pPr>
          </w:p>
          <w:p w14:paraId="1CC63BF3" w14:textId="2013A495" w:rsidR="00C13877" w:rsidRPr="004F5FD6" w:rsidRDefault="00C13877" w:rsidP="004F5FD6">
            <w:pPr>
              <w:spacing w:line="360" w:lineRule="auto"/>
              <w:jc w:val="both"/>
              <w:rPr>
                <w:sz w:val="24"/>
                <w:szCs w:val="24"/>
              </w:rPr>
            </w:pPr>
            <w:r w:rsidRPr="004F5FD6">
              <w:rPr>
                <w:sz w:val="24"/>
                <w:szCs w:val="24"/>
              </w:rPr>
              <w:t xml:space="preserve">Section 126 of the SSWBA defines an adult at risk as a person </w:t>
            </w:r>
            <w:r w:rsidR="00BB2395">
              <w:rPr>
                <w:sz w:val="24"/>
                <w:szCs w:val="24"/>
              </w:rPr>
              <w:t xml:space="preserve">over the age of 18, </w:t>
            </w:r>
            <w:r w:rsidRPr="004F5FD6">
              <w:rPr>
                <w:sz w:val="24"/>
                <w:szCs w:val="24"/>
              </w:rPr>
              <w:t xml:space="preserve">who is experiencing, or is at risk of abuse or neglect, and has needs for care and support and is unable to protect themselves from harm due to those needs. The SSWBA outlines definitions and thresholds for abuse and neglect, including financial </w:t>
            </w:r>
            <w:r w:rsidRPr="004F5FD6">
              <w:rPr>
                <w:sz w:val="24"/>
                <w:szCs w:val="24"/>
              </w:rPr>
              <w:lastRenderedPageBreak/>
              <w:t xml:space="preserve">abuse. SSWBA places a duty on local authorities to make enquiries where there is cause to suspect that an adult is at risk. </w:t>
            </w:r>
          </w:p>
          <w:p w14:paraId="623FB5B4" w14:textId="77777777" w:rsidR="003865C8" w:rsidRPr="004F5FD6" w:rsidRDefault="003865C8" w:rsidP="004F5FD6">
            <w:pPr>
              <w:spacing w:line="360" w:lineRule="auto"/>
              <w:jc w:val="both"/>
              <w:rPr>
                <w:sz w:val="24"/>
                <w:szCs w:val="24"/>
              </w:rPr>
            </w:pPr>
          </w:p>
          <w:p w14:paraId="7BF693DE" w14:textId="0939BBCE" w:rsidR="00C13877" w:rsidRPr="004F5FD6" w:rsidRDefault="00C13877" w:rsidP="004F5FD6">
            <w:pPr>
              <w:spacing w:line="360" w:lineRule="auto"/>
              <w:jc w:val="both"/>
              <w:rPr>
                <w:sz w:val="24"/>
                <w:szCs w:val="24"/>
              </w:rPr>
            </w:pPr>
            <w:r w:rsidRPr="004F5FD6">
              <w:rPr>
                <w:sz w:val="24"/>
                <w:szCs w:val="24"/>
              </w:rPr>
              <w:t>Section 164 of the SSWBA established National and Regional Adult Safeguarding Boards, which bring agencies together to oversee safeguarding procedures</w:t>
            </w:r>
            <w:r w:rsidR="002D61A6" w:rsidRPr="004F5FD6">
              <w:rPr>
                <w:sz w:val="24"/>
                <w:szCs w:val="24"/>
              </w:rPr>
              <w:t xml:space="preserve"> and information share</w:t>
            </w:r>
            <w:r w:rsidRPr="004F5FD6">
              <w:rPr>
                <w:sz w:val="24"/>
                <w:szCs w:val="24"/>
              </w:rPr>
              <w:t xml:space="preserve"> to improve outcomes for adults at risk with continued development and improvement on services</w:t>
            </w:r>
            <w:r w:rsidR="00F5715E" w:rsidRPr="004F5FD6">
              <w:rPr>
                <w:sz w:val="24"/>
                <w:szCs w:val="24"/>
              </w:rPr>
              <w:t>.</w:t>
            </w:r>
            <w:r w:rsidRPr="004F5FD6">
              <w:rPr>
                <w:sz w:val="24"/>
                <w:szCs w:val="24"/>
              </w:rPr>
              <w:t xml:space="preserve"> (</w:t>
            </w:r>
            <w:r w:rsidR="00FF78D6">
              <w:rPr>
                <w:sz w:val="24"/>
                <w:szCs w:val="24"/>
              </w:rPr>
              <w:t>SSWB</w:t>
            </w:r>
            <w:r w:rsidR="00B21219">
              <w:rPr>
                <w:sz w:val="24"/>
                <w:szCs w:val="24"/>
              </w:rPr>
              <w:t>(W)</w:t>
            </w:r>
            <w:r w:rsidR="00FF78D6">
              <w:rPr>
                <w:sz w:val="24"/>
                <w:szCs w:val="24"/>
              </w:rPr>
              <w:t>A</w:t>
            </w:r>
            <w:r w:rsidRPr="004F5FD6">
              <w:rPr>
                <w:sz w:val="24"/>
                <w:szCs w:val="24"/>
              </w:rPr>
              <w:t>, 2014).</w:t>
            </w:r>
          </w:p>
          <w:p w14:paraId="1DD81B51" w14:textId="77777777" w:rsidR="003865C8" w:rsidRPr="004F5FD6" w:rsidRDefault="003865C8" w:rsidP="004F5FD6">
            <w:pPr>
              <w:spacing w:line="360" w:lineRule="auto"/>
              <w:jc w:val="both"/>
              <w:rPr>
                <w:sz w:val="24"/>
                <w:szCs w:val="24"/>
              </w:rPr>
            </w:pPr>
          </w:p>
          <w:p w14:paraId="3D93AD80" w14:textId="570013B9" w:rsidR="00C13877" w:rsidRPr="004F5FD6" w:rsidRDefault="00C13877" w:rsidP="004F5FD6">
            <w:pPr>
              <w:spacing w:line="360" w:lineRule="auto"/>
              <w:jc w:val="both"/>
              <w:rPr>
                <w:sz w:val="24"/>
                <w:szCs w:val="24"/>
              </w:rPr>
            </w:pPr>
            <w:r w:rsidRPr="004F5FD6">
              <w:rPr>
                <w:sz w:val="24"/>
                <w:szCs w:val="24"/>
              </w:rPr>
              <w:t>National guidance is provided through the Wales Safeguarding Procedures</w:t>
            </w:r>
            <w:r w:rsidR="00D92096">
              <w:rPr>
                <w:sz w:val="24"/>
                <w:szCs w:val="24"/>
              </w:rPr>
              <w:t xml:space="preserve"> (2019)</w:t>
            </w:r>
            <w:r w:rsidRPr="004F5FD6">
              <w:rPr>
                <w:sz w:val="24"/>
                <w:szCs w:val="24"/>
              </w:rPr>
              <w:t xml:space="preserve">, which support professionals to recognise, report and respond to abuse and neglect consistently across Wales (Wales Safeguarding Procedures, 2026). </w:t>
            </w:r>
          </w:p>
          <w:p w14:paraId="1387229C" w14:textId="77777777" w:rsidR="003865C8" w:rsidRPr="004F5FD6" w:rsidRDefault="003865C8" w:rsidP="004F5FD6">
            <w:pPr>
              <w:spacing w:line="360" w:lineRule="auto"/>
              <w:jc w:val="both"/>
              <w:rPr>
                <w:sz w:val="24"/>
                <w:szCs w:val="24"/>
              </w:rPr>
            </w:pPr>
          </w:p>
          <w:p w14:paraId="6573D918" w14:textId="78771FFE" w:rsidR="00C13877" w:rsidRPr="004F5FD6" w:rsidRDefault="00C13877" w:rsidP="004F5FD6">
            <w:pPr>
              <w:spacing w:line="360" w:lineRule="auto"/>
              <w:jc w:val="both"/>
              <w:rPr>
                <w:sz w:val="24"/>
                <w:szCs w:val="24"/>
              </w:rPr>
            </w:pPr>
            <w:r w:rsidRPr="004F5FD6">
              <w:rPr>
                <w:sz w:val="24"/>
                <w:szCs w:val="24"/>
              </w:rPr>
              <w:t>Local and organisational policies and procedures are produced in line with the SSWBA. In my local authority we have a designated team in which all safeguarding referrals are received. Assessments are undertaken to determine which action or service is appropriate to meet their needs and offer support. Th</w:t>
            </w:r>
            <w:r w:rsidR="006E7B99" w:rsidRPr="004F5FD6">
              <w:rPr>
                <w:sz w:val="24"/>
                <w:szCs w:val="24"/>
              </w:rPr>
              <w:t>is</w:t>
            </w:r>
            <w:r w:rsidRPr="004F5FD6">
              <w:rPr>
                <w:sz w:val="24"/>
                <w:szCs w:val="24"/>
              </w:rPr>
              <w:t xml:space="preserve"> allows all referrals to be actioned in appropriate time scale</w:t>
            </w:r>
            <w:r w:rsidR="00CA5925" w:rsidRPr="004F5FD6">
              <w:rPr>
                <w:sz w:val="24"/>
                <w:szCs w:val="24"/>
              </w:rPr>
              <w:t>s</w:t>
            </w:r>
            <w:r w:rsidRPr="004F5FD6">
              <w:rPr>
                <w:sz w:val="24"/>
                <w:szCs w:val="24"/>
              </w:rPr>
              <w:t xml:space="preserve"> and </w:t>
            </w:r>
            <w:r w:rsidR="00D813D9" w:rsidRPr="004F5FD6">
              <w:rPr>
                <w:sz w:val="24"/>
                <w:szCs w:val="24"/>
              </w:rPr>
              <w:t>allows them to</w:t>
            </w:r>
            <w:r w:rsidRPr="004F5FD6">
              <w:rPr>
                <w:sz w:val="24"/>
                <w:szCs w:val="24"/>
              </w:rPr>
              <w:t xml:space="preserve"> be directed to appropriate services to ensure their needs are met promptly. </w:t>
            </w:r>
          </w:p>
          <w:p w14:paraId="493F9AA4" w14:textId="77777777" w:rsidR="003865C8" w:rsidRPr="004F5FD6" w:rsidRDefault="003865C8" w:rsidP="004F5FD6">
            <w:pPr>
              <w:spacing w:line="360" w:lineRule="auto"/>
              <w:jc w:val="both"/>
              <w:rPr>
                <w:sz w:val="24"/>
                <w:szCs w:val="24"/>
              </w:rPr>
            </w:pPr>
          </w:p>
          <w:p w14:paraId="285C6681" w14:textId="6036CA35" w:rsidR="00C13877" w:rsidRPr="004F5FD6" w:rsidRDefault="00C13877" w:rsidP="004F5FD6">
            <w:pPr>
              <w:spacing w:line="360" w:lineRule="auto"/>
              <w:jc w:val="both"/>
              <w:rPr>
                <w:sz w:val="24"/>
                <w:szCs w:val="24"/>
              </w:rPr>
            </w:pPr>
            <w:r w:rsidRPr="004F5FD6">
              <w:rPr>
                <w:sz w:val="24"/>
                <w:szCs w:val="24"/>
              </w:rPr>
              <w:t>Alongside the SSWBA there are more defined legislations in place. The Human Rights Act (1998) is important in safeguarding practice as it protects the rights and freedoms of individuals and ensures that interventions respect a person's rights whilst maintaining as much independence and choice as possible. The Mental Capacity Act (2005) provides a legal framework for supporting adults who may be unable to make certain decisions for themselves. Where someone lacks capacity, decisions are made in their best interest and should be the least restrictive option (Brammer, 2006). Deprivation of Liberty Safeguards (</w:t>
            </w:r>
            <w:proofErr w:type="spellStart"/>
            <w:r w:rsidRPr="004F5FD6">
              <w:rPr>
                <w:sz w:val="24"/>
                <w:szCs w:val="24"/>
              </w:rPr>
              <w:t>DoLS</w:t>
            </w:r>
            <w:proofErr w:type="spellEnd"/>
            <w:r w:rsidRPr="004F5FD6">
              <w:rPr>
                <w:sz w:val="24"/>
                <w:szCs w:val="24"/>
              </w:rPr>
              <w:t xml:space="preserve">) provides protection for adults who lack capacity and require restrictions for their own safety. The Mental Health Act (1983) provides legal framework for assessment and treatment for individuals experiencing mental health needs and allows professionals to make decisions against those in need of care and support if they pose a risk to themselves or others. In addition, the Equality Act (2010) protects individuals from discrimination and ensures that safeguarding services are accessible and fair for everyone. </w:t>
            </w:r>
          </w:p>
          <w:p w14:paraId="63434084" w14:textId="77777777" w:rsidR="003865C8" w:rsidRPr="004F5FD6" w:rsidRDefault="003865C8" w:rsidP="004F5FD6">
            <w:pPr>
              <w:spacing w:line="360" w:lineRule="auto"/>
              <w:jc w:val="both"/>
              <w:rPr>
                <w:sz w:val="24"/>
                <w:szCs w:val="24"/>
              </w:rPr>
            </w:pPr>
          </w:p>
          <w:p w14:paraId="195ADCAB" w14:textId="7C78707C" w:rsidR="005F6CFF" w:rsidRPr="004F5FD6" w:rsidRDefault="00C13877" w:rsidP="004F5FD6">
            <w:pPr>
              <w:spacing w:line="360" w:lineRule="auto"/>
              <w:jc w:val="both"/>
              <w:rPr>
                <w:sz w:val="24"/>
                <w:szCs w:val="24"/>
              </w:rPr>
            </w:pPr>
            <w:r w:rsidRPr="004F5FD6">
              <w:rPr>
                <w:sz w:val="24"/>
                <w:szCs w:val="24"/>
              </w:rPr>
              <w:t>The Active Offer, outlined within the Welsh Government's More Than Just Words</w:t>
            </w:r>
            <w:r w:rsidR="00884CB9">
              <w:rPr>
                <w:sz w:val="24"/>
                <w:szCs w:val="24"/>
              </w:rPr>
              <w:t xml:space="preserve"> (</w:t>
            </w:r>
            <w:r w:rsidR="00342928">
              <w:rPr>
                <w:sz w:val="24"/>
                <w:szCs w:val="24"/>
              </w:rPr>
              <w:t>2022)</w:t>
            </w:r>
            <w:r w:rsidRPr="004F5FD6">
              <w:rPr>
                <w:sz w:val="24"/>
                <w:szCs w:val="24"/>
              </w:rPr>
              <w:t xml:space="preserve"> framework, supports safeguarding by ensuring that individuals can access services through the medium of Welsh, promoting inclusion and effective communication (Welsh Government, 2015). This allows concerns to be explored for individuals in depth and in their desired language leading to better outcomes (Hefin Gwilym and Williams, 2021).</w:t>
            </w:r>
          </w:p>
          <w:p w14:paraId="4A9D3150" w14:textId="77777777" w:rsidR="005F6CFF" w:rsidRPr="004F5FD6" w:rsidRDefault="005F6CFF" w:rsidP="004F5FD6">
            <w:pPr>
              <w:spacing w:line="360" w:lineRule="auto"/>
              <w:jc w:val="both"/>
              <w:rPr>
                <w:sz w:val="24"/>
                <w:szCs w:val="24"/>
              </w:rPr>
            </w:pPr>
          </w:p>
          <w:p w14:paraId="0B79A0AF" w14:textId="626143EA" w:rsidR="005F6CFF" w:rsidRPr="004F5FD6" w:rsidRDefault="00C270BC" w:rsidP="004F5FD6">
            <w:pPr>
              <w:spacing w:line="360" w:lineRule="auto"/>
              <w:jc w:val="both"/>
              <w:rPr>
                <w:sz w:val="24"/>
                <w:szCs w:val="24"/>
              </w:rPr>
            </w:pPr>
            <w:r w:rsidRPr="004F5FD6">
              <w:rPr>
                <w:sz w:val="24"/>
                <w:szCs w:val="24"/>
              </w:rPr>
              <w:t>(54</w:t>
            </w:r>
            <w:r w:rsidR="003E70CD">
              <w:rPr>
                <w:sz w:val="24"/>
                <w:szCs w:val="24"/>
              </w:rPr>
              <w:t>9</w:t>
            </w:r>
            <w:r w:rsidRPr="004F5FD6">
              <w:rPr>
                <w:sz w:val="24"/>
                <w:szCs w:val="24"/>
              </w:rPr>
              <w:t xml:space="preserve"> </w:t>
            </w:r>
            <w:r w:rsidR="003865C8" w:rsidRPr="004F5FD6">
              <w:rPr>
                <w:sz w:val="24"/>
                <w:szCs w:val="24"/>
              </w:rPr>
              <w:t>words)</w:t>
            </w:r>
          </w:p>
          <w:p w14:paraId="54160C26" w14:textId="77777777" w:rsidR="005F6CFF" w:rsidRPr="004F5FD6" w:rsidRDefault="005F6CFF" w:rsidP="004F5FD6">
            <w:pPr>
              <w:spacing w:line="360" w:lineRule="auto"/>
              <w:jc w:val="both"/>
              <w:rPr>
                <w:sz w:val="24"/>
                <w:szCs w:val="24"/>
              </w:rPr>
            </w:pPr>
          </w:p>
          <w:p w14:paraId="6CDCFEF2" w14:textId="77777777" w:rsidR="005F6CFF" w:rsidRPr="004F5FD6" w:rsidRDefault="005F6CFF" w:rsidP="004F5FD6">
            <w:pPr>
              <w:spacing w:line="360" w:lineRule="auto"/>
              <w:jc w:val="both"/>
              <w:rPr>
                <w:b/>
                <w:bCs/>
                <w:sz w:val="24"/>
                <w:szCs w:val="24"/>
              </w:rPr>
            </w:pPr>
            <w:r w:rsidRPr="004F5FD6">
              <w:rPr>
                <w:b/>
                <w:bCs/>
                <w:i/>
                <w:sz w:val="24"/>
                <w:szCs w:val="24"/>
              </w:rPr>
              <w:t>500 words</w:t>
            </w:r>
            <w:r w:rsidRPr="004F5FD6">
              <w:rPr>
                <w:b/>
                <w:bCs/>
                <w:sz w:val="24"/>
                <w:szCs w:val="24"/>
              </w:rPr>
              <w:t xml:space="preserve"> (+/- 10%: include your actual word count at the end of each section).</w:t>
            </w:r>
          </w:p>
          <w:p w14:paraId="752D6E64" w14:textId="77777777" w:rsidR="005F6CFF" w:rsidRPr="004F5FD6" w:rsidRDefault="005F6CFF" w:rsidP="004F5FD6">
            <w:pPr>
              <w:spacing w:line="360" w:lineRule="auto"/>
              <w:jc w:val="both"/>
              <w:rPr>
                <w:b/>
                <w:sz w:val="24"/>
                <w:szCs w:val="24"/>
              </w:rPr>
            </w:pPr>
          </w:p>
        </w:tc>
      </w:tr>
    </w:tbl>
    <w:p w14:paraId="362DF8D4" w14:textId="77777777" w:rsidR="005F6CFF" w:rsidRPr="004F5FD6" w:rsidRDefault="005F6CFF" w:rsidP="004F5FD6">
      <w:pPr>
        <w:spacing w:line="360" w:lineRule="auto"/>
        <w:jc w:val="both"/>
        <w:rPr>
          <w:sz w:val="24"/>
          <w:szCs w:val="24"/>
        </w:rPr>
      </w:pPr>
    </w:p>
    <w:p w14:paraId="1CAFBD00" w14:textId="77777777" w:rsidR="005F6CFF" w:rsidRPr="004F5FD6" w:rsidRDefault="005F6CFF" w:rsidP="004F5FD6">
      <w:pPr>
        <w:spacing w:line="360" w:lineRule="auto"/>
        <w:jc w:val="both"/>
        <w:rPr>
          <w:sz w:val="24"/>
          <w:szCs w:val="24"/>
        </w:rPr>
      </w:pPr>
    </w:p>
    <w:p w14:paraId="1CF276A1" w14:textId="77777777" w:rsidR="005F6CFF" w:rsidRPr="004F5FD6" w:rsidRDefault="005F6CFF" w:rsidP="004F5FD6">
      <w:pPr>
        <w:spacing w:line="360" w:lineRule="auto"/>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F6CFF" w:rsidRPr="004F5FD6" w14:paraId="0E3F856D" w14:textId="77777777">
        <w:tc>
          <w:tcPr>
            <w:tcW w:w="10278" w:type="dxa"/>
            <w:tcBorders>
              <w:top w:val="single" w:sz="4" w:space="0" w:color="auto"/>
              <w:left w:val="single" w:sz="4" w:space="0" w:color="auto"/>
              <w:bottom w:val="single" w:sz="4" w:space="0" w:color="auto"/>
              <w:right w:val="single" w:sz="4" w:space="0" w:color="auto"/>
            </w:tcBorders>
          </w:tcPr>
          <w:p w14:paraId="1CBDB8DC" w14:textId="77777777" w:rsidR="005F6CFF" w:rsidRPr="004F5FD6" w:rsidRDefault="005F6CFF" w:rsidP="004F5FD6">
            <w:pPr>
              <w:spacing w:line="360" w:lineRule="auto"/>
              <w:jc w:val="both"/>
              <w:rPr>
                <w:b/>
                <w:sz w:val="24"/>
                <w:szCs w:val="24"/>
              </w:rPr>
            </w:pPr>
            <w:r w:rsidRPr="004F5FD6">
              <w:rPr>
                <w:b/>
                <w:sz w:val="24"/>
                <w:szCs w:val="24"/>
              </w:rPr>
              <w:t>Question b:</w:t>
            </w:r>
          </w:p>
          <w:p w14:paraId="35699681" w14:textId="77777777" w:rsidR="005F6CFF" w:rsidRPr="004F5FD6" w:rsidRDefault="005F6CFF" w:rsidP="004F5FD6">
            <w:pPr>
              <w:spacing w:line="360" w:lineRule="auto"/>
              <w:jc w:val="both"/>
              <w:rPr>
                <w:b/>
                <w:bCs/>
                <w:sz w:val="24"/>
                <w:szCs w:val="24"/>
              </w:rPr>
            </w:pPr>
            <w:r w:rsidRPr="004F5FD6">
              <w:rPr>
                <w:b/>
                <w:bCs/>
                <w:sz w:val="24"/>
                <w:szCs w:val="24"/>
              </w:rPr>
              <w:t>Reflect on the difference between safeguarding in adults’ and children’s work</w:t>
            </w:r>
          </w:p>
          <w:p w14:paraId="2EBFB0C0" w14:textId="77777777" w:rsidR="005F6CFF" w:rsidRPr="004F5FD6" w:rsidRDefault="005F6CFF" w:rsidP="004F5FD6">
            <w:pPr>
              <w:spacing w:line="360" w:lineRule="auto"/>
              <w:jc w:val="both"/>
              <w:rPr>
                <w:sz w:val="24"/>
                <w:szCs w:val="24"/>
              </w:rPr>
            </w:pPr>
          </w:p>
          <w:p w14:paraId="0EBFC3A0" w14:textId="77777777" w:rsidR="001540F2" w:rsidRPr="004F5FD6" w:rsidRDefault="001540F2" w:rsidP="004F5FD6">
            <w:pPr>
              <w:spacing w:line="360" w:lineRule="auto"/>
              <w:jc w:val="both"/>
              <w:rPr>
                <w:sz w:val="24"/>
                <w:szCs w:val="24"/>
              </w:rPr>
            </w:pPr>
            <w:r w:rsidRPr="004F5FD6">
              <w:rPr>
                <w:sz w:val="24"/>
                <w:szCs w:val="24"/>
              </w:rPr>
              <w:t xml:space="preserve">Safeguarding in adult and children’s services are approached differently with the main significant difference being adults have the right to refuse care and support if they are deemed as having capacity (Wate, 2015). </w:t>
            </w:r>
          </w:p>
          <w:p w14:paraId="194FB048" w14:textId="77777777" w:rsidR="009F7A12" w:rsidRPr="004F5FD6" w:rsidRDefault="009F7A12" w:rsidP="004F5FD6">
            <w:pPr>
              <w:spacing w:line="360" w:lineRule="auto"/>
              <w:jc w:val="both"/>
              <w:rPr>
                <w:sz w:val="24"/>
                <w:szCs w:val="24"/>
              </w:rPr>
            </w:pPr>
          </w:p>
          <w:p w14:paraId="6DC07E74" w14:textId="77777777" w:rsidR="001540F2" w:rsidRPr="004F5FD6" w:rsidRDefault="001540F2" w:rsidP="004F5FD6">
            <w:pPr>
              <w:spacing w:line="360" w:lineRule="auto"/>
              <w:jc w:val="both"/>
              <w:rPr>
                <w:sz w:val="24"/>
                <w:szCs w:val="24"/>
              </w:rPr>
            </w:pPr>
            <w:r w:rsidRPr="004F5FD6">
              <w:rPr>
                <w:sz w:val="24"/>
                <w:szCs w:val="24"/>
              </w:rPr>
              <w:t xml:space="preserve">Adult safeguarding is guided by the principles of empowerment and individual choice. The SSWBA places emphasis on voice and control, ensuring that adults are involved in decisions about their own lives wherever possible. Part 7 of the SSWBA highlights that an application needs to be made to court should professionals have concerns for an adult which gives more power and robust opportunities to intervene (Welsh Government, 2024). The Mental Health Act (1983) and the Mental Capacity Act (2005) also play a vital role in professionals being able to step in to assist even if the individual refuses care and support. The Human Right Act (1998) needs to be considered as individuals have a right to make unwise decisions if they have capacity and that needs to be respected. It further reinforces the importance of </w:t>
            </w:r>
            <w:r w:rsidRPr="004F5FD6">
              <w:rPr>
                <w:sz w:val="24"/>
                <w:szCs w:val="24"/>
              </w:rPr>
              <w:lastRenderedPageBreak/>
              <w:t>ensuring that any safeguarding intervention is lawful and necessary, balancing protection with individual freedoms (Livingston, Redcliffe and Aziz, 2023).</w:t>
            </w:r>
          </w:p>
          <w:p w14:paraId="749447D2" w14:textId="77777777" w:rsidR="009F7A12" w:rsidRPr="004F5FD6" w:rsidRDefault="009F7A12" w:rsidP="004F5FD6">
            <w:pPr>
              <w:spacing w:line="360" w:lineRule="auto"/>
              <w:jc w:val="both"/>
              <w:rPr>
                <w:sz w:val="24"/>
                <w:szCs w:val="24"/>
              </w:rPr>
            </w:pPr>
          </w:p>
          <w:p w14:paraId="0CC0243A" w14:textId="732F5BD7" w:rsidR="001540F2" w:rsidRPr="004F5FD6" w:rsidRDefault="001540F2" w:rsidP="004F5FD6">
            <w:pPr>
              <w:spacing w:line="360" w:lineRule="auto"/>
              <w:jc w:val="both"/>
              <w:rPr>
                <w:sz w:val="24"/>
                <w:szCs w:val="24"/>
              </w:rPr>
            </w:pPr>
            <w:r w:rsidRPr="004F5FD6">
              <w:rPr>
                <w:sz w:val="24"/>
                <w:szCs w:val="24"/>
              </w:rPr>
              <w:t>Childrens safeguarding is highly influenced by the Children’s Act (1989), children are considered vulnerable and dependant on adults. Professionals have a duty to intervene where a child is considered to be subject to abuse or neglect and there are clear guidelines for all professionals to follow and adhere to (Cleaver, 2009). The SSWBA</w:t>
            </w:r>
            <w:r w:rsidR="00FA187D">
              <w:rPr>
                <w:sz w:val="24"/>
                <w:szCs w:val="24"/>
              </w:rPr>
              <w:t xml:space="preserve"> (2014)</w:t>
            </w:r>
            <w:r w:rsidRPr="004F5FD6">
              <w:rPr>
                <w:sz w:val="24"/>
                <w:szCs w:val="24"/>
              </w:rPr>
              <w:t>, Wales Safeguarding Procedures (20</w:t>
            </w:r>
            <w:r w:rsidR="0068436B">
              <w:rPr>
                <w:sz w:val="24"/>
                <w:szCs w:val="24"/>
              </w:rPr>
              <w:t>19</w:t>
            </w:r>
            <w:r w:rsidRPr="004F5FD6">
              <w:rPr>
                <w:sz w:val="24"/>
                <w:szCs w:val="24"/>
              </w:rPr>
              <w:t>) and The United Nations Convention on the Rights of the Child (1989) all give clear outlines to ensure that children are protected from harm, abuse and neglect regardless of who has parental responsibly of a child. There are more procedures in place for professionals to be able to apply to court for a child to be removed immediately from unsafe environments (Alexandra Conroy Harris et al., 2021).</w:t>
            </w:r>
            <w:r w:rsidR="00FF0FAB" w:rsidRPr="004F5FD6">
              <w:rPr>
                <w:sz w:val="24"/>
                <w:szCs w:val="24"/>
              </w:rPr>
              <w:t xml:space="preserve"> </w:t>
            </w:r>
            <w:r w:rsidR="00C65CBE" w:rsidRPr="004F5FD6">
              <w:rPr>
                <w:sz w:val="24"/>
                <w:szCs w:val="24"/>
              </w:rPr>
              <w:t>Gillick competence</w:t>
            </w:r>
            <w:r w:rsidR="001A5904" w:rsidRPr="004F5FD6">
              <w:rPr>
                <w:sz w:val="24"/>
                <w:szCs w:val="24"/>
              </w:rPr>
              <w:t xml:space="preserve"> framework</w:t>
            </w:r>
            <w:r w:rsidR="00C65CBE" w:rsidRPr="004F5FD6">
              <w:rPr>
                <w:sz w:val="24"/>
                <w:szCs w:val="24"/>
              </w:rPr>
              <w:t xml:space="preserve"> can be considered for </w:t>
            </w:r>
            <w:r w:rsidR="00A343BD" w:rsidRPr="004F5FD6">
              <w:rPr>
                <w:sz w:val="24"/>
                <w:szCs w:val="24"/>
              </w:rPr>
              <w:t>adolescents</w:t>
            </w:r>
            <w:r w:rsidR="00C65CBE" w:rsidRPr="004F5FD6">
              <w:rPr>
                <w:sz w:val="24"/>
                <w:szCs w:val="24"/>
              </w:rPr>
              <w:t xml:space="preserve"> which assesses their competency to </w:t>
            </w:r>
            <w:r w:rsidR="00A343BD" w:rsidRPr="004F5FD6">
              <w:rPr>
                <w:sz w:val="24"/>
                <w:szCs w:val="24"/>
              </w:rPr>
              <w:t xml:space="preserve">make decisions for themselves </w:t>
            </w:r>
            <w:r w:rsidR="00981C7B" w:rsidRPr="004F5FD6">
              <w:rPr>
                <w:sz w:val="24"/>
                <w:szCs w:val="24"/>
              </w:rPr>
              <w:t>and involving them in complex situations</w:t>
            </w:r>
            <w:r w:rsidR="009D2C8D" w:rsidRPr="004F5FD6">
              <w:rPr>
                <w:sz w:val="24"/>
                <w:szCs w:val="24"/>
              </w:rPr>
              <w:t>, however these decisions can be</w:t>
            </w:r>
            <w:r w:rsidR="005D6A96" w:rsidRPr="004F5FD6">
              <w:rPr>
                <w:sz w:val="24"/>
                <w:szCs w:val="24"/>
              </w:rPr>
              <w:t xml:space="preserve"> </w:t>
            </w:r>
            <w:r w:rsidR="00D976DD">
              <w:rPr>
                <w:sz w:val="24"/>
                <w:szCs w:val="24"/>
              </w:rPr>
              <w:t>overturned</w:t>
            </w:r>
            <w:r w:rsidR="005D6A96" w:rsidRPr="004F5FD6">
              <w:rPr>
                <w:sz w:val="24"/>
                <w:szCs w:val="24"/>
              </w:rPr>
              <w:t xml:space="preserve"> </w:t>
            </w:r>
            <w:r w:rsidR="009D2C8D" w:rsidRPr="004F5FD6">
              <w:rPr>
                <w:sz w:val="24"/>
                <w:szCs w:val="24"/>
              </w:rPr>
              <w:t xml:space="preserve">if </w:t>
            </w:r>
            <w:r w:rsidR="005D6A96" w:rsidRPr="004F5FD6">
              <w:rPr>
                <w:sz w:val="24"/>
                <w:szCs w:val="24"/>
              </w:rPr>
              <w:t>a child is</w:t>
            </w:r>
            <w:r w:rsidR="009D2C8D" w:rsidRPr="004F5FD6">
              <w:rPr>
                <w:sz w:val="24"/>
                <w:szCs w:val="24"/>
              </w:rPr>
              <w:t xml:space="preserve"> still deemed to be unsafe </w:t>
            </w:r>
            <w:r w:rsidR="005D6A96" w:rsidRPr="004F5FD6">
              <w:rPr>
                <w:sz w:val="24"/>
                <w:szCs w:val="24"/>
              </w:rPr>
              <w:t>(Bart, Hall and Gillam, 2023).</w:t>
            </w:r>
          </w:p>
          <w:p w14:paraId="7CBDC7E8" w14:textId="77777777" w:rsidR="009F7A12" w:rsidRPr="004F5FD6" w:rsidRDefault="009F7A12" w:rsidP="004F5FD6">
            <w:pPr>
              <w:spacing w:line="360" w:lineRule="auto"/>
              <w:jc w:val="both"/>
              <w:rPr>
                <w:sz w:val="24"/>
                <w:szCs w:val="24"/>
              </w:rPr>
            </w:pPr>
          </w:p>
          <w:p w14:paraId="0AEC8015" w14:textId="423A70C1" w:rsidR="005F6CFF" w:rsidRPr="004F5FD6" w:rsidRDefault="001540F2" w:rsidP="004F5FD6">
            <w:pPr>
              <w:spacing w:line="360" w:lineRule="auto"/>
              <w:jc w:val="both"/>
              <w:rPr>
                <w:sz w:val="24"/>
                <w:szCs w:val="24"/>
              </w:rPr>
            </w:pPr>
            <w:r w:rsidRPr="004F5FD6">
              <w:rPr>
                <w:sz w:val="24"/>
                <w:szCs w:val="24"/>
              </w:rPr>
              <w:t>In conclusion, whilst adult and children safeguarding services share the same objective of protecting individuals from harm, the approaches differ significantly. Should an adult be deemed as having capacity and refuse care and support, it can be more difficult to intervene. Legislation and procedures in place within children’s safeguarding enable professionals to intervene if a child is at risk regardless of consent be given.</w:t>
            </w:r>
          </w:p>
          <w:p w14:paraId="2DFA604D" w14:textId="77777777" w:rsidR="005F6CFF" w:rsidRPr="004F5FD6" w:rsidRDefault="005F6CFF" w:rsidP="004F5FD6">
            <w:pPr>
              <w:spacing w:line="360" w:lineRule="auto"/>
              <w:jc w:val="both"/>
              <w:rPr>
                <w:sz w:val="24"/>
                <w:szCs w:val="24"/>
              </w:rPr>
            </w:pPr>
          </w:p>
          <w:p w14:paraId="0BC70AEB" w14:textId="25C66C6E" w:rsidR="005F6CFF" w:rsidRPr="004F5FD6" w:rsidRDefault="009F7A12" w:rsidP="004F5FD6">
            <w:pPr>
              <w:spacing w:line="360" w:lineRule="auto"/>
              <w:jc w:val="both"/>
              <w:rPr>
                <w:sz w:val="24"/>
                <w:szCs w:val="24"/>
              </w:rPr>
            </w:pPr>
            <w:r w:rsidRPr="004F5FD6">
              <w:rPr>
                <w:sz w:val="24"/>
                <w:szCs w:val="24"/>
              </w:rPr>
              <w:t>(</w:t>
            </w:r>
            <w:r w:rsidR="00581C03" w:rsidRPr="004F5FD6">
              <w:rPr>
                <w:sz w:val="24"/>
                <w:szCs w:val="24"/>
              </w:rPr>
              <w:t>418</w:t>
            </w:r>
            <w:r w:rsidRPr="004F5FD6">
              <w:rPr>
                <w:sz w:val="24"/>
                <w:szCs w:val="24"/>
              </w:rPr>
              <w:t xml:space="preserve"> words)</w:t>
            </w:r>
          </w:p>
          <w:p w14:paraId="6DFA819B" w14:textId="77777777" w:rsidR="005F6CFF" w:rsidRPr="004F5FD6" w:rsidRDefault="005F6CFF" w:rsidP="004F5FD6">
            <w:pPr>
              <w:spacing w:line="360" w:lineRule="auto"/>
              <w:jc w:val="both"/>
              <w:rPr>
                <w:sz w:val="24"/>
                <w:szCs w:val="24"/>
              </w:rPr>
            </w:pPr>
          </w:p>
          <w:p w14:paraId="3E4B05E7" w14:textId="77777777" w:rsidR="005F6CFF" w:rsidRPr="004F5FD6" w:rsidRDefault="005F6CFF" w:rsidP="004F5FD6">
            <w:pPr>
              <w:spacing w:line="360" w:lineRule="auto"/>
              <w:jc w:val="both"/>
              <w:rPr>
                <w:b/>
                <w:bCs/>
                <w:i/>
                <w:sz w:val="24"/>
                <w:szCs w:val="24"/>
              </w:rPr>
            </w:pPr>
            <w:r w:rsidRPr="004F5FD6">
              <w:rPr>
                <w:b/>
                <w:bCs/>
                <w:i/>
                <w:sz w:val="24"/>
                <w:szCs w:val="24"/>
              </w:rPr>
              <w:t>400 words</w:t>
            </w:r>
            <w:r w:rsidRPr="004F5FD6">
              <w:rPr>
                <w:b/>
                <w:bCs/>
                <w:sz w:val="24"/>
                <w:szCs w:val="24"/>
              </w:rPr>
              <w:t xml:space="preserve"> </w:t>
            </w:r>
            <w:r w:rsidRPr="004F5FD6">
              <w:rPr>
                <w:b/>
                <w:bCs/>
                <w:i/>
                <w:sz w:val="24"/>
                <w:szCs w:val="24"/>
              </w:rPr>
              <w:t>(+/- 10%: include your actual word count at the end of each section).</w:t>
            </w:r>
          </w:p>
          <w:p w14:paraId="5F2E4CA7" w14:textId="77777777" w:rsidR="005F6CFF" w:rsidRPr="004F5FD6" w:rsidRDefault="005F6CFF" w:rsidP="004F5FD6">
            <w:pPr>
              <w:spacing w:line="360" w:lineRule="auto"/>
              <w:jc w:val="both"/>
              <w:rPr>
                <w:sz w:val="24"/>
                <w:szCs w:val="24"/>
              </w:rPr>
            </w:pPr>
          </w:p>
        </w:tc>
      </w:tr>
    </w:tbl>
    <w:p w14:paraId="35EE6982" w14:textId="77777777" w:rsidR="005F6CFF" w:rsidRPr="004F5FD6" w:rsidRDefault="005F6CFF" w:rsidP="004F5FD6">
      <w:pPr>
        <w:spacing w:line="360" w:lineRule="auto"/>
        <w:rPr>
          <w:sz w:val="24"/>
          <w:szCs w:val="24"/>
        </w:rPr>
      </w:pPr>
    </w:p>
    <w:p w14:paraId="27C00F99" w14:textId="77777777" w:rsidR="005F6CFF" w:rsidRPr="004F5FD6" w:rsidRDefault="005F6CFF" w:rsidP="004F5FD6">
      <w:pPr>
        <w:spacing w:line="360" w:lineRule="auto"/>
        <w:rPr>
          <w:sz w:val="24"/>
          <w:szCs w:val="24"/>
        </w:rPr>
      </w:pPr>
    </w:p>
    <w:sectPr w:rsidR="005F6CFF" w:rsidRPr="004F5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CFF"/>
    <w:rsid w:val="00067219"/>
    <w:rsid w:val="000C622D"/>
    <w:rsid w:val="001540F2"/>
    <w:rsid w:val="001A5904"/>
    <w:rsid w:val="002D61A6"/>
    <w:rsid w:val="00335A96"/>
    <w:rsid w:val="00342928"/>
    <w:rsid w:val="003865C8"/>
    <w:rsid w:val="003E70CD"/>
    <w:rsid w:val="004F5FD6"/>
    <w:rsid w:val="00581C03"/>
    <w:rsid w:val="005D6A96"/>
    <w:rsid w:val="005F0F48"/>
    <w:rsid w:val="005F6CFF"/>
    <w:rsid w:val="0068436B"/>
    <w:rsid w:val="006E2A67"/>
    <w:rsid w:val="006E7B99"/>
    <w:rsid w:val="00743522"/>
    <w:rsid w:val="00884CB9"/>
    <w:rsid w:val="00981C7B"/>
    <w:rsid w:val="009D2C8D"/>
    <w:rsid w:val="009F7A12"/>
    <w:rsid w:val="00A343BD"/>
    <w:rsid w:val="00B16268"/>
    <w:rsid w:val="00B21219"/>
    <w:rsid w:val="00BB2395"/>
    <w:rsid w:val="00C13877"/>
    <w:rsid w:val="00C270BC"/>
    <w:rsid w:val="00C42D31"/>
    <w:rsid w:val="00C65CBE"/>
    <w:rsid w:val="00CA5925"/>
    <w:rsid w:val="00D609EA"/>
    <w:rsid w:val="00D813D9"/>
    <w:rsid w:val="00D92096"/>
    <w:rsid w:val="00D976DD"/>
    <w:rsid w:val="00F5715E"/>
    <w:rsid w:val="00FA187D"/>
    <w:rsid w:val="00FF0FAB"/>
    <w:rsid w:val="00FF7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CEB79"/>
  <w15:chartTrackingRefBased/>
  <w15:docId w15:val="{03980E16-0572-43C0-8FBF-D016A25E0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CFF"/>
    <w:pPr>
      <w:overflowPunct w:val="0"/>
      <w:autoSpaceDE w:val="0"/>
      <w:autoSpaceDN w:val="0"/>
      <w:adjustRightInd w:val="0"/>
      <w:spacing w:after="0" w:line="240" w:lineRule="auto"/>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5F6CFF"/>
    <w:pPr>
      <w:keepNext/>
      <w:keepLines/>
      <w:overflowPunct/>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F6CFF"/>
    <w:pPr>
      <w:keepNext/>
      <w:keepLines/>
      <w:overflowPunct/>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F6CFF"/>
    <w:pPr>
      <w:keepNext/>
      <w:keepLines/>
      <w:overflowPunct/>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F6CFF"/>
    <w:pPr>
      <w:keepNext/>
      <w:keepLines/>
      <w:overflowPunct/>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5F6CFF"/>
    <w:pPr>
      <w:keepNext/>
      <w:keepLines/>
      <w:overflowPunct/>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5F6CFF"/>
    <w:pPr>
      <w:keepNext/>
      <w:keepLines/>
      <w:overflowPunct/>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5F6CFF"/>
    <w:pPr>
      <w:keepNext/>
      <w:keepLines/>
      <w:overflowPunct/>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5F6CFF"/>
    <w:pPr>
      <w:keepNext/>
      <w:keepLines/>
      <w:overflowPunct/>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5F6CFF"/>
    <w:pPr>
      <w:keepNext/>
      <w:keepLines/>
      <w:overflowPunct/>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C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6C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C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C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C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C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C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C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CFF"/>
    <w:rPr>
      <w:rFonts w:eastAsiaTheme="majorEastAsia" w:cstheme="majorBidi"/>
      <w:color w:val="272727" w:themeColor="text1" w:themeTint="D8"/>
    </w:rPr>
  </w:style>
  <w:style w:type="paragraph" w:styleId="Title">
    <w:name w:val="Title"/>
    <w:basedOn w:val="Normal"/>
    <w:next w:val="Normal"/>
    <w:link w:val="TitleChar"/>
    <w:uiPriority w:val="10"/>
    <w:qFormat/>
    <w:rsid w:val="005F6CFF"/>
    <w:pPr>
      <w:overflowPunct/>
      <w:autoSpaceDE/>
      <w:autoSpaceDN/>
      <w:adjustRightInd/>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F6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CFF"/>
    <w:pPr>
      <w:numPr>
        <w:ilvl w:val="1"/>
      </w:numPr>
      <w:overflowPunct/>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F6C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CFF"/>
    <w:pPr>
      <w:overflowPunct/>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5F6CFF"/>
    <w:rPr>
      <w:i/>
      <w:iCs/>
      <w:color w:val="404040" w:themeColor="text1" w:themeTint="BF"/>
    </w:rPr>
  </w:style>
  <w:style w:type="paragraph" w:styleId="ListParagraph">
    <w:name w:val="List Paragraph"/>
    <w:basedOn w:val="Normal"/>
    <w:uiPriority w:val="34"/>
    <w:qFormat/>
    <w:rsid w:val="005F6CFF"/>
    <w:pPr>
      <w:overflowPunct/>
      <w:autoSpaceDE/>
      <w:autoSpaceDN/>
      <w:adjustRightInd/>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5F6CFF"/>
    <w:rPr>
      <w:i/>
      <w:iCs/>
      <w:color w:val="0F4761" w:themeColor="accent1" w:themeShade="BF"/>
    </w:rPr>
  </w:style>
  <w:style w:type="paragraph" w:styleId="IntenseQuote">
    <w:name w:val="Intense Quote"/>
    <w:basedOn w:val="Normal"/>
    <w:next w:val="Normal"/>
    <w:link w:val="IntenseQuoteChar"/>
    <w:uiPriority w:val="30"/>
    <w:qFormat/>
    <w:rsid w:val="005F6CFF"/>
    <w:pPr>
      <w:pBdr>
        <w:top w:val="single" w:sz="4" w:space="10" w:color="0F4761" w:themeColor="accent1" w:themeShade="BF"/>
        <w:bottom w:val="single" w:sz="4" w:space="10" w:color="0F4761" w:themeColor="accent1" w:themeShade="BF"/>
      </w:pBdr>
      <w:overflowPunct/>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5F6CFF"/>
    <w:rPr>
      <w:i/>
      <w:iCs/>
      <w:color w:val="0F4761" w:themeColor="accent1" w:themeShade="BF"/>
    </w:rPr>
  </w:style>
  <w:style w:type="character" w:styleId="IntenseReference">
    <w:name w:val="Intense Reference"/>
    <w:basedOn w:val="DefaultParagraphFont"/>
    <w:uiPriority w:val="32"/>
    <w:qFormat/>
    <w:rsid w:val="005F6CFF"/>
    <w:rPr>
      <w:b/>
      <w:bCs/>
      <w:smallCaps/>
      <w:color w:val="0F4761" w:themeColor="accent1" w:themeShade="BF"/>
      <w:spacing w:val="5"/>
    </w:rPr>
  </w:style>
  <w:style w:type="character" w:styleId="Hyperlink">
    <w:name w:val="Hyperlink"/>
    <w:basedOn w:val="DefaultParagraphFont"/>
    <w:uiPriority w:val="99"/>
    <w:unhideWhenUsed/>
    <w:rsid w:val="000C622D"/>
    <w:rPr>
      <w:color w:val="467886" w:themeColor="hyperlink"/>
      <w:u w:val="single"/>
    </w:rPr>
  </w:style>
  <w:style w:type="character" w:styleId="UnresolvedMention">
    <w:name w:val="Unresolved Mention"/>
    <w:basedOn w:val="DefaultParagraphFont"/>
    <w:uiPriority w:val="99"/>
    <w:semiHidden/>
    <w:unhideWhenUsed/>
    <w:rsid w:val="000C6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shli.Evans@pembrokeshire.gov.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1150</Words>
  <Characters>6558</Characters>
  <Application>Microsoft Office Word</Application>
  <DocSecurity>0</DocSecurity>
  <Lines>54</Lines>
  <Paragraphs>15</Paragraphs>
  <ScaleCrop>false</ScaleCrop>
  <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Ashli</dc:creator>
  <cp:keywords/>
  <dc:description/>
  <cp:lastModifiedBy>Evans, Ashli</cp:lastModifiedBy>
  <cp:revision>36</cp:revision>
  <dcterms:created xsi:type="dcterms:W3CDTF">2026-05-13T10:40:00Z</dcterms:created>
  <dcterms:modified xsi:type="dcterms:W3CDTF">2026-10-05T22:15:00Z</dcterms:modified>
</cp:coreProperties>
</file>