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after="200" w:line="360" w:lineRule="auto"/>
        <w:jc w:val="center"/>
        <w:rPr/>
      </w:pPr>
      <w:r w:rsidDel="00000000" w:rsidR="00000000" w:rsidRPr="00000000">
        <w:rPr/>
        <w:drawing>
          <wp:inline distB="0" distT="0" distL="0" distR="0">
            <wp:extent cx="3635213" cy="1544083"/>
            <wp:effectExtent b="0" l="0" r="0" t="0"/>
            <wp:docPr id="2" name="image5.jpg"/>
            <a:graphic>
              <a:graphicData uri="http://schemas.openxmlformats.org/drawingml/2006/picture">
                <pic:pic>
                  <pic:nvPicPr>
                    <pic:cNvPr id="0" name="image5.jpg"/>
                    <pic:cNvPicPr preferRelativeResize="0"/>
                  </pic:nvPicPr>
                  <pic:blipFill>
                    <a:blip r:embed="rId6"/>
                    <a:srcRect b="0" l="0" r="0" t="0"/>
                    <a:stretch>
                      <a:fillRect/>
                    </a:stretch>
                  </pic:blipFill>
                  <pic:spPr>
                    <a:xfrm>
                      <a:off x="0" y="0"/>
                      <a:ext cx="3635213" cy="1544083"/>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after="80" w:line="360" w:lineRule="auto"/>
        <w:jc w:val="center"/>
        <w:rPr/>
      </w:pPr>
      <w:r w:rsidDel="00000000" w:rsidR="00000000" w:rsidRPr="00000000">
        <w:rPr>
          <w:rFonts w:ascii="Arial" w:cs="Arial" w:eastAsia="Arial" w:hAnsi="Arial"/>
          <w:b w:val="1"/>
          <w:bCs w:val="1"/>
          <w:sz w:val="24"/>
          <w:szCs w:val="24"/>
          <w:rtl w:val="0"/>
        </w:rPr>
        <w:t xml:space="preserve">Student Name: Hira Akter</w:t>
      </w:r>
      <w:r w:rsidDel="00000000" w:rsidR="00000000" w:rsidRPr="00000000">
        <w:rPr>
          <w:rtl w:val="0"/>
        </w:rPr>
      </w:r>
    </w:p>
    <w:p w:rsidR="00000000" w:rsidDel="00000000" w:rsidP="00000000" w:rsidRDefault="00000000" w:rsidRPr="00000000" w14:paraId="00000006">
      <w:pPr>
        <w:spacing w:after="200" w:line="360" w:lineRule="auto"/>
        <w:jc w:val="center"/>
        <w:rPr/>
      </w:pPr>
      <w:r w:rsidDel="00000000" w:rsidR="00000000" w:rsidRPr="00000000">
        <w:rPr>
          <w:rFonts w:ascii="Arial" w:cs="Arial" w:eastAsia="Arial" w:hAnsi="Arial"/>
          <w:b w:val="1"/>
          <w:bCs w:val="1"/>
          <w:sz w:val="24"/>
          <w:szCs w:val="24"/>
          <w:rtl w:val="0"/>
        </w:rPr>
        <w:t xml:space="preserve">Student ID: 2530059</w:t>
      </w: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after="80" w:line="360" w:lineRule="auto"/>
        <w:jc w:val="center"/>
        <w:rPr/>
      </w:pPr>
      <w:r w:rsidDel="00000000" w:rsidR="00000000" w:rsidRPr="00000000">
        <w:rPr>
          <w:rFonts w:ascii="Arial" w:cs="Arial" w:eastAsia="Arial" w:hAnsi="Arial"/>
          <w:b w:val="1"/>
          <w:bCs w:val="1"/>
          <w:sz w:val="24"/>
          <w:szCs w:val="24"/>
          <w:rtl w:val="0"/>
        </w:rPr>
        <w:t xml:space="preserve">Module Name: Financial Management</w:t>
      </w:r>
      <w:r w:rsidDel="00000000" w:rsidR="00000000" w:rsidRPr="00000000">
        <w:rPr>
          <w:rtl w:val="0"/>
        </w:rPr>
      </w:r>
    </w:p>
    <w:p w:rsidR="00000000" w:rsidDel="00000000" w:rsidP="00000000" w:rsidRDefault="00000000" w:rsidRPr="00000000" w14:paraId="00000009">
      <w:pPr>
        <w:spacing w:after="200" w:line="360" w:lineRule="auto"/>
        <w:jc w:val="center"/>
        <w:rPr/>
      </w:pPr>
      <w:r w:rsidDel="00000000" w:rsidR="00000000" w:rsidRPr="00000000">
        <w:rPr>
          <w:rFonts w:ascii="Arial" w:cs="Arial" w:eastAsia="Arial" w:hAnsi="Arial"/>
          <w:b w:val="1"/>
          <w:bCs w:val="1"/>
          <w:sz w:val="24"/>
          <w:szCs w:val="24"/>
          <w:rtl w:val="0"/>
        </w:rPr>
        <w:t xml:space="preserve">Module Code: LCMB7002</w:t>
      </w: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after="200" w:line="360" w:lineRule="auto"/>
        <w:jc w:val="center"/>
        <w:rPr/>
      </w:pPr>
      <w:r w:rsidDel="00000000" w:rsidR="00000000" w:rsidRPr="00000000">
        <w:rPr>
          <w:rFonts w:ascii="Arial" w:cs="Arial" w:eastAsia="Arial" w:hAnsi="Arial"/>
          <w:b w:val="1"/>
          <w:bCs w:val="1"/>
          <w:sz w:val="24"/>
          <w:szCs w:val="24"/>
          <w:rtl w:val="0"/>
        </w:rPr>
        <w:t xml:space="preserve">Lecturer’s Name: Shengfeng Mei / Patrick Yeboah</w:t>
      </w: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after="200" w:line="360" w:lineRule="auto"/>
        <w:jc w:val="center"/>
        <w:rPr/>
      </w:pPr>
      <w:r w:rsidDel="00000000" w:rsidR="00000000" w:rsidRPr="00000000">
        <w:rPr>
          <w:rFonts w:ascii="Arial" w:cs="Arial" w:eastAsia="Arial" w:hAnsi="Arial"/>
          <w:b w:val="1"/>
          <w:bCs w:val="1"/>
          <w:sz w:val="24"/>
          <w:szCs w:val="24"/>
          <w:rtl w:val="0"/>
        </w:rPr>
        <w:t xml:space="preserve">Word Count: 5,000 (±10%)</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jc w:val="center"/>
        <w:rPr/>
      </w:pPr>
      <w:r w:rsidDel="00000000" w:rsidR="00000000" w:rsidRPr="00000000">
        <w:rPr>
          <w:rFonts w:ascii="Arial" w:cs="Arial" w:eastAsia="Arial" w:hAnsi="Arial"/>
          <w:sz w:val="24"/>
          <w:szCs w:val="24"/>
          <w:rtl w:val="0"/>
        </w:rPr>
        <w:t xml:space="preserve">Submission deadline: 24th April 2026 by 2PM</w:t>
      </w:r>
      <w:r w:rsidDel="00000000" w:rsidR="00000000" w:rsidRPr="00000000">
        <w:rPr>
          <w:rtl w:val="0"/>
        </w:rPr>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Table of Contents</w:t>
      </w:r>
      <w:r w:rsidDel="00000000" w:rsidR="00000000" w:rsidRPr="00000000">
        <w:rPr>
          <w:rtl w:val="0"/>
        </w:rPr>
      </w:r>
    </w:p>
    <w:sdt>
      <w:sdtPr>
        <w:id w:val="-578763342"/>
        <w:docPartObj>
          <w:docPartGallery w:val="Table of Contents"/>
          <w:docPartUnique w:val="1"/>
        </w:docPartObj>
      </w:sdtPr>
      <w:sdtContent>
        <w:p w:rsidR="00000000" w:rsidDel="00000000" w:rsidP="00000000" w:rsidRDefault="00000000" w:rsidRPr="00000000" w14:paraId="00000013">
          <w:pPr>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after="100" w:line="360" w:lineRule="auto"/>
        <w:jc w:val="center"/>
        <w:rPr>
          <w:i w:val="1"/>
          <w:iCs w:val="1"/>
          <w:color w:val="888888"/>
          <w:sz w:val="20"/>
          <w:szCs w:val="20"/>
        </w:rPr>
      </w:pPr>
      <w:r w:rsidDel="00000000" w:rsidR="00000000" w:rsidRPr="00000000">
        <w:rPr>
          <w:rtl w:val="0"/>
        </w:rPr>
      </w:r>
    </w:p>
    <w:sdt>
      <w:sdtPr>
        <w:id w:val="158988291"/>
        <w:docPartObj>
          <w:docPartGallery w:val="Table of Contents"/>
          <w:docPartUnique w:val="1"/>
        </w:docPartObj>
      </w:sdtPr>
      <w:sdtContent>
        <w:p w:rsidR="00000000" w:rsidDel="00000000" w:rsidP="00000000" w:rsidRDefault="00000000" w:rsidRPr="00000000" w14:paraId="00000016">
          <w:pPr>
            <w:widowControl w:val="0"/>
            <w:tabs>
              <w:tab w:val="right" w:leader="dot" w:pos="9025.511811023624"/>
            </w:tabs>
            <w:spacing w:before="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b w:val="1"/>
                <w:bCs w:val="1"/>
                <w:color w:val="000000"/>
                <w:u w:val="none"/>
                <w:rtl w:val="0"/>
              </w:rPr>
              <w:t xml:space="preserve">Table of Contents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List of Tables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List of Figures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1. Introduction</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2. Financial Health Check (Ratio Analysis)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2.1 Profitability Analysis</w:t>
              <w:tab/>
            </w:r>
          </w:hyperlink>
          <w:r w:rsidDel="00000000" w:rsidR="00000000" w:rsidRPr="00000000">
            <w:fldChar w:fldCharType="begin"/>
            <w:instrText xml:space="preserve"> PAGEREF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2.2 Liquidity and Efficiency</w:t>
              <w:tab/>
            </w:r>
          </w:hyperlink>
          <w:r w:rsidDel="00000000" w:rsidR="00000000" w:rsidRPr="00000000">
            <w:fldChar w:fldCharType="begin"/>
            <w:instrText xml:space="preserve"> PAGEREF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2.3 Gearing and Investment Ratios</w:t>
              <w:tab/>
            </w:r>
          </w:hyperlink>
          <w:r w:rsidDel="00000000" w:rsidR="00000000" w:rsidRPr="00000000">
            <w:fldChar w:fldCharType="begin"/>
            <w:instrText xml:space="preserve"> PAGEREF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2.4 Key Trends, Strengths and Threats</w:t>
              <w:tab/>
            </w:r>
          </w:hyperlink>
          <w:r w:rsidDel="00000000" w:rsidR="00000000" w:rsidRPr="00000000">
            <w:fldChar w:fldCharType="begin"/>
            <w:instrText xml:space="preserve"> PAGEREF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3. Working Capital Management Analysis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3.1 Cash Operating Cycle</w:t>
              <w:tab/>
            </w:r>
          </w:hyperlink>
          <w:r w:rsidDel="00000000" w:rsidR="00000000" w:rsidRPr="00000000">
            <w:fldChar w:fldCharType="begin"/>
            <w:instrText xml:space="preserve"> PAGEREF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3.2 Recommendations to Improve Liquidity</w:t>
              <w:tab/>
            </w:r>
          </w:hyperlink>
          <w:r w:rsidDel="00000000" w:rsidR="00000000" w:rsidRPr="00000000">
            <w:fldChar w:fldCharType="begin"/>
            <w:instrText xml:space="preserve"> PAGEREF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3.3 Short-term vs Long-term Financing</w:t>
              <w:tab/>
            </w:r>
          </w:hyperlink>
          <w:r w:rsidDel="00000000" w:rsidR="00000000" w:rsidRPr="00000000">
            <w:fldChar w:fldCharType="begin"/>
            <w:instrText xml:space="preserve"> PAGEREF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4. Strategic Financial Restructuring Plan</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4.1 The Core Problem: Too Many Brands, Too Much Cost</w:t>
              <w:tab/>
            </w:r>
          </w:hyperlink>
          <w:r w:rsidDel="00000000" w:rsidR="00000000" w:rsidRPr="00000000">
            <w:fldChar w:fldCharType="begin"/>
            <w:instrText xml:space="preserve"> PAGEREF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4.2 Restructuring Recommendations</w:t>
              <w:tab/>
            </w:r>
          </w:hyperlink>
          <w:r w:rsidDel="00000000" w:rsidR="00000000" w:rsidRPr="00000000">
            <w:fldChar w:fldCharType="begin"/>
            <w:instrText xml:space="preserve"> PAGEREF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4.3 Impact on Stakeholders and Ethical Considerations</w:t>
              <w:tab/>
            </w:r>
          </w:hyperlink>
          <w:r w:rsidDel="00000000" w:rsidR="00000000" w:rsidRPr="00000000">
            <w:fldChar w:fldCharType="begin"/>
            <w:instrText xml:space="preserve"> PAGEREF  \h </w:instrText>
            <w:fldChar w:fldCharType="separate"/>
          </w:r>
          <w:r w:rsidDel="00000000" w:rsidR="00000000" w:rsidRPr="00000000">
            <w:rPr>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5. Investment Appraisal and Capital Budgeting Decisions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5.1 Project Analysis</w:t>
              <w:tab/>
            </w:r>
          </w:hyperlink>
          <w:r w:rsidDel="00000000" w:rsidR="00000000" w:rsidRPr="00000000">
            <w:fldChar w:fldCharType="begin"/>
            <w:instrText xml:space="preserve"> PAGEREF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dot" w:pos="9025.511811023624"/>
            </w:tabs>
            <w:spacing w:before="60" w:lineRule="auto"/>
            <w:ind w:left="720" w:firstLine="0"/>
            <w:rPr>
              <w:color w:val="000000"/>
              <w:u w:val="none"/>
            </w:rPr>
          </w:pPr>
          <w:hyperlink w:anchor="">
            <w:r w:rsidDel="00000000" w:rsidR="00000000" w:rsidRPr="00000000">
              <w:rPr>
                <w:color w:val="000000"/>
                <w:u w:val="none"/>
                <w:rtl w:val="0"/>
              </w:rPr>
              <w:t xml:space="preserve">5.1.1 Payback Period</w:t>
              <w:tab/>
            </w:r>
          </w:hyperlink>
          <w:r w:rsidDel="00000000" w:rsidR="00000000" w:rsidRPr="00000000">
            <w:fldChar w:fldCharType="begin"/>
            <w:instrText xml:space="preserve"> PAGEREF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dot" w:pos="9025.511811023624"/>
            </w:tabs>
            <w:spacing w:before="60" w:lineRule="auto"/>
            <w:ind w:left="720" w:firstLine="0"/>
            <w:rPr>
              <w:color w:val="000000"/>
              <w:u w:val="none"/>
            </w:rPr>
          </w:pPr>
          <w:hyperlink w:anchor="">
            <w:r w:rsidDel="00000000" w:rsidR="00000000" w:rsidRPr="00000000">
              <w:rPr>
                <w:color w:val="000000"/>
                <w:u w:val="none"/>
                <w:rtl w:val="0"/>
              </w:rPr>
              <w:t xml:space="preserve">5.1.2 Accounting Rate of Return</w:t>
              <w:tab/>
            </w:r>
          </w:hyperlink>
          <w:r w:rsidDel="00000000" w:rsidR="00000000" w:rsidRPr="00000000">
            <w:fldChar w:fldCharType="begin"/>
            <w:instrText xml:space="preserve"> PAGEREF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dot" w:pos="9025.511811023624"/>
            </w:tabs>
            <w:spacing w:before="60" w:lineRule="auto"/>
            <w:ind w:left="720" w:firstLine="0"/>
            <w:rPr>
              <w:color w:val="000000"/>
              <w:u w:val="none"/>
            </w:rPr>
          </w:pPr>
          <w:hyperlink w:anchor="">
            <w:r w:rsidDel="00000000" w:rsidR="00000000" w:rsidRPr="00000000">
              <w:rPr>
                <w:color w:val="000000"/>
                <w:u w:val="none"/>
                <w:rtl w:val="0"/>
              </w:rPr>
              <w:t xml:space="preserve">5.1.3 Net Present Value</w:t>
              <w:tab/>
            </w:r>
          </w:hyperlink>
          <w:r w:rsidDel="00000000" w:rsidR="00000000" w:rsidRPr="00000000">
            <w:fldChar w:fldCharType="begin"/>
            <w:instrText xml:space="preserve"> PAGEREF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dot" w:pos="9025.511811023624"/>
            </w:tabs>
            <w:spacing w:before="60" w:lineRule="auto"/>
            <w:ind w:left="720" w:firstLine="0"/>
            <w:rPr>
              <w:color w:val="000000"/>
              <w:u w:val="none"/>
            </w:rPr>
          </w:pPr>
          <w:hyperlink w:anchor="">
            <w:r w:rsidDel="00000000" w:rsidR="00000000" w:rsidRPr="00000000">
              <w:rPr>
                <w:color w:val="000000"/>
                <w:u w:val="none"/>
                <w:rtl w:val="0"/>
              </w:rPr>
              <w:t xml:space="preserve">5.1.4 Profitability Index and IRR</w:t>
              <w:tab/>
            </w:r>
          </w:hyperlink>
          <w:r w:rsidDel="00000000" w:rsidR="00000000" w:rsidRPr="00000000">
            <w:fldChar w:fldCharType="begin"/>
            <w:instrText xml:space="preserve"> PAGEREF  \h </w:instrText>
            <w:fldChar w:fldCharType="separate"/>
          </w:r>
          <w:r w:rsidDel="00000000" w:rsidR="00000000" w:rsidRPr="00000000">
            <w:rPr>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D">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5.2 Recommendation: Project C</w:t>
              <w:tab/>
            </w:r>
          </w:hyperlink>
          <w:r w:rsidDel="00000000" w:rsidR="00000000" w:rsidRPr="00000000">
            <w:fldChar w:fldCharType="begin"/>
            <w:instrText xml:space="preserve"> PAGEREF  \h </w:instrText>
            <w:fldChar w:fldCharType="separate"/>
          </w:r>
          <w:r w:rsidDel="00000000" w:rsidR="00000000" w:rsidRPr="00000000">
            <w:rPr>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E">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5.3 Capital Rationing Under £100m</w:t>
              <w:tab/>
            </w:r>
          </w:hyperlink>
          <w:r w:rsidDel="00000000" w:rsidR="00000000" w:rsidRPr="00000000">
            <w:fldChar w:fldCharType="begin"/>
            <w:instrText xml:space="preserve"> PAGEREF  \h </w:instrText>
            <w:fldChar w:fldCharType="separate"/>
          </w:r>
          <w:r w:rsidDel="00000000" w:rsidR="00000000" w:rsidRPr="00000000">
            <w:rPr>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F">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6. Conclusion</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0">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1">
          <w:pPr>
            <w:widowControl w:val="0"/>
            <w:tabs>
              <w:tab w:val="right" w:leader="dot"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Appendices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32">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Appendix A: Key Ratio Formulas</w:t>
              <w:tab/>
            </w:r>
          </w:hyperlink>
          <w:r w:rsidDel="00000000" w:rsidR="00000000" w:rsidRPr="00000000">
            <w:fldChar w:fldCharType="begin"/>
            <w:instrText xml:space="preserve"> PAGEREF  \h </w:instrText>
            <w:fldChar w:fldCharType="separate"/>
          </w:r>
          <w:r w:rsidDel="00000000" w:rsidR="00000000" w:rsidRPr="00000000">
            <w:rPr>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33">
          <w:pPr>
            <w:widowControl w:val="0"/>
            <w:tabs>
              <w:tab w:val="right" w:leader="dot" w:pos="9025.511811023624"/>
            </w:tabs>
            <w:spacing w:before="60" w:lineRule="auto"/>
            <w:ind w:left="360" w:firstLine="0"/>
            <w:rPr>
              <w:color w:val="000000"/>
              <w:u w:val="none"/>
            </w:rPr>
          </w:pPr>
          <w:hyperlink w:anchor="">
            <w:r w:rsidDel="00000000" w:rsidR="00000000" w:rsidRPr="00000000">
              <w:rPr>
                <w:color w:val="000000"/>
                <w:u w:val="none"/>
                <w:rtl w:val="0"/>
              </w:rPr>
              <w:t xml:space="preserve">Appendix B: Discount Factors at 10%</w:t>
              <w:tab/>
            </w:r>
          </w:hyperlink>
          <w:r w:rsidDel="00000000" w:rsidR="00000000" w:rsidRPr="00000000">
            <w:fldChar w:fldCharType="begin"/>
            <w:instrText xml:space="preserve"> PAGEREF  \h </w:instrText>
            <w:fldChar w:fldCharType="separate"/>
          </w:r>
          <w:r w:rsidDel="00000000" w:rsidR="00000000" w:rsidRPr="00000000">
            <w:rPr>
              <w:rtl w:val="0"/>
            </w:rPr>
            <w:t xml:space="preserve">27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spacing w:after="100" w:line="360" w:lineRule="auto"/>
        <w:jc w:val="center"/>
        <w:rPr/>
      </w:pPr>
      <w:r w:rsidDel="00000000" w:rsidR="00000000" w:rsidRPr="00000000">
        <w:rPr>
          <w:rtl w:val="0"/>
        </w:rPr>
      </w:r>
    </w:p>
    <w:p w:rsidR="00000000" w:rsidDel="00000000" w:rsidP="00000000" w:rsidRDefault="00000000" w:rsidRPr="00000000" w14:paraId="00000035">
      <w:pPr>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List of Tables</w:t>
      </w:r>
      <w:r w:rsidDel="00000000" w:rsidR="00000000" w:rsidRPr="00000000">
        <w:rPr>
          <w:rtl w:val="0"/>
        </w:rPr>
      </w:r>
    </w:p>
    <w:p w:rsidR="00000000" w:rsidDel="00000000" w:rsidP="00000000" w:rsidRDefault="00000000" w:rsidRPr="00000000" w14:paraId="00000037">
      <w:pPr>
        <w:spacing w:after="60" w:line="360" w:lineRule="auto"/>
        <w:jc w:val="both"/>
        <w:rPr/>
      </w:pPr>
      <w:r w:rsidDel="00000000" w:rsidR="00000000" w:rsidRPr="00000000">
        <w:rPr>
          <w:rFonts w:ascii="Arial" w:cs="Arial" w:eastAsia="Arial" w:hAnsi="Arial"/>
          <w:sz w:val="24"/>
          <w:szCs w:val="24"/>
          <w:rtl w:val="0"/>
        </w:rPr>
        <w:t xml:space="preserve">Table 1: Tesla Five-Year Financial Summary (FY2021–FY2025)</w:t>
      </w:r>
      <w:r w:rsidDel="00000000" w:rsidR="00000000" w:rsidRPr="00000000">
        <w:rPr>
          <w:rtl w:val="0"/>
        </w:rPr>
      </w:r>
    </w:p>
    <w:p w:rsidR="00000000" w:rsidDel="00000000" w:rsidP="00000000" w:rsidRDefault="00000000" w:rsidRPr="00000000" w14:paraId="00000038">
      <w:pPr>
        <w:spacing w:after="60" w:line="360" w:lineRule="auto"/>
        <w:jc w:val="both"/>
        <w:rPr/>
      </w:pPr>
      <w:r w:rsidDel="00000000" w:rsidR="00000000" w:rsidRPr="00000000">
        <w:rPr>
          <w:rFonts w:ascii="Arial" w:cs="Arial" w:eastAsia="Arial" w:hAnsi="Arial"/>
          <w:sz w:val="24"/>
          <w:szCs w:val="24"/>
          <w:rtl w:val="0"/>
        </w:rPr>
        <w:t xml:space="preserve">Table 2: Profitability Ratios (FY2021–FY2025)</w:t>
      </w:r>
      <w:r w:rsidDel="00000000" w:rsidR="00000000" w:rsidRPr="00000000">
        <w:rPr>
          <w:rtl w:val="0"/>
        </w:rPr>
      </w:r>
    </w:p>
    <w:p w:rsidR="00000000" w:rsidDel="00000000" w:rsidP="00000000" w:rsidRDefault="00000000" w:rsidRPr="00000000" w14:paraId="00000039">
      <w:pPr>
        <w:spacing w:after="60" w:line="360" w:lineRule="auto"/>
        <w:jc w:val="both"/>
        <w:rPr/>
      </w:pPr>
      <w:r w:rsidDel="00000000" w:rsidR="00000000" w:rsidRPr="00000000">
        <w:rPr>
          <w:rFonts w:ascii="Arial" w:cs="Arial" w:eastAsia="Arial" w:hAnsi="Arial"/>
          <w:sz w:val="24"/>
          <w:szCs w:val="24"/>
          <w:rtl w:val="0"/>
        </w:rPr>
        <w:t xml:space="preserve">Table 3: Liquidity and Efficiency Ratios (FY2024 vs FY2025)</w:t>
      </w:r>
      <w:r w:rsidDel="00000000" w:rsidR="00000000" w:rsidRPr="00000000">
        <w:rPr>
          <w:rtl w:val="0"/>
        </w:rPr>
      </w:r>
    </w:p>
    <w:p w:rsidR="00000000" w:rsidDel="00000000" w:rsidP="00000000" w:rsidRDefault="00000000" w:rsidRPr="00000000" w14:paraId="0000003A">
      <w:pPr>
        <w:spacing w:after="60" w:line="360" w:lineRule="auto"/>
        <w:jc w:val="both"/>
        <w:rPr/>
      </w:pPr>
      <w:r w:rsidDel="00000000" w:rsidR="00000000" w:rsidRPr="00000000">
        <w:rPr>
          <w:rFonts w:ascii="Arial" w:cs="Arial" w:eastAsia="Arial" w:hAnsi="Arial"/>
          <w:sz w:val="24"/>
          <w:szCs w:val="24"/>
          <w:rtl w:val="0"/>
        </w:rPr>
        <w:t xml:space="preserve">Table 4: Gearing and Investment Ratios (FY2024 vs FY2025)</w:t>
      </w:r>
      <w:r w:rsidDel="00000000" w:rsidR="00000000" w:rsidRPr="00000000">
        <w:rPr>
          <w:rtl w:val="0"/>
        </w:rPr>
      </w:r>
    </w:p>
    <w:p w:rsidR="00000000" w:rsidDel="00000000" w:rsidP="00000000" w:rsidRDefault="00000000" w:rsidRPr="00000000" w14:paraId="0000003B">
      <w:pPr>
        <w:spacing w:after="60" w:line="360" w:lineRule="auto"/>
        <w:jc w:val="both"/>
        <w:rPr/>
      </w:pPr>
      <w:r w:rsidDel="00000000" w:rsidR="00000000" w:rsidRPr="00000000">
        <w:rPr>
          <w:rFonts w:ascii="Arial" w:cs="Arial" w:eastAsia="Arial" w:hAnsi="Arial"/>
          <w:sz w:val="24"/>
          <w:szCs w:val="24"/>
          <w:rtl w:val="0"/>
        </w:rPr>
        <w:t xml:space="preserve">Table 5: Estimated Cash Operating Cycle (FY2024 vs FY2025)</w:t>
      </w:r>
      <w:r w:rsidDel="00000000" w:rsidR="00000000" w:rsidRPr="00000000">
        <w:rPr>
          <w:rtl w:val="0"/>
        </w:rPr>
      </w:r>
    </w:p>
    <w:p w:rsidR="00000000" w:rsidDel="00000000" w:rsidP="00000000" w:rsidRDefault="00000000" w:rsidRPr="00000000" w14:paraId="0000003C">
      <w:pPr>
        <w:spacing w:after="60" w:line="360" w:lineRule="auto"/>
        <w:jc w:val="both"/>
        <w:rPr/>
      </w:pPr>
      <w:r w:rsidDel="00000000" w:rsidR="00000000" w:rsidRPr="00000000">
        <w:rPr>
          <w:rFonts w:ascii="Arial" w:cs="Arial" w:eastAsia="Arial" w:hAnsi="Arial"/>
          <w:sz w:val="24"/>
          <w:szCs w:val="24"/>
          <w:rtl w:val="0"/>
        </w:rPr>
        <w:t xml:space="preserve">Table 6: Comparative Summary of All Three Projects</w:t>
      </w:r>
      <w:r w:rsidDel="00000000" w:rsidR="00000000" w:rsidRPr="00000000">
        <w:rPr>
          <w:rtl w:val="0"/>
        </w:rPr>
      </w:r>
    </w:p>
    <w:p w:rsidR="00000000" w:rsidDel="00000000" w:rsidP="00000000" w:rsidRDefault="00000000" w:rsidRPr="00000000" w14:paraId="0000003D">
      <w:pPr>
        <w:spacing w:after="60" w:line="360" w:lineRule="auto"/>
        <w:jc w:val="both"/>
        <w:rPr/>
      </w:pPr>
      <w:r w:rsidDel="00000000" w:rsidR="00000000" w:rsidRPr="00000000">
        <w:rPr>
          <w:rFonts w:ascii="Arial" w:cs="Arial" w:eastAsia="Arial" w:hAnsi="Arial"/>
          <w:sz w:val="24"/>
          <w:szCs w:val="24"/>
          <w:rtl w:val="0"/>
        </w:rPr>
        <w:t xml:space="preserve">Table 7: Capital Rationing – Comparing Project Combinations</w:t>
      </w:r>
      <w:r w:rsidDel="00000000" w:rsidR="00000000" w:rsidRPr="00000000">
        <w:rPr>
          <w:rtl w:val="0"/>
        </w:rPr>
      </w:r>
    </w:p>
    <w:p w:rsidR="00000000" w:rsidDel="00000000" w:rsidP="00000000" w:rsidRDefault="00000000" w:rsidRPr="00000000" w14:paraId="0000003E">
      <w:pPr>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List of Figures</w:t>
      </w:r>
      <w:r w:rsidDel="00000000" w:rsidR="00000000" w:rsidRPr="00000000">
        <w:rPr>
          <w:rtl w:val="0"/>
        </w:rPr>
      </w:r>
    </w:p>
    <w:p w:rsidR="00000000" w:rsidDel="00000000" w:rsidP="00000000" w:rsidRDefault="00000000" w:rsidRPr="00000000" w14:paraId="00000040">
      <w:pPr>
        <w:spacing w:after="60" w:line="360" w:lineRule="auto"/>
        <w:jc w:val="both"/>
        <w:rPr/>
      </w:pPr>
      <w:r w:rsidDel="00000000" w:rsidR="00000000" w:rsidRPr="00000000">
        <w:rPr>
          <w:rFonts w:ascii="Arial" w:cs="Arial" w:eastAsia="Arial" w:hAnsi="Arial"/>
          <w:sz w:val="24"/>
          <w:szCs w:val="24"/>
          <w:rtl w:val="0"/>
        </w:rPr>
        <w:t xml:space="preserve">Figure 1: Tesla Revenue Trend (FY2021–FY2025)</w:t>
      </w:r>
      <w:r w:rsidDel="00000000" w:rsidR="00000000" w:rsidRPr="00000000">
        <w:rPr>
          <w:rtl w:val="0"/>
        </w:rPr>
      </w:r>
    </w:p>
    <w:p w:rsidR="00000000" w:rsidDel="00000000" w:rsidP="00000000" w:rsidRDefault="00000000" w:rsidRPr="00000000" w14:paraId="00000041">
      <w:pPr>
        <w:spacing w:after="60" w:line="360" w:lineRule="auto"/>
        <w:jc w:val="both"/>
        <w:rPr/>
      </w:pPr>
      <w:r w:rsidDel="00000000" w:rsidR="00000000" w:rsidRPr="00000000">
        <w:rPr>
          <w:rFonts w:ascii="Arial" w:cs="Arial" w:eastAsia="Arial" w:hAnsi="Arial"/>
          <w:sz w:val="24"/>
          <w:szCs w:val="24"/>
          <w:rtl w:val="0"/>
        </w:rPr>
        <w:t xml:space="preserve">Figure 2: Profitability Margin Trends</w:t>
      </w:r>
      <w:r w:rsidDel="00000000" w:rsidR="00000000" w:rsidRPr="00000000">
        <w:rPr>
          <w:rtl w:val="0"/>
        </w:rPr>
      </w:r>
    </w:p>
    <w:p w:rsidR="00000000" w:rsidDel="00000000" w:rsidP="00000000" w:rsidRDefault="00000000" w:rsidRPr="00000000" w14:paraId="00000042">
      <w:pPr>
        <w:spacing w:after="60" w:line="360" w:lineRule="auto"/>
        <w:jc w:val="both"/>
        <w:rPr/>
      </w:pPr>
      <w:r w:rsidDel="00000000" w:rsidR="00000000" w:rsidRPr="00000000">
        <w:rPr>
          <w:rFonts w:ascii="Arial" w:cs="Arial" w:eastAsia="Arial" w:hAnsi="Arial"/>
          <w:sz w:val="24"/>
          <w:szCs w:val="24"/>
          <w:rtl w:val="0"/>
        </w:rPr>
        <w:t xml:space="preserve">Figure 3: Revenue Breakdown by Segment (FY2025)</w:t>
      </w:r>
      <w:r w:rsidDel="00000000" w:rsidR="00000000" w:rsidRPr="00000000">
        <w:rPr>
          <w:rtl w:val="0"/>
        </w:rPr>
      </w:r>
    </w:p>
    <w:p w:rsidR="00000000" w:rsidDel="00000000" w:rsidP="00000000" w:rsidRDefault="00000000" w:rsidRPr="00000000" w14:paraId="00000043">
      <w:pPr>
        <w:spacing w:after="60" w:line="360" w:lineRule="auto"/>
        <w:jc w:val="both"/>
        <w:rPr/>
      </w:pPr>
      <w:r w:rsidDel="00000000" w:rsidR="00000000" w:rsidRPr="00000000">
        <w:rPr>
          <w:rFonts w:ascii="Arial" w:cs="Arial" w:eastAsia="Arial" w:hAnsi="Arial"/>
          <w:sz w:val="24"/>
          <w:szCs w:val="24"/>
          <w:rtl w:val="0"/>
        </w:rPr>
        <w:t xml:space="preserve">Figure 4: Cash Flow Comparison (FY2024 vs FY2025)</w:t>
      </w:r>
      <w:r w:rsidDel="00000000" w:rsidR="00000000" w:rsidRPr="00000000">
        <w:rPr>
          <w:rtl w:val="0"/>
        </w:rPr>
      </w:r>
    </w:p>
    <w:p w:rsidR="00000000" w:rsidDel="00000000" w:rsidP="00000000" w:rsidRDefault="00000000" w:rsidRPr="00000000" w14:paraId="00000044">
      <w:pPr>
        <w:spacing w:after="60" w:line="360" w:lineRule="auto"/>
        <w:jc w:val="both"/>
        <w:rPr/>
      </w:pPr>
      <w:r w:rsidDel="00000000" w:rsidR="00000000" w:rsidRPr="00000000">
        <w:rPr>
          <w:rFonts w:ascii="Arial" w:cs="Arial" w:eastAsia="Arial" w:hAnsi="Arial"/>
          <w:sz w:val="24"/>
          <w:szCs w:val="24"/>
          <w:rtl w:val="0"/>
        </w:rPr>
        <w:t xml:space="preserve">Figure 5: NPV Comparison of Projects A, B, and C</w:t>
      </w:r>
      <w:r w:rsidDel="00000000" w:rsidR="00000000" w:rsidRPr="00000000">
        <w:rPr>
          <w:rtl w:val="0"/>
        </w:rPr>
      </w:r>
    </w:p>
    <w:p w:rsidR="00000000" w:rsidDel="00000000" w:rsidP="00000000" w:rsidRDefault="00000000" w:rsidRPr="00000000" w14:paraId="00000045">
      <w:pPr>
        <w:rPr/>
      </w:pP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1. Introduction</w:t>
      </w:r>
      <w:r w:rsidDel="00000000" w:rsidR="00000000" w:rsidRPr="00000000">
        <w:rPr>
          <w:rtl w:val="0"/>
        </w:rPr>
      </w:r>
    </w:p>
    <w:p w:rsidR="00000000" w:rsidDel="00000000" w:rsidP="00000000" w:rsidRDefault="00000000" w:rsidRPr="00000000" w14:paraId="00000047">
      <w:pPr>
        <w:spacing w:after="100" w:line="360" w:lineRule="auto"/>
        <w:jc w:val="both"/>
        <w:rPr/>
      </w:pPr>
      <w:r w:rsidDel="00000000" w:rsidR="00000000" w:rsidRPr="00000000">
        <w:rPr>
          <w:rFonts w:ascii="Arial" w:cs="Arial" w:eastAsia="Arial" w:hAnsi="Arial"/>
          <w:sz w:val="24"/>
          <w:szCs w:val="24"/>
          <w:rtl w:val="0"/>
        </w:rPr>
        <w:t xml:space="preserve">Volkswagen Group is not just another car company. It is the largest automaker in Europe, one of the biggest in the world, and a company that, in recent years, has found itself at the </w:t>
      </w:r>
      <w:r w:rsidDel="00000000" w:rsidR="00000000" w:rsidRPr="00000000">
        <w:rPr>
          <w:rtl w:val="0"/>
        </w:rPr>
        <w:t xml:space="preserve">center</w:t>
      </w:r>
      <w:r w:rsidDel="00000000" w:rsidR="00000000" w:rsidRPr="00000000">
        <w:rPr>
          <w:rFonts w:ascii="Arial" w:cs="Arial" w:eastAsia="Arial" w:hAnsi="Arial"/>
          <w:sz w:val="24"/>
          <w:szCs w:val="24"/>
          <w:rtl w:val="0"/>
        </w:rPr>
        <w:t xml:space="preserve"> of some genuinely difficult questions about how legacy manufacturers survive the transition to electric vehicles. Headquartered in Wolfsburg, Germany, the Group operates a portfolio of brands that includes Volkswagen, Audi, Porsche, SEAT, Skoda, Bentley, Lamborghini, and the commercial vehicle arm TRATON, among others. Revenue in FY2025 came in at roughly €321.9 billion, with a global workforce of around 667,000 employees and vehicle sales of just over 9 million units (Volkswagen AG, 2026). The </w:t>
      </w:r>
      <w:r w:rsidDel="00000000" w:rsidR="00000000" w:rsidRPr="00000000">
        <w:rPr>
          <w:rtl w:val="0"/>
        </w:rPr>
        <w:t xml:space="preserve">group</w:t>
      </w:r>
      <w:r w:rsidDel="00000000" w:rsidR="00000000" w:rsidRPr="00000000">
        <w:rPr>
          <w:rFonts w:ascii="Arial" w:cs="Arial" w:eastAsia="Arial" w:hAnsi="Arial"/>
          <w:sz w:val="24"/>
          <w:szCs w:val="24"/>
          <w:rtl w:val="0"/>
        </w:rPr>
        <w:t xml:space="preserve"> reports across three primary segments: Passenger Cars and Light Commercial Vehicles, Commercial Vehicles, and Financial Services.</w:t>
      </w:r>
      <w:r w:rsidDel="00000000" w:rsidR="00000000" w:rsidRPr="00000000">
        <w:rPr>
          <w:rtl w:val="0"/>
        </w:rPr>
      </w:r>
    </w:p>
    <w:p w:rsidR="00000000" w:rsidDel="00000000" w:rsidP="00000000" w:rsidRDefault="00000000" w:rsidRPr="00000000" w14:paraId="00000048">
      <w:pPr>
        <w:spacing w:after="100" w:line="360" w:lineRule="auto"/>
        <w:jc w:val="both"/>
        <w:rPr/>
      </w:pPr>
      <w:r w:rsidDel="00000000" w:rsidR="00000000" w:rsidRPr="00000000">
        <w:rPr>
          <w:rFonts w:ascii="Arial" w:cs="Arial" w:eastAsia="Arial" w:hAnsi="Arial"/>
          <w:sz w:val="24"/>
          <w:szCs w:val="24"/>
          <w:rtl w:val="0"/>
        </w:rPr>
        <w:t xml:space="preserve">What makes Volkswagen worth examining in a financial management context is the speed at which its profitability has unravelled. Between FY2021 and FY2023, the company looked solid. Operating margins sat comfortably between 7% and 8%, revenue climbed steadily, and the EV transition seemed to be proceeding at a manageable pace. Then FY2024 and especially FY2025 happened. Operating profit dropped from €22.5 billion in FY2023 to just €8.9 billion in FY2025, a fall of over 60%. The operating margin collapsed to 2.8%. A few things collided at once. US tariffs hit margins, BYD and the rest of the Chinese pack kept pushing harder, the Northvolt and Rivian investments turned sour, and the restructuring bill started adding up. Put it all together and you have something that honestly looks like an earnings crisis (Volkswagen AG, 2026).</w:t>
      </w:r>
      <w:r w:rsidDel="00000000" w:rsidR="00000000" w:rsidRPr="00000000">
        <w:rPr>
          <w:rtl w:val="0"/>
        </w:rPr>
      </w:r>
    </w:p>
    <w:p w:rsidR="00000000" w:rsidDel="00000000" w:rsidP="00000000" w:rsidRDefault="00000000" w:rsidRPr="00000000" w14:paraId="00000049">
      <w:pPr>
        <w:spacing w:after="100" w:line="360" w:lineRule="auto"/>
        <w:jc w:val="both"/>
        <w:rPr/>
      </w:pPr>
      <w:r w:rsidDel="00000000" w:rsidR="00000000" w:rsidRPr="00000000">
        <w:rPr>
          <w:rFonts w:ascii="Arial" w:cs="Arial" w:eastAsia="Arial" w:hAnsi="Arial"/>
          <w:sz w:val="24"/>
          <w:szCs w:val="24"/>
          <w:rtl w:val="0"/>
        </w:rPr>
        <w:t xml:space="preserve">This report takes the perspective of Chief Financial Officer and works through five years of financial data from FY2021 to FY2025. Section 2 conducts a ratio analysis across profitability, liquidity, efficiency, gearing, and investment metrics. Section 3 evaluates working capital management. Section 4 proposes restructuring options. Section 5 runs three hypothetical investment projects through the usual capital budgeting toolkit: Payback Period, ARR, NPV, PI, and IRR. The aim is to be straightforward about what the data reveals and where genuine uncertainty exists.</w:t>
      </w:r>
      <w:r w:rsidDel="00000000" w:rsidR="00000000" w:rsidRPr="00000000">
        <w:rPr>
          <w:rtl w:val="0"/>
        </w:rPr>
      </w:r>
    </w:p>
    <w:p w:rsidR="00000000" w:rsidDel="00000000" w:rsidP="00000000" w:rsidRDefault="00000000" w:rsidRPr="00000000" w14:paraId="0000004A">
      <w:pPr>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2. Financial Health Check (Ratio Analysis)</w:t>
      </w:r>
      <w:r w:rsidDel="00000000" w:rsidR="00000000" w:rsidRPr="00000000">
        <w:rPr>
          <w:rtl w:val="0"/>
        </w:rPr>
      </w:r>
    </w:p>
    <w:p w:rsidR="00000000" w:rsidDel="00000000" w:rsidP="00000000" w:rsidRDefault="00000000" w:rsidRPr="00000000" w14:paraId="0000004C">
      <w:pPr>
        <w:spacing w:after="100" w:line="360" w:lineRule="auto"/>
        <w:jc w:val="both"/>
        <w:rPr/>
      </w:pPr>
      <w:r w:rsidDel="00000000" w:rsidR="00000000" w:rsidRPr="00000000">
        <w:rPr>
          <w:rFonts w:ascii="Arial" w:cs="Arial" w:eastAsia="Arial" w:hAnsi="Arial"/>
          <w:sz w:val="24"/>
          <w:szCs w:val="24"/>
          <w:rtl w:val="0"/>
        </w:rPr>
        <w:t xml:space="preserve">If you look at how Volkswagen has performed over the last five years, the story is pretty clear. Revenue </w:t>
      </w:r>
      <w:r w:rsidDel="00000000" w:rsidR="00000000" w:rsidRPr="00000000">
        <w:rPr>
          <w:rtl w:val="0"/>
        </w:rPr>
        <w:t xml:space="preserve">grew and</w:t>
      </w:r>
      <w:r w:rsidDel="00000000" w:rsidR="00000000" w:rsidRPr="00000000">
        <w:rPr>
          <w:rFonts w:ascii="Arial" w:cs="Arial" w:eastAsia="Arial" w:hAnsi="Arial"/>
          <w:sz w:val="24"/>
          <w:szCs w:val="24"/>
          <w:rtl w:val="0"/>
        </w:rPr>
        <w:t xml:space="preserve"> grew well. But then profits started falling apart, and the speed of that decline is what catches your attention. Revenue climbed from €250.2 billion in FY2021 to €322.3 billion in FY2023, before essentially plateauing at €324.7 billion in FY2024 and €321.9 billion in FY2025.  Gross profit peaked at €61.0 billion in FY2023 and then fell to €51.2 billion by FY2025, a decline of 16%. Operating profit tells a worse story, peaking at €22.5 billion and then plummeting to €8.9 billion. That is a 60% collapse in just two years (Volkswagen AG, 2026). It is the kind of deterioration that forces you to ask whether the problems are cyclical or structural.</w:t>
      </w:r>
      <w:r w:rsidDel="00000000" w:rsidR="00000000" w:rsidRPr="00000000">
        <w:rPr>
          <w:rtl w:val="0"/>
        </w:rPr>
      </w:r>
    </w:p>
    <w:p w:rsidR="00000000" w:rsidDel="00000000" w:rsidP="00000000" w:rsidRDefault="00000000" w:rsidRPr="00000000" w14:paraId="0000004D">
      <w:pPr>
        <w:spacing w:after="160" w:line="360" w:lineRule="auto"/>
        <w:jc w:val="center"/>
        <w:rPr/>
      </w:pPr>
      <w:r w:rsidDel="00000000" w:rsidR="00000000" w:rsidRPr="00000000">
        <w:rPr>
          <w:rFonts w:ascii="Arial" w:cs="Arial" w:eastAsia="Arial" w:hAnsi="Arial"/>
          <w:i w:val="1"/>
          <w:iCs w:val="1"/>
          <w:sz w:val="20"/>
          <w:szCs w:val="20"/>
          <w:rtl w:val="0"/>
        </w:rPr>
        <w:t xml:space="preserve">Table 1: Volkswagen Group Five-Year Financial Summary (FY2021–FY2025)</w:t>
      </w:r>
      <w:r w:rsidDel="00000000" w:rsidR="00000000" w:rsidRPr="00000000">
        <w:rPr>
          <w:rtl w:val="0"/>
        </w:rPr>
      </w:r>
    </w:p>
    <w:tbl>
      <w:tblPr>
        <w:tblStyle w:val="Table1"/>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0"/>
        <w:gridCol w:w="1425"/>
        <w:gridCol w:w="1425"/>
        <w:gridCol w:w="1425"/>
        <w:gridCol w:w="1425"/>
        <w:gridCol w:w="1426"/>
        <w:tblGridChange w:id="0">
          <w:tblGrid>
            <w:gridCol w:w="1900"/>
            <w:gridCol w:w="1425"/>
            <w:gridCol w:w="1425"/>
            <w:gridCol w:w="1425"/>
            <w:gridCol w:w="1425"/>
            <w:gridCol w:w="1426"/>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4E">
            <w:pPr>
              <w:spacing w:line="264" w:lineRule="auto"/>
              <w:jc w:val="center"/>
              <w:rPr/>
            </w:pPr>
            <w:r w:rsidDel="00000000" w:rsidR="00000000" w:rsidRPr="00000000">
              <w:rPr>
                <w:rFonts w:ascii="Arial" w:cs="Arial" w:eastAsia="Arial" w:hAnsi="Arial"/>
                <w:b w:val="1"/>
                <w:bCs w:val="1"/>
                <w:color w:val="ffffff"/>
                <w:sz w:val="18"/>
                <w:szCs w:val="18"/>
                <w:rtl w:val="0"/>
              </w:rPr>
              <w:t xml:space="preserve">Metric (€ Bn)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4F">
            <w:pPr>
              <w:spacing w:line="264" w:lineRule="auto"/>
              <w:jc w:val="center"/>
              <w:rPr/>
            </w:pPr>
            <w:r w:rsidDel="00000000" w:rsidR="00000000" w:rsidRPr="00000000">
              <w:rPr>
                <w:rFonts w:ascii="Arial" w:cs="Arial" w:eastAsia="Arial" w:hAnsi="Arial"/>
                <w:b w:val="1"/>
                <w:bCs w:val="1"/>
                <w:color w:val="ffffff"/>
                <w:sz w:val="18"/>
                <w:szCs w:val="18"/>
                <w:rtl w:val="0"/>
              </w:rPr>
              <w:t xml:space="preserve">FY2021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50">
            <w:pPr>
              <w:spacing w:line="264" w:lineRule="auto"/>
              <w:jc w:val="center"/>
              <w:rPr/>
            </w:pPr>
            <w:r w:rsidDel="00000000" w:rsidR="00000000" w:rsidRPr="00000000">
              <w:rPr>
                <w:rFonts w:ascii="Arial" w:cs="Arial" w:eastAsia="Arial" w:hAnsi="Arial"/>
                <w:b w:val="1"/>
                <w:bCs w:val="1"/>
                <w:color w:val="ffffff"/>
                <w:sz w:val="18"/>
                <w:szCs w:val="18"/>
                <w:rtl w:val="0"/>
              </w:rPr>
              <w:t xml:space="preserve">FY2022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51">
            <w:pPr>
              <w:spacing w:line="264" w:lineRule="auto"/>
              <w:jc w:val="center"/>
              <w:rPr/>
            </w:pPr>
            <w:r w:rsidDel="00000000" w:rsidR="00000000" w:rsidRPr="00000000">
              <w:rPr>
                <w:rFonts w:ascii="Arial" w:cs="Arial" w:eastAsia="Arial" w:hAnsi="Arial"/>
                <w:b w:val="1"/>
                <w:bCs w:val="1"/>
                <w:color w:val="ffffff"/>
                <w:sz w:val="18"/>
                <w:szCs w:val="18"/>
                <w:rtl w:val="0"/>
              </w:rPr>
              <w:t xml:space="preserve">FY2023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52">
            <w:pPr>
              <w:spacing w:line="264" w:lineRule="auto"/>
              <w:jc w:val="center"/>
              <w:rPr/>
            </w:pPr>
            <w:r w:rsidDel="00000000" w:rsidR="00000000" w:rsidRPr="00000000">
              <w:rPr>
                <w:rFonts w:ascii="Arial" w:cs="Arial" w:eastAsia="Arial" w:hAnsi="Arial"/>
                <w:b w:val="1"/>
                <w:bCs w:val="1"/>
                <w:color w:val="ffffff"/>
                <w:sz w:val="18"/>
                <w:szCs w:val="18"/>
                <w:rtl w:val="0"/>
              </w:rPr>
              <w:t xml:space="preserve">FY2024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53">
            <w:pPr>
              <w:spacing w:line="264" w:lineRule="auto"/>
              <w:jc w:val="center"/>
              <w:rPr/>
            </w:pPr>
            <w:r w:rsidDel="00000000" w:rsidR="00000000" w:rsidRPr="00000000">
              <w:rPr>
                <w:rFonts w:ascii="Arial" w:cs="Arial" w:eastAsia="Arial" w:hAnsi="Arial"/>
                <w:b w:val="1"/>
                <w:bCs w:val="1"/>
                <w:color w:val="ffffff"/>
                <w:sz w:val="18"/>
                <w:szCs w:val="18"/>
                <w:rtl w:val="0"/>
              </w:rPr>
              <w:t xml:space="preserve">FY2025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4">
            <w:pPr>
              <w:spacing w:line="264" w:lineRule="auto"/>
              <w:jc w:val="left"/>
              <w:rPr/>
            </w:pPr>
            <w:r w:rsidDel="00000000" w:rsidR="00000000" w:rsidRPr="00000000">
              <w:rPr>
                <w:rFonts w:ascii="Arial" w:cs="Arial" w:eastAsia="Arial" w:hAnsi="Arial"/>
                <w:b w:val="1"/>
                <w:bCs w:val="1"/>
                <w:sz w:val="18"/>
                <w:szCs w:val="18"/>
                <w:rtl w:val="0"/>
              </w:rPr>
              <w:t xml:space="preserve">Revenue</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5">
            <w:pPr>
              <w:spacing w:line="264" w:lineRule="auto"/>
              <w:jc w:val="center"/>
              <w:rPr/>
            </w:pPr>
            <w:r w:rsidDel="00000000" w:rsidR="00000000" w:rsidRPr="00000000">
              <w:rPr>
                <w:rFonts w:ascii="Arial" w:cs="Arial" w:eastAsia="Arial" w:hAnsi="Arial"/>
                <w:sz w:val="18"/>
                <w:szCs w:val="18"/>
                <w:rtl w:val="0"/>
              </w:rPr>
              <w:t xml:space="preserve">250.2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6">
            <w:pPr>
              <w:spacing w:line="264" w:lineRule="auto"/>
              <w:jc w:val="center"/>
              <w:rPr/>
            </w:pPr>
            <w:r w:rsidDel="00000000" w:rsidR="00000000" w:rsidRPr="00000000">
              <w:rPr>
                <w:rFonts w:ascii="Arial" w:cs="Arial" w:eastAsia="Arial" w:hAnsi="Arial"/>
                <w:sz w:val="18"/>
                <w:szCs w:val="18"/>
                <w:rtl w:val="0"/>
              </w:rPr>
              <w:t xml:space="preserve">279.1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7">
            <w:pPr>
              <w:spacing w:line="264" w:lineRule="auto"/>
              <w:jc w:val="center"/>
              <w:rPr/>
            </w:pPr>
            <w:r w:rsidDel="00000000" w:rsidR="00000000" w:rsidRPr="00000000">
              <w:rPr>
                <w:rFonts w:ascii="Arial" w:cs="Arial" w:eastAsia="Arial" w:hAnsi="Arial"/>
                <w:sz w:val="18"/>
                <w:szCs w:val="18"/>
                <w:rtl w:val="0"/>
              </w:rPr>
              <w:t xml:space="preserve">322.3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8">
            <w:pPr>
              <w:spacing w:line="264" w:lineRule="auto"/>
              <w:jc w:val="center"/>
              <w:rPr/>
            </w:pPr>
            <w:r w:rsidDel="00000000" w:rsidR="00000000" w:rsidRPr="00000000">
              <w:rPr>
                <w:rFonts w:ascii="Arial" w:cs="Arial" w:eastAsia="Arial" w:hAnsi="Arial"/>
                <w:sz w:val="18"/>
                <w:szCs w:val="18"/>
                <w:rtl w:val="0"/>
              </w:rPr>
              <w:t xml:space="preserve">324.7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59">
            <w:pPr>
              <w:spacing w:line="264" w:lineRule="auto"/>
              <w:jc w:val="center"/>
              <w:rPr/>
            </w:pPr>
            <w:r w:rsidDel="00000000" w:rsidR="00000000" w:rsidRPr="00000000">
              <w:rPr>
                <w:rFonts w:ascii="Arial" w:cs="Arial" w:eastAsia="Arial" w:hAnsi="Arial"/>
                <w:sz w:val="18"/>
                <w:szCs w:val="18"/>
                <w:rtl w:val="0"/>
              </w:rPr>
              <w:t xml:space="preserve">321.9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A">
            <w:pPr>
              <w:spacing w:line="264" w:lineRule="auto"/>
              <w:jc w:val="left"/>
              <w:rPr/>
            </w:pPr>
            <w:r w:rsidDel="00000000" w:rsidR="00000000" w:rsidRPr="00000000">
              <w:rPr>
                <w:rFonts w:ascii="Arial" w:cs="Arial" w:eastAsia="Arial" w:hAnsi="Arial"/>
                <w:b w:val="1"/>
                <w:bCs w:val="1"/>
                <w:sz w:val="18"/>
                <w:szCs w:val="18"/>
                <w:rtl w:val="0"/>
              </w:rPr>
              <w:t xml:space="preserve">Gross Profit</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B">
            <w:pPr>
              <w:spacing w:line="264" w:lineRule="auto"/>
              <w:jc w:val="center"/>
              <w:rPr/>
            </w:pPr>
            <w:r w:rsidDel="00000000" w:rsidR="00000000" w:rsidRPr="00000000">
              <w:rPr>
                <w:rFonts w:ascii="Arial" w:cs="Arial" w:eastAsia="Arial" w:hAnsi="Arial"/>
                <w:sz w:val="18"/>
                <w:szCs w:val="18"/>
                <w:rtl w:val="0"/>
              </w:rPr>
              <w:t xml:space="preserve">47.2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C">
            <w:pPr>
              <w:spacing w:line="264" w:lineRule="auto"/>
              <w:jc w:val="center"/>
              <w:rPr/>
            </w:pPr>
            <w:r w:rsidDel="00000000" w:rsidR="00000000" w:rsidRPr="00000000">
              <w:rPr>
                <w:rFonts w:ascii="Arial" w:cs="Arial" w:eastAsia="Arial" w:hAnsi="Arial"/>
                <w:sz w:val="18"/>
                <w:szCs w:val="18"/>
                <w:rtl w:val="0"/>
              </w:rPr>
              <w:t xml:space="preserve">52.2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D">
            <w:pPr>
              <w:spacing w:line="264" w:lineRule="auto"/>
              <w:jc w:val="center"/>
              <w:rPr/>
            </w:pPr>
            <w:r w:rsidDel="00000000" w:rsidR="00000000" w:rsidRPr="00000000">
              <w:rPr>
                <w:rFonts w:ascii="Arial" w:cs="Arial" w:eastAsia="Arial" w:hAnsi="Arial"/>
                <w:sz w:val="18"/>
                <w:szCs w:val="18"/>
                <w:rtl w:val="0"/>
              </w:rPr>
              <w:t xml:space="preserve">61.0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E">
            <w:pPr>
              <w:spacing w:line="264" w:lineRule="auto"/>
              <w:jc w:val="center"/>
              <w:rPr/>
            </w:pPr>
            <w:r w:rsidDel="00000000" w:rsidR="00000000" w:rsidRPr="00000000">
              <w:rPr>
                <w:rFonts w:ascii="Arial" w:cs="Arial" w:eastAsia="Arial" w:hAnsi="Arial"/>
                <w:sz w:val="18"/>
                <w:szCs w:val="18"/>
                <w:rtl w:val="0"/>
              </w:rPr>
              <w:t xml:space="preserve">59.5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5F">
            <w:pPr>
              <w:spacing w:line="264" w:lineRule="auto"/>
              <w:jc w:val="center"/>
              <w:rPr/>
            </w:pPr>
            <w:r w:rsidDel="00000000" w:rsidR="00000000" w:rsidRPr="00000000">
              <w:rPr>
                <w:rFonts w:ascii="Arial" w:cs="Arial" w:eastAsia="Arial" w:hAnsi="Arial"/>
                <w:sz w:val="18"/>
                <w:szCs w:val="18"/>
                <w:rtl w:val="0"/>
              </w:rPr>
              <w:t xml:space="preserve">51.2</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0">
            <w:pPr>
              <w:spacing w:line="264" w:lineRule="auto"/>
              <w:jc w:val="left"/>
              <w:rPr/>
            </w:pPr>
            <w:r w:rsidDel="00000000" w:rsidR="00000000" w:rsidRPr="00000000">
              <w:rPr>
                <w:rFonts w:ascii="Arial" w:cs="Arial" w:eastAsia="Arial" w:hAnsi="Arial"/>
                <w:b w:val="1"/>
                <w:bCs w:val="1"/>
                <w:sz w:val="18"/>
                <w:szCs w:val="18"/>
                <w:rtl w:val="0"/>
              </w:rPr>
              <w:t xml:space="preserve">Op. Result</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1">
            <w:pPr>
              <w:spacing w:line="264" w:lineRule="auto"/>
              <w:jc w:val="center"/>
              <w:rPr/>
            </w:pPr>
            <w:r w:rsidDel="00000000" w:rsidR="00000000" w:rsidRPr="00000000">
              <w:rPr>
                <w:rFonts w:ascii="Arial" w:cs="Arial" w:eastAsia="Arial" w:hAnsi="Arial"/>
                <w:sz w:val="18"/>
                <w:szCs w:val="18"/>
                <w:rtl w:val="0"/>
              </w:rPr>
              <w:t xml:space="preserve">19.3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2">
            <w:pPr>
              <w:spacing w:line="264" w:lineRule="auto"/>
              <w:jc w:val="center"/>
              <w:rPr/>
            </w:pPr>
            <w:r w:rsidDel="00000000" w:rsidR="00000000" w:rsidRPr="00000000">
              <w:rPr>
                <w:rFonts w:ascii="Arial" w:cs="Arial" w:eastAsia="Arial" w:hAnsi="Arial"/>
                <w:sz w:val="18"/>
                <w:szCs w:val="18"/>
                <w:rtl w:val="0"/>
              </w:rPr>
              <w:t xml:space="preserve">22.1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3">
            <w:pPr>
              <w:spacing w:line="264" w:lineRule="auto"/>
              <w:jc w:val="center"/>
              <w:rPr/>
            </w:pPr>
            <w:r w:rsidDel="00000000" w:rsidR="00000000" w:rsidRPr="00000000">
              <w:rPr>
                <w:rFonts w:ascii="Arial" w:cs="Arial" w:eastAsia="Arial" w:hAnsi="Arial"/>
                <w:sz w:val="18"/>
                <w:szCs w:val="18"/>
                <w:rtl w:val="0"/>
              </w:rPr>
              <w:t xml:space="preserve">22.5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4">
            <w:pPr>
              <w:spacing w:line="264" w:lineRule="auto"/>
              <w:jc w:val="center"/>
              <w:rPr/>
            </w:pPr>
            <w:r w:rsidDel="00000000" w:rsidR="00000000" w:rsidRPr="00000000">
              <w:rPr>
                <w:rFonts w:ascii="Arial" w:cs="Arial" w:eastAsia="Arial" w:hAnsi="Arial"/>
                <w:sz w:val="18"/>
                <w:szCs w:val="18"/>
                <w:rtl w:val="0"/>
              </w:rPr>
              <w:t xml:space="preserve">19.1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5">
            <w:pPr>
              <w:spacing w:line="264" w:lineRule="auto"/>
              <w:jc w:val="center"/>
              <w:rPr/>
            </w:pPr>
            <w:r w:rsidDel="00000000" w:rsidR="00000000" w:rsidRPr="00000000">
              <w:rPr>
                <w:rFonts w:ascii="Arial" w:cs="Arial" w:eastAsia="Arial" w:hAnsi="Arial"/>
                <w:sz w:val="18"/>
                <w:szCs w:val="18"/>
                <w:rtl w:val="0"/>
              </w:rPr>
              <w:t xml:space="preserve">8.9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6">
            <w:pPr>
              <w:spacing w:line="264" w:lineRule="auto"/>
              <w:jc w:val="left"/>
              <w:rPr/>
            </w:pPr>
            <w:r w:rsidDel="00000000" w:rsidR="00000000" w:rsidRPr="00000000">
              <w:rPr>
                <w:rFonts w:ascii="Arial" w:cs="Arial" w:eastAsia="Arial" w:hAnsi="Arial"/>
                <w:b w:val="1"/>
                <w:bCs w:val="1"/>
                <w:sz w:val="18"/>
                <w:szCs w:val="18"/>
                <w:rtl w:val="0"/>
              </w:rPr>
              <w:t xml:space="preserve">Earnings After Tax</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7">
            <w:pPr>
              <w:spacing w:line="264" w:lineRule="auto"/>
              <w:jc w:val="center"/>
              <w:rPr/>
            </w:pPr>
            <w:r w:rsidDel="00000000" w:rsidR="00000000" w:rsidRPr="00000000">
              <w:rPr>
                <w:rFonts w:ascii="Arial" w:cs="Arial" w:eastAsia="Arial" w:hAnsi="Arial"/>
                <w:sz w:val="18"/>
                <w:szCs w:val="18"/>
                <w:rtl w:val="0"/>
              </w:rPr>
              <w:t xml:space="preserve">15.4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8">
            <w:pPr>
              <w:spacing w:line="264" w:lineRule="auto"/>
              <w:jc w:val="center"/>
              <w:rPr/>
            </w:pPr>
            <w:r w:rsidDel="00000000" w:rsidR="00000000" w:rsidRPr="00000000">
              <w:rPr>
                <w:rFonts w:ascii="Arial" w:cs="Arial" w:eastAsia="Arial" w:hAnsi="Arial"/>
                <w:sz w:val="18"/>
                <w:szCs w:val="18"/>
                <w:rtl w:val="0"/>
              </w:rPr>
              <w:t xml:space="preserve">15.9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9">
            <w:pPr>
              <w:spacing w:line="264" w:lineRule="auto"/>
              <w:jc w:val="center"/>
              <w:rPr/>
            </w:pPr>
            <w:r w:rsidDel="00000000" w:rsidR="00000000" w:rsidRPr="00000000">
              <w:rPr>
                <w:rFonts w:ascii="Arial" w:cs="Arial" w:eastAsia="Arial" w:hAnsi="Arial"/>
                <w:sz w:val="18"/>
                <w:szCs w:val="18"/>
                <w:rtl w:val="0"/>
              </w:rPr>
              <w:t xml:space="preserve">17.9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A">
            <w:pPr>
              <w:spacing w:line="264" w:lineRule="auto"/>
              <w:jc w:val="center"/>
              <w:rPr/>
            </w:pPr>
            <w:r w:rsidDel="00000000" w:rsidR="00000000" w:rsidRPr="00000000">
              <w:rPr>
                <w:rFonts w:ascii="Arial" w:cs="Arial" w:eastAsia="Arial" w:hAnsi="Arial"/>
                <w:sz w:val="18"/>
                <w:szCs w:val="18"/>
                <w:rtl w:val="0"/>
              </w:rPr>
              <w:t xml:space="preserve">12.4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6B">
            <w:pPr>
              <w:spacing w:line="264" w:lineRule="auto"/>
              <w:jc w:val="center"/>
              <w:rPr/>
            </w:pPr>
            <w:r w:rsidDel="00000000" w:rsidR="00000000" w:rsidRPr="00000000">
              <w:rPr>
                <w:rFonts w:ascii="Arial" w:cs="Arial" w:eastAsia="Arial" w:hAnsi="Arial"/>
                <w:sz w:val="18"/>
                <w:szCs w:val="18"/>
                <w:rtl w:val="0"/>
              </w:rPr>
              <w:t xml:space="preserve">6.9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C">
            <w:pPr>
              <w:spacing w:line="264" w:lineRule="auto"/>
              <w:jc w:val="left"/>
              <w:rPr/>
            </w:pPr>
            <w:r w:rsidDel="00000000" w:rsidR="00000000" w:rsidRPr="00000000">
              <w:rPr>
                <w:rFonts w:ascii="Arial" w:cs="Arial" w:eastAsia="Arial" w:hAnsi="Arial"/>
                <w:b w:val="1"/>
                <w:bCs w:val="1"/>
                <w:sz w:val="18"/>
                <w:szCs w:val="18"/>
                <w:rtl w:val="0"/>
              </w:rPr>
              <w:t xml:space="preserve">Total Assets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D">
            <w:pPr>
              <w:spacing w:line="264" w:lineRule="auto"/>
              <w:jc w:val="center"/>
              <w:rPr/>
            </w:pPr>
            <w:r w:rsidDel="00000000" w:rsidR="00000000" w:rsidRPr="00000000">
              <w:rPr>
                <w:rFonts w:ascii="Arial" w:cs="Arial" w:eastAsia="Arial" w:hAnsi="Arial"/>
                <w:sz w:val="18"/>
                <w:szCs w:val="18"/>
                <w:rtl w:val="0"/>
              </w:rPr>
              <w:t xml:space="preserve">528.6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E">
            <w:pPr>
              <w:spacing w:line="264" w:lineRule="auto"/>
              <w:jc w:val="center"/>
              <w:rPr/>
            </w:pPr>
            <w:r w:rsidDel="00000000" w:rsidR="00000000" w:rsidRPr="00000000">
              <w:rPr>
                <w:rFonts w:ascii="Arial" w:cs="Arial" w:eastAsia="Arial" w:hAnsi="Arial"/>
                <w:sz w:val="18"/>
                <w:szCs w:val="18"/>
                <w:rtl w:val="0"/>
              </w:rPr>
              <w:t xml:space="preserve">564.0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6F">
            <w:pPr>
              <w:spacing w:line="264" w:lineRule="auto"/>
              <w:jc w:val="center"/>
              <w:rPr/>
            </w:pPr>
            <w:r w:rsidDel="00000000" w:rsidR="00000000" w:rsidRPr="00000000">
              <w:rPr>
                <w:rFonts w:ascii="Arial" w:cs="Arial" w:eastAsia="Arial" w:hAnsi="Arial"/>
                <w:sz w:val="18"/>
                <w:szCs w:val="18"/>
                <w:rtl w:val="0"/>
              </w:rPr>
              <w:t xml:space="preserve">600.6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0">
            <w:pPr>
              <w:spacing w:line="264" w:lineRule="auto"/>
              <w:jc w:val="center"/>
              <w:rPr/>
            </w:pPr>
            <w:r w:rsidDel="00000000" w:rsidR="00000000" w:rsidRPr="00000000">
              <w:rPr>
                <w:rFonts w:ascii="Arial" w:cs="Arial" w:eastAsia="Arial" w:hAnsi="Arial"/>
                <w:sz w:val="18"/>
                <w:szCs w:val="18"/>
                <w:rtl w:val="0"/>
              </w:rPr>
              <w:t xml:space="preserve">632.9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1">
            <w:pPr>
              <w:spacing w:line="264" w:lineRule="auto"/>
              <w:jc w:val="center"/>
              <w:rPr/>
            </w:pPr>
            <w:r w:rsidDel="00000000" w:rsidR="00000000" w:rsidRPr="00000000">
              <w:rPr>
                <w:rFonts w:ascii="Arial" w:cs="Arial" w:eastAsia="Arial" w:hAnsi="Arial"/>
                <w:sz w:val="18"/>
                <w:szCs w:val="18"/>
                <w:rtl w:val="0"/>
              </w:rPr>
              <w:t xml:space="preserve">644.5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2">
            <w:pPr>
              <w:spacing w:line="264" w:lineRule="auto"/>
              <w:jc w:val="left"/>
              <w:rPr/>
            </w:pPr>
            <w:r w:rsidDel="00000000" w:rsidR="00000000" w:rsidRPr="00000000">
              <w:rPr>
                <w:rFonts w:ascii="Arial" w:cs="Arial" w:eastAsia="Arial" w:hAnsi="Arial"/>
                <w:b w:val="1"/>
                <w:bCs w:val="1"/>
                <w:sz w:val="18"/>
                <w:szCs w:val="18"/>
                <w:rtl w:val="0"/>
              </w:rPr>
              <w:t xml:space="preserve">Equity</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3">
            <w:pPr>
              <w:spacing w:line="264" w:lineRule="auto"/>
              <w:jc w:val="center"/>
              <w:rPr/>
            </w:pPr>
            <w:r w:rsidDel="00000000" w:rsidR="00000000" w:rsidRPr="00000000">
              <w:rPr>
                <w:rFonts w:ascii="Arial" w:cs="Arial" w:eastAsia="Arial" w:hAnsi="Arial"/>
                <w:sz w:val="18"/>
                <w:szCs w:val="18"/>
                <w:rtl w:val="0"/>
              </w:rPr>
              <w:t xml:space="preserve">146.2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4">
            <w:pPr>
              <w:spacing w:line="264" w:lineRule="auto"/>
              <w:jc w:val="center"/>
              <w:rPr/>
            </w:pPr>
            <w:r w:rsidDel="00000000" w:rsidR="00000000" w:rsidRPr="00000000">
              <w:rPr>
                <w:rFonts w:ascii="Arial" w:cs="Arial" w:eastAsia="Arial" w:hAnsi="Arial"/>
                <w:sz w:val="18"/>
                <w:szCs w:val="18"/>
                <w:rtl w:val="0"/>
              </w:rPr>
              <w:t xml:space="preserve">178.3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5">
            <w:pPr>
              <w:spacing w:line="264" w:lineRule="auto"/>
              <w:jc w:val="center"/>
              <w:rPr/>
            </w:pPr>
            <w:r w:rsidDel="00000000" w:rsidR="00000000" w:rsidRPr="00000000">
              <w:rPr>
                <w:rFonts w:ascii="Arial" w:cs="Arial" w:eastAsia="Arial" w:hAnsi="Arial"/>
                <w:sz w:val="18"/>
                <w:szCs w:val="18"/>
                <w:rtl w:val="0"/>
              </w:rPr>
              <w:t xml:space="preserve">189.2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6">
            <w:pPr>
              <w:spacing w:line="264" w:lineRule="auto"/>
              <w:jc w:val="center"/>
              <w:rPr/>
            </w:pPr>
            <w:r w:rsidDel="00000000" w:rsidR="00000000" w:rsidRPr="00000000">
              <w:rPr>
                <w:rFonts w:ascii="Arial" w:cs="Arial" w:eastAsia="Arial" w:hAnsi="Arial"/>
                <w:sz w:val="18"/>
                <w:szCs w:val="18"/>
                <w:rtl w:val="0"/>
              </w:rPr>
              <w:t xml:space="preserve">196.7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77">
            <w:pPr>
              <w:spacing w:line="264" w:lineRule="auto"/>
              <w:jc w:val="center"/>
              <w:rPr/>
            </w:pPr>
            <w:r w:rsidDel="00000000" w:rsidR="00000000" w:rsidRPr="00000000">
              <w:rPr>
                <w:rFonts w:ascii="Arial" w:cs="Arial" w:eastAsia="Arial" w:hAnsi="Arial"/>
                <w:sz w:val="18"/>
                <w:szCs w:val="18"/>
                <w:rtl w:val="0"/>
              </w:rPr>
              <w:t xml:space="preserve">203.1</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8">
            <w:pPr>
              <w:spacing w:line="264" w:lineRule="auto"/>
              <w:jc w:val="left"/>
              <w:rPr/>
            </w:pPr>
            <w:r w:rsidDel="00000000" w:rsidR="00000000" w:rsidRPr="00000000">
              <w:rPr>
                <w:rFonts w:ascii="Arial" w:cs="Arial" w:eastAsia="Arial" w:hAnsi="Arial"/>
                <w:b w:val="1"/>
                <w:bCs w:val="1"/>
                <w:sz w:val="18"/>
                <w:szCs w:val="18"/>
                <w:rtl w:val="0"/>
              </w:rPr>
              <w:t xml:space="preserve">EPS (€)</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9">
            <w:pPr>
              <w:spacing w:line="264" w:lineRule="auto"/>
              <w:jc w:val="center"/>
              <w:rPr/>
            </w:pPr>
            <w:r w:rsidDel="00000000" w:rsidR="00000000" w:rsidRPr="00000000">
              <w:rPr>
                <w:rFonts w:ascii="Arial" w:cs="Arial" w:eastAsia="Arial" w:hAnsi="Arial"/>
                <w:sz w:val="18"/>
                <w:szCs w:val="18"/>
                <w:rtl w:val="0"/>
              </w:rPr>
              <w:t xml:space="preserve">29.59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A">
            <w:pPr>
              <w:spacing w:line="264" w:lineRule="auto"/>
              <w:jc w:val="center"/>
              <w:rPr/>
            </w:pPr>
            <w:r w:rsidDel="00000000" w:rsidR="00000000" w:rsidRPr="00000000">
              <w:rPr>
                <w:rFonts w:ascii="Arial" w:cs="Arial" w:eastAsia="Arial" w:hAnsi="Arial"/>
                <w:sz w:val="18"/>
                <w:szCs w:val="18"/>
                <w:rtl w:val="0"/>
              </w:rPr>
              <w:t xml:space="preserve">29.66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B">
            <w:pPr>
              <w:spacing w:line="264" w:lineRule="auto"/>
              <w:jc w:val="center"/>
              <w:rPr/>
            </w:pPr>
            <w:r w:rsidDel="00000000" w:rsidR="00000000" w:rsidRPr="00000000">
              <w:rPr>
                <w:rFonts w:ascii="Arial" w:cs="Arial" w:eastAsia="Arial" w:hAnsi="Arial"/>
                <w:sz w:val="18"/>
                <w:szCs w:val="18"/>
                <w:rtl w:val="0"/>
              </w:rPr>
              <w:t xml:space="preserve">31.79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C">
            <w:pPr>
              <w:spacing w:line="264" w:lineRule="auto"/>
              <w:jc w:val="center"/>
              <w:rPr/>
            </w:pPr>
            <w:r w:rsidDel="00000000" w:rsidR="00000000" w:rsidRPr="00000000">
              <w:rPr>
                <w:rFonts w:ascii="Arial" w:cs="Arial" w:eastAsia="Arial" w:hAnsi="Arial"/>
                <w:sz w:val="18"/>
                <w:szCs w:val="18"/>
                <w:rtl w:val="0"/>
              </w:rPr>
              <w:t xml:space="preserve">21.36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7D">
            <w:pPr>
              <w:spacing w:line="264" w:lineRule="auto"/>
              <w:jc w:val="center"/>
              <w:rPr/>
            </w:pPr>
            <w:r w:rsidDel="00000000" w:rsidR="00000000" w:rsidRPr="00000000">
              <w:rPr>
                <w:rFonts w:ascii="Arial" w:cs="Arial" w:eastAsia="Arial" w:hAnsi="Arial"/>
                <w:sz w:val="18"/>
                <w:szCs w:val="18"/>
                <w:rtl w:val="0"/>
              </w:rPr>
              <w:t xml:space="preserve">13.29</w:t>
            </w:r>
            <w:r w:rsidDel="00000000" w:rsidR="00000000" w:rsidRPr="00000000">
              <w:rPr>
                <w:rtl w:val="0"/>
              </w:rPr>
            </w:r>
          </w:p>
        </w:tc>
      </w:tr>
    </w:tbl>
    <w:p w:rsidR="00000000" w:rsidDel="00000000" w:rsidP="00000000" w:rsidRDefault="00000000" w:rsidRPr="00000000" w14:paraId="0000007E">
      <w:pPr>
        <w:spacing w:after="160" w:line="360" w:lineRule="auto"/>
        <w:jc w:val="center"/>
        <w:rPr/>
      </w:pPr>
      <w:r w:rsidDel="00000000" w:rsidR="00000000" w:rsidRPr="00000000">
        <w:rPr>
          <w:rFonts w:ascii="Arial" w:cs="Arial" w:eastAsia="Arial" w:hAnsi="Arial"/>
          <w:i w:val="1"/>
          <w:iCs w:val="1"/>
          <w:sz w:val="20"/>
          <w:szCs w:val="20"/>
          <w:rtl w:val="0"/>
        </w:rPr>
        <w:t xml:space="preserve">Source: Compiled from Volkswagen AG (2026) Annual Report and Five-Year Review.</w:t>
      </w:r>
      <w:r w:rsidDel="00000000" w:rsidR="00000000" w:rsidRPr="00000000">
        <w:rPr>
          <w:rtl w:val="0"/>
        </w:rPr>
      </w:r>
    </w:p>
    <w:p w:rsidR="00000000" w:rsidDel="00000000" w:rsidP="00000000" w:rsidRDefault="00000000" w:rsidRPr="00000000" w14:paraId="0000007F">
      <w:pPr>
        <w:spacing w:after="80" w:line="360" w:lineRule="auto"/>
        <w:jc w:val="center"/>
        <w:rPr/>
      </w:pPr>
      <w:r w:rsidDel="00000000" w:rsidR="00000000" w:rsidRPr="00000000">
        <w:rPr/>
        <w:drawing>
          <wp:inline distB="0" distT="0" distL="0" distR="0">
            <wp:extent cx="5500000" cy="3069767"/>
            <wp:effectExtent b="0" l="0" r="0" t="0"/>
            <wp:docPr id="4"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5500000" cy="3069767"/>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160" w:line="360" w:lineRule="auto"/>
        <w:jc w:val="center"/>
        <w:rPr/>
      </w:pPr>
      <w:r w:rsidDel="00000000" w:rsidR="00000000" w:rsidRPr="00000000">
        <w:rPr>
          <w:rFonts w:ascii="Arial" w:cs="Arial" w:eastAsia="Arial" w:hAnsi="Arial"/>
          <w:i w:val="1"/>
          <w:iCs w:val="1"/>
          <w:sz w:val="20"/>
          <w:szCs w:val="20"/>
          <w:rtl w:val="0"/>
        </w:rPr>
        <w:t xml:space="preserve">Figure 1: Volkswagen Group Revenue Trend, FY2021–FY2025 (€ </w:t>
      </w:r>
      <w:r w:rsidDel="00000000" w:rsidR="00000000" w:rsidRPr="00000000">
        <w:rPr>
          <w:i w:val="1"/>
          <w:iCs w:val="1"/>
          <w:sz w:val="20"/>
          <w:szCs w:val="20"/>
          <w:rtl w:val="0"/>
        </w:rPr>
        <w:t xml:space="preserve">Billion).</w:t>
      </w:r>
      <w:r w:rsidDel="00000000" w:rsidR="00000000" w:rsidRPr="00000000">
        <w:rPr>
          <w:rFonts w:ascii="Arial" w:cs="Arial" w:eastAsia="Arial" w:hAnsi="Arial"/>
          <w:i w:val="1"/>
          <w:iCs w:val="1"/>
          <w:sz w:val="20"/>
          <w:szCs w:val="20"/>
          <w:rtl w:val="0"/>
        </w:rPr>
        <w:t xml:space="preserve"> Source: Author’s compilation.</w:t>
      </w:r>
      <w:r w:rsidDel="00000000" w:rsidR="00000000" w:rsidRPr="00000000">
        <w:rPr>
          <w:rtl w:val="0"/>
        </w:rPr>
      </w:r>
    </w:p>
    <w:p w:rsidR="00000000" w:rsidDel="00000000" w:rsidP="00000000" w:rsidRDefault="00000000" w:rsidRPr="00000000" w14:paraId="00000081">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2.1 Profitability Analysis</w:t>
      </w:r>
      <w:r w:rsidDel="00000000" w:rsidR="00000000" w:rsidRPr="00000000">
        <w:rPr>
          <w:rtl w:val="0"/>
        </w:rPr>
      </w:r>
    </w:p>
    <w:p w:rsidR="00000000" w:rsidDel="00000000" w:rsidP="00000000" w:rsidRDefault="00000000" w:rsidRPr="00000000" w14:paraId="00000082">
      <w:pPr>
        <w:spacing w:after="100" w:line="360" w:lineRule="auto"/>
        <w:jc w:val="both"/>
        <w:rPr/>
      </w:pPr>
      <w:r w:rsidDel="00000000" w:rsidR="00000000" w:rsidRPr="00000000">
        <w:rPr>
          <w:rFonts w:ascii="Arial" w:cs="Arial" w:eastAsia="Arial" w:hAnsi="Arial"/>
          <w:sz w:val="24"/>
          <w:szCs w:val="24"/>
          <w:rtl w:val="0"/>
        </w:rPr>
        <w:t xml:space="preserve">The profitability decline at Volkswagen is, frankly, hard to sugar-coat. Gross margin held up reasonably well between FY2021 and FY2023, sitting in the 18.7% to 18.9% range. But it dropped noticeably to 18.3% in FY2024 and then more sharply to 15.9% in FY2025. That 3-percentage-point fall in gross margin over two years translates to roughly €10 billion in lost gross profit, which is significant by any measure. The main culprits are </w:t>
      </w:r>
      <w:r w:rsidDel="00000000" w:rsidR="00000000" w:rsidRPr="00000000">
        <w:rPr>
          <w:rtl w:val="0"/>
        </w:rPr>
        <w:t xml:space="preserve">the rising</w:t>
      </w:r>
      <w:r w:rsidDel="00000000" w:rsidR="00000000" w:rsidRPr="00000000">
        <w:rPr>
          <w:rFonts w:ascii="Arial" w:cs="Arial" w:eastAsia="Arial" w:hAnsi="Arial"/>
          <w:sz w:val="24"/>
          <w:szCs w:val="24"/>
          <w:rtl w:val="0"/>
        </w:rPr>
        <w:t xml:space="preserve"> cost of sales, which climbed from €203.0 billion in FY2021 to €270.7 billion in FY2025, and pricing pressure in key markets, particularly </w:t>
      </w:r>
      <w:r w:rsidDel="00000000" w:rsidR="00000000" w:rsidRPr="00000000">
        <w:rPr>
          <w:rtl w:val="0"/>
        </w:rPr>
        <w:t xml:space="preserve">China,</w:t>
      </w:r>
      <w:r w:rsidDel="00000000" w:rsidR="00000000" w:rsidRPr="00000000">
        <w:rPr>
          <w:rFonts w:ascii="Arial" w:cs="Arial" w:eastAsia="Arial" w:hAnsi="Arial"/>
          <w:sz w:val="24"/>
          <w:szCs w:val="24"/>
          <w:rtl w:val="0"/>
        </w:rPr>
        <w:t xml:space="preserve"> where BYD and local competitors have been undercutting European manufacturers on price consistently (IEA, 2025).</w:t>
      </w:r>
      <w:r w:rsidDel="00000000" w:rsidR="00000000" w:rsidRPr="00000000">
        <w:rPr>
          <w:rtl w:val="0"/>
        </w:rPr>
      </w:r>
    </w:p>
    <w:p w:rsidR="00000000" w:rsidDel="00000000" w:rsidP="00000000" w:rsidRDefault="00000000" w:rsidRPr="00000000" w14:paraId="00000083">
      <w:pPr>
        <w:spacing w:after="100" w:line="360" w:lineRule="auto"/>
        <w:jc w:val="both"/>
        <w:rPr/>
      </w:pPr>
      <w:r w:rsidDel="00000000" w:rsidR="00000000" w:rsidRPr="00000000">
        <w:rPr>
          <w:rFonts w:ascii="Arial" w:cs="Arial" w:eastAsia="Arial" w:hAnsi="Arial"/>
          <w:sz w:val="24"/>
          <w:szCs w:val="24"/>
          <w:rtl w:val="0"/>
        </w:rPr>
        <w:t xml:space="preserve">Operating margin paints an even grimmer picture. It went from 7.7% in FY2021 to a peak of 7.9% in FY2022, then started sliding: 7.0% in FY2023, 5.9% in FY2024, and just 2.8% in FY2025. Losing nearly 5 percentage points of margin in three years is not something you can brush off. It raises real questions about whether costs are being managed properly and whether the strategic direction actually makes sense. Part of the FY2025 decline is attributable to specific one-off items: a goodwill impairment at Porsche, write-downs on the Rivian and Northvolt investments, and restructuring expenses related to the cost-cutting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announced in late 2024 (Volkswagen AG, 2026). But even stripping those out, the underlying trend is clearly downward, and that is arguably the more concerning part. Distribution expenses grew to €22.8 billion and administrative expenses to €12.5 billion, both reflecting the cost of maintaining a sprawling multi-brand portfolio.</w:t>
      </w:r>
      <w:r w:rsidDel="00000000" w:rsidR="00000000" w:rsidRPr="00000000">
        <w:rPr>
          <w:rtl w:val="0"/>
        </w:rPr>
      </w:r>
    </w:p>
    <w:p w:rsidR="00000000" w:rsidDel="00000000" w:rsidP="00000000" w:rsidRDefault="00000000" w:rsidRPr="00000000" w14:paraId="00000084">
      <w:pPr>
        <w:spacing w:after="100" w:line="360" w:lineRule="auto"/>
        <w:jc w:val="both"/>
        <w:rPr/>
      </w:pPr>
      <w:r w:rsidDel="00000000" w:rsidR="00000000" w:rsidRPr="00000000">
        <w:rPr>
          <w:rFonts w:ascii="Arial" w:cs="Arial" w:eastAsia="Arial" w:hAnsi="Arial"/>
          <w:sz w:val="24"/>
          <w:szCs w:val="24"/>
          <w:rtl w:val="0"/>
        </w:rPr>
        <w:t xml:space="preserve">Net margin went the same way, dropping from 6.2% to 2.1% over the five years. ROE fell from about 10.6% to roughly 3.4%, which is pretty clearly below what you would expect the cost of equity to be for a company this large and this complex.  Earnings per share have been cut by more than half, from €29.59 to €13.29 over five years. The P/E ratio at FY2025 year-end was around 7.9 times, which might look cheap on paper but actually reflects the market’s </w:t>
      </w:r>
      <w:r w:rsidDel="00000000" w:rsidR="00000000" w:rsidRPr="00000000">
        <w:rPr>
          <w:rtl w:val="0"/>
        </w:rPr>
        <w:t xml:space="preserve">skepticism</w:t>
      </w:r>
      <w:r w:rsidDel="00000000" w:rsidR="00000000" w:rsidRPr="00000000">
        <w:rPr>
          <w:rFonts w:ascii="Arial" w:cs="Arial" w:eastAsia="Arial" w:hAnsi="Arial"/>
          <w:sz w:val="24"/>
          <w:szCs w:val="24"/>
          <w:rtl w:val="0"/>
        </w:rPr>
        <w:t xml:space="preserve"> about whether Volkswagen can reverse this earnings decline (McLaney, 2017). The dividend was also reduced from €9.00 per share in FY2023 to €5.20 in FY2025, a 42% cut that sends a pretty clear signal about management’s confidence in near-term earnings recovery.</w:t>
      </w:r>
      <w:r w:rsidDel="00000000" w:rsidR="00000000" w:rsidRPr="00000000">
        <w:rPr>
          <w:rtl w:val="0"/>
        </w:rPr>
      </w:r>
    </w:p>
    <w:p w:rsidR="00000000" w:rsidDel="00000000" w:rsidP="00000000" w:rsidRDefault="00000000" w:rsidRPr="00000000" w14:paraId="00000085">
      <w:pPr>
        <w:spacing w:after="160" w:line="360" w:lineRule="auto"/>
        <w:jc w:val="center"/>
        <w:rPr/>
      </w:pPr>
      <w:r w:rsidDel="00000000" w:rsidR="00000000" w:rsidRPr="00000000">
        <w:rPr>
          <w:rFonts w:ascii="Arial" w:cs="Arial" w:eastAsia="Arial" w:hAnsi="Arial"/>
          <w:i w:val="1"/>
          <w:iCs w:val="1"/>
          <w:sz w:val="20"/>
          <w:szCs w:val="20"/>
          <w:rtl w:val="0"/>
        </w:rPr>
        <w:t xml:space="preserve">Table 2: Profitability Ratios (FY2021–FY2025)</w:t>
      </w:r>
      <w:r w:rsidDel="00000000" w:rsidR="00000000" w:rsidRPr="00000000">
        <w:rPr>
          <w:rtl w:val="0"/>
        </w:rPr>
      </w:r>
    </w:p>
    <w:tbl>
      <w:tblPr>
        <w:tblStyle w:val="Table2"/>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0"/>
        <w:gridCol w:w="1425"/>
        <w:gridCol w:w="1425"/>
        <w:gridCol w:w="1425"/>
        <w:gridCol w:w="1425"/>
        <w:gridCol w:w="1426"/>
        <w:tblGridChange w:id="0">
          <w:tblGrid>
            <w:gridCol w:w="1900"/>
            <w:gridCol w:w="1425"/>
            <w:gridCol w:w="1425"/>
            <w:gridCol w:w="1425"/>
            <w:gridCol w:w="1425"/>
            <w:gridCol w:w="1426"/>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6">
            <w:pPr>
              <w:spacing w:line="264" w:lineRule="auto"/>
              <w:jc w:val="center"/>
              <w:rPr/>
            </w:pPr>
            <w:r w:rsidDel="00000000" w:rsidR="00000000" w:rsidRPr="00000000">
              <w:rPr>
                <w:rFonts w:ascii="Arial" w:cs="Arial" w:eastAsia="Arial" w:hAnsi="Arial"/>
                <w:b w:val="1"/>
                <w:bCs w:val="1"/>
                <w:color w:val="ffffff"/>
                <w:sz w:val="18"/>
                <w:szCs w:val="18"/>
                <w:rtl w:val="0"/>
              </w:rPr>
              <w:t xml:space="preserve">Ratio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7">
            <w:pPr>
              <w:spacing w:line="264" w:lineRule="auto"/>
              <w:jc w:val="center"/>
              <w:rPr/>
            </w:pPr>
            <w:r w:rsidDel="00000000" w:rsidR="00000000" w:rsidRPr="00000000">
              <w:rPr>
                <w:rFonts w:ascii="Arial" w:cs="Arial" w:eastAsia="Arial" w:hAnsi="Arial"/>
                <w:b w:val="1"/>
                <w:bCs w:val="1"/>
                <w:color w:val="ffffff"/>
                <w:sz w:val="18"/>
                <w:szCs w:val="18"/>
                <w:rtl w:val="0"/>
              </w:rPr>
              <w:t xml:space="preserve">FY2021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8">
            <w:pPr>
              <w:spacing w:line="264" w:lineRule="auto"/>
              <w:jc w:val="center"/>
              <w:rPr/>
            </w:pPr>
            <w:r w:rsidDel="00000000" w:rsidR="00000000" w:rsidRPr="00000000">
              <w:rPr>
                <w:rFonts w:ascii="Arial" w:cs="Arial" w:eastAsia="Arial" w:hAnsi="Arial"/>
                <w:b w:val="1"/>
                <w:bCs w:val="1"/>
                <w:color w:val="ffffff"/>
                <w:sz w:val="18"/>
                <w:szCs w:val="18"/>
                <w:rtl w:val="0"/>
              </w:rPr>
              <w:t xml:space="preserve">FY2022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9">
            <w:pPr>
              <w:spacing w:line="264" w:lineRule="auto"/>
              <w:jc w:val="center"/>
              <w:rPr/>
            </w:pPr>
            <w:r w:rsidDel="00000000" w:rsidR="00000000" w:rsidRPr="00000000">
              <w:rPr>
                <w:rFonts w:ascii="Arial" w:cs="Arial" w:eastAsia="Arial" w:hAnsi="Arial"/>
                <w:b w:val="1"/>
                <w:bCs w:val="1"/>
                <w:color w:val="ffffff"/>
                <w:sz w:val="18"/>
                <w:szCs w:val="18"/>
                <w:rtl w:val="0"/>
              </w:rPr>
              <w:t xml:space="preserve">FY2023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A">
            <w:pPr>
              <w:spacing w:line="264" w:lineRule="auto"/>
              <w:jc w:val="center"/>
              <w:rPr/>
            </w:pPr>
            <w:r w:rsidDel="00000000" w:rsidR="00000000" w:rsidRPr="00000000">
              <w:rPr>
                <w:rFonts w:ascii="Arial" w:cs="Arial" w:eastAsia="Arial" w:hAnsi="Arial"/>
                <w:b w:val="1"/>
                <w:bCs w:val="1"/>
                <w:color w:val="ffffff"/>
                <w:sz w:val="18"/>
                <w:szCs w:val="18"/>
                <w:rtl w:val="0"/>
              </w:rPr>
              <w:t xml:space="preserve">FY2024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8B">
            <w:pPr>
              <w:spacing w:line="264" w:lineRule="auto"/>
              <w:jc w:val="center"/>
              <w:rPr/>
            </w:pPr>
            <w:r w:rsidDel="00000000" w:rsidR="00000000" w:rsidRPr="00000000">
              <w:rPr>
                <w:rFonts w:ascii="Arial" w:cs="Arial" w:eastAsia="Arial" w:hAnsi="Arial"/>
                <w:b w:val="1"/>
                <w:bCs w:val="1"/>
                <w:color w:val="ffffff"/>
                <w:sz w:val="18"/>
                <w:szCs w:val="18"/>
                <w:rtl w:val="0"/>
              </w:rPr>
              <w:t xml:space="preserve">FY2025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8C">
            <w:pPr>
              <w:spacing w:line="264" w:lineRule="auto"/>
              <w:jc w:val="left"/>
              <w:rPr/>
            </w:pPr>
            <w:r w:rsidDel="00000000" w:rsidR="00000000" w:rsidRPr="00000000">
              <w:rPr>
                <w:rFonts w:ascii="Arial" w:cs="Arial" w:eastAsia="Arial" w:hAnsi="Arial"/>
                <w:b w:val="1"/>
                <w:bCs w:val="1"/>
                <w:sz w:val="18"/>
                <w:szCs w:val="18"/>
                <w:rtl w:val="0"/>
              </w:rPr>
              <w:t xml:space="preserve">Gross Margin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8D">
            <w:pPr>
              <w:spacing w:line="264" w:lineRule="auto"/>
              <w:jc w:val="center"/>
              <w:rPr/>
            </w:pPr>
            <w:r w:rsidDel="00000000" w:rsidR="00000000" w:rsidRPr="00000000">
              <w:rPr>
                <w:rFonts w:ascii="Arial" w:cs="Arial" w:eastAsia="Arial" w:hAnsi="Arial"/>
                <w:sz w:val="18"/>
                <w:szCs w:val="18"/>
                <w:rtl w:val="0"/>
              </w:rPr>
              <w:t xml:space="preserve">18.9%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8E">
            <w:pPr>
              <w:spacing w:line="264" w:lineRule="auto"/>
              <w:jc w:val="center"/>
              <w:rPr/>
            </w:pPr>
            <w:r w:rsidDel="00000000" w:rsidR="00000000" w:rsidRPr="00000000">
              <w:rPr>
                <w:rFonts w:ascii="Arial" w:cs="Arial" w:eastAsia="Arial" w:hAnsi="Arial"/>
                <w:sz w:val="18"/>
                <w:szCs w:val="18"/>
                <w:rtl w:val="0"/>
              </w:rPr>
              <w:t xml:space="preserve">18.7%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8F">
            <w:pPr>
              <w:spacing w:line="264" w:lineRule="auto"/>
              <w:jc w:val="center"/>
              <w:rPr/>
            </w:pPr>
            <w:r w:rsidDel="00000000" w:rsidR="00000000" w:rsidRPr="00000000">
              <w:rPr>
                <w:rFonts w:ascii="Arial" w:cs="Arial" w:eastAsia="Arial" w:hAnsi="Arial"/>
                <w:sz w:val="18"/>
                <w:szCs w:val="18"/>
                <w:rtl w:val="0"/>
              </w:rPr>
              <w:t xml:space="preserve">18.9%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0">
            <w:pPr>
              <w:spacing w:line="264" w:lineRule="auto"/>
              <w:jc w:val="center"/>
              <w:rPr/>
            </w:pPr>
            <w:r w:rsidDel="00000000" w:rsidR="00000000" w:rsidRPr="00000000">
              <w:rPr>
                <w:rFonts w:ascii="Arial" w:cs="Arial" w:eastAsia="Arial" w:hAnsi="Arial"/>
                <w:sz w:val="18"/>
                <w:szCs w:val="18"/>
                <w:rtl w:val="0"/>
              </w:rPr>
              <w:t xml:space="preserve">18.3%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1">
            <w:pPr>
              <w:spacing w:line="264" w:lineRule="auto"/>
              <w:jc w:val="center"/>
              <w:rPr/>
            </w:pPr>
            <w:r w:rsidDel="00000000" w:rsidR="00000000" w:rsidRPr="00000000">
              <w:rPr>
                <w:rFonts w:ascii="Arial" w:cs="Arial" w:eastAsia="Arial" w:hAnsi="Arial"/>
                <w:sz w:val="18"/>
                <w:szCs w:val="18"/>
                <w:rtl w:val="0"/>
              </w:rPr>
              <w:t xml:space="preserve">15.9%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2">
            <w:pPr>
              <w:spacing w:line="264" w:lineRule="auto"/>
              <w:jc w:val="left"/>
              <w:rPr/>
            </w:pPr>
            <w:r w:rsidDel="00000000" w:rsidR="00000000" w:rsidRPr="00000000">
              <w:rPr>
                <w:rFonts w:ascii="Arial" w:cs="Arial" w:eastAsia="Arial" w:hAnsi="Arial"/>
                <w:b w:val="1"/>
                <w:bCs w:val="1"/>
                <w:sz w:val="18"/>
                <w:szCs w:val="18"/>
                <w:rtl w:val="0"/>
              </w:rPr>
              <w:t xml:space="preserve">Op. Margin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3">
            <w:pPr>
              <w:spacing w:line="264" w:lineRule="auto"/>
              <w:jc w:val="center"/>
              <w:rPr/>
            </w:pPr>
            <w:r w:rsidDel="00000000" w:rsidR="00000000" w:rsidRPr="00000000">
              <w:rPr>
                <w:rFonts w:ascii="Arial" w:cs="Arial" w:eastAsia="Arial" w:hAnsi="Arial"/>
                <w:sz w:val="18"/>
                <w:szCs w:val="18"/>
                <w:rtl w:val="0"/>
              </w:rPr>
              <w:t xml:space="preserve">7.7%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4">
            <w:pPr>
              <w:spacing w:line="264" w:lineRule="auto"/>
              <w:jc w:val="center"/>
              <w:rPr/>
            </w:pPr>
            <w:r w:rsidDel="00000000" w:rsidR="00000000" w:rsidRPr="00000000">
              <w:rPr>
                <w:rFonts w:ascii="Arial" w:cs="Arial" w:eastAsia="Arial" w:hAnsi="Arial"/>
                <w:sz w:val="18"/>
                <w:szCs w:val="18"/>
                <w:rtl w:val="0"/>
              </w:rPr>
              <w:t xml:space="preserve">7.9%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5">
            <w:pPr>
              <w:spacing w:line="264" w:lineRule="auto"/>
              <w:jc w:val="center"/>
              <w:rPr/>
            </w:pPr>
            <w:r w:rsidDel="00000000" w:rsidR="00000000" w:rsidRPr="00000000">
              <w:rPr>
                <w:rFonts w:ascii="Arial" w:cs="Arial" w:eastAsia="Arial" w:hAnsi="Arial"/>
                <w:sz w:val="18"/>
                <w:szCs w:val="18"/>
                <w:rtl w:val="0"/>
              </w:rPr>
              <w:t xml:space="preserve">7.0%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6">
            <w:pPr>
              <w:spacing w:line="264" w:lineRule="auto"/>
              <w:jc w:val="center"/>
              <w:rPr/>
            </w:pPr>
            <w:r w:rsidDel="00000000" w:rsidR="00000000" w:rsidRPr="00000000">
              <w:rPr>
                <w:rFonts w:ascii="Arial" w:cs="Arial" w:eastAsia="Arial" w:hAnsi="Arial"/>
                <w:sz w:val="18"/>
                <w:szCs w:val="18"/>
                <w:rtl w:val="0"/>
              </w:rPr>
              <w:t xml:space="preserve">5.9%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7">
            <w:pPr>
              <w:spacing w:line="264" w:lineRule="auto"/>
              <w:jc w:val="center"/>
              <w:rPr/>
            </w:pPr>
            <w:r w:rsidDel="00000000" w:rsidR="00000000" w:rsidRPr="00000000">
              <w:rPr>
                <w:rFonts w:ascii="Arial" w:cs="Arial" w:eastAsia="Arial" w:hAnsi="Arial"/>
                <w:sz w:val="18"/>
                <w:szCs w:val="18"/>
                <w:rtl w:val="0"/>
              </w:rPr>
              <w:t xml:space="preserve">2.8%</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8">
            <w:pPr>
              <w:spacing w:line="264" w:lineRule="auto"/>
              <w:jc w:val="left"/>
              <w:rPr/>
            </w:pPr>
            <w:r w:rsidDel="00000000" w:rsidR="00000000" w:rsidRPr="00000000">
              <w:rPr>
                <w:rFonts w:ascii="Arial" w:cs="Arial" w:eastAsia="Arial" w:hAnsi="Arial"/>
                <w:b w:val="1"/>
                <w:bCs w:val="1"/>
                <w:sz w:val="18"/>
                <w:szCs w:val="18"/>
                <w:rtl w:val="0"/>
              </w:rPr>
              <w:t xml:space="preserve">Net Margin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9">
            <w:pPr>
              <w:spacing w:line="264" w:lineRule="auto"/>
              <w:jc w:val="center"/>
              <w:rPr/>
            </w:pPr>
            <w:r w:rsidDel="00000000" w:rsidR="00000000" w:rsidRPr="00000000">
              <w:rPr>
                <w:rFonts w:ascii="Arial" w:cs="Arial" w:eastAsia="Arial" w:hAnsi="Arial"/>
                <w:sz w:val="18"/>
                <w:szCs w:val="18"/>
                <w:rtl w:val="0"/>
              </w:rPr>
              <w:t xml:space="preserve">6.2%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A">
            <w:pPr>
              <w:spacing w:line="264" w:lineRule="auto"/>
              <w:jc w:val="center"/>
              <w:rPr/>
            </w:pPr>
            <w:r w:rsidDel="00000000" w:rsidR="00000000" w:rsidRPr="00000000">
              <w:rPr>
                <w:rFonts w:ascii="Arial" w:cs="Arial" w:eastAsia="Arial" w:hAnsi="Arial"/>
                <w:sz w:val="18"/>
                <w:szCs w:val="18"/>
                <w:rtl w:val="0"/>
              </w:rPr>
              <w:t xml:space="preserve">5.7%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B">
            <w:pPr>
              <w:spacing w:line="264" w:lineRule="auto"/>
              <w:jc w:val="center"/>
              <w:rPr/>
            </w:pPr>
            <w:r w:rsidDel="00000000" w:rsidR="00000000" w:rsidRPr="00000000">
              <w:rPr>
                <w:rFonts w:ascii="Arial" w:cs="Arial" w:eastAsia="Arial" w:hAnsi="Arial"/>
                <w:sz w:val="18"/>
                <w:szCs w:val="18"/>
                <w:rtl w:val="0"/>
              </w:rPr>
              <w:t xml:space="preserve">5.5%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C">
            <w:pPr>
              <w:spacing w:line="264" w:lineRule="auto"/>
              <w:jc w:val="center"/>
              <w:rPr/>
            </w:pPr>
            <w:r w:rsidDel="00000000" w:rsidR="00000000" w:rsidRPr="00000000">
              <w:rPr>
                <w:rFonts w:ascii="Arial" w:cs="Arial" w:eastAsia="Arial" w:hAnsi="Arial"/>
                <w:sz w:val="18"/>
                <w:szCs w:val="18"/>
                <w:rtl w:val="0"/>
              </w:rPr>
              <w:t xml:space="preserve">3.8%</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9D">
            <w:pPr>
              <w:spacing w:line="264" w:lineRule="auto"/>
              <w:jc w:val="center"/>
              <w:rPr/>
            </w:pPr>
            <w:r w:rsidDel="00000000" w:rsidR="00000000" w:rsidRPr="00000000">
              <w:rPr>
                <w:rFonts w:ascii="Arial" w:cs="Arial" w:eastAsia="Arial" w:hAnsi="Arial"/>
                <w:sz w:val="18"/>
                <w:szCs w:val="18"/>
                <w:rtl w:val="0"/>
              </w:rPr>
              <w:t xml:space="preserve">2.1%</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E">
            <w:pPr>
              <w:spacing w:line="264" w:lineRule="auto"/>
              <w:jc w:val="left"/>
              <w:rPr/>
            </w:pPr>
            <w:r w:rsidDel="00000000" w:rsidR="00000000" w:rsidRPr="00000000">
              <w:rPr>
                <w:rFonts w:ascii="Arial" w:cs="Arial" w:eastAsia="Arial" w:hAnsi="Arial"/>
                <w:b w:val="1"/>
                <w:bCs w:val="1"/>
                <w:sz w:val="18"/>
                <w:szCs w:val="18"/>
                <w:rtl w:val="0"/>
              </w:rPr>
              <w:t xml:space="preserve">ROE</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9F">
            <w:pPr>
              <w:spacing w:line="264" w:lineRule="auto"/>
              <w:jc w:val="center"/>
              <w:rPr/>
            </w:pPr>
            <w:r w:rsidDel="00000000" w:rsidR="00000000" w:rsidRPr="00000000">
              <w:rPr>
                <w:rFonts w:ascii="Arial" w:cs="Arial" w:eastAsia="Arial" w:hAnsi="Arial"/>
                <w:sz w:val="18"/>
                <w:szCs w:val="18"/>
                <w:rtl w:val="0"/>
              </w:rPr>
              <w:t xml:space="preserve">~10.6%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A0">
            <w:pPr>
              <w:spacing w:line="264" w:lineRule="auto"/>
              <w:jc w:val="center"/>
              <w:rPr/>
            </w:pPr>
            <w:r w:rsidDel="00000000" w:rsidR="00000000" w:rsidRPr="00000000">
              <w:rPr>
                <w:rFonts w:ascii="Arial" w:cs="Arial" w:eastAsia="Arial" w:hAnsi="Arial"/>
                <w:sz w:val="18"/>
                <w:szCs w:val="18"/>
                <w:rtl w:val="0"/>
              </w:rPr>
              <w:t xml:space="preserve">~8.9%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A1">
            <w:pPr>
              <w:spacing w:line="264" w:lineRule="auto"/>
              <w:jc w:val="center"/>
              <w:rPr/>
            </w:pPr>
            <w:r w:rsidDel="00000000" w:rsidR="00000000" w:rsidRPr="00000000">
              <w:rPr>
                <w:rFonts w:ascii="Arial" w:cs="Arial" w:eastAsia="Arial" w:hAnsi="Arial"/>
                <w:sz w:val="18"/>
                <w:szCs w:val="18"/>
                <w:rtl w:val="0"/>
              </w:rPr>
              <w:t xml:space="preserve">~9.4%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A2">
            <w:pPr>
              <w:spacing w:line="264" w:lineRule="auto"/>
              <w:jc w:val="center"/>
              <w:rPr/>
            </w:pPr>
            <w:r w:rsidDel="00000000" w:rsidR="00000000" w:rsidRPr="00000000">
              <w:rPr>
                <w:rFonts w:ascii="Arial" w:cs="Arial" w:eastAsia="Arial" w:hAnsi="Arial"/>
                <w:sz w:val="18"/>
                <w:szCs w:val="18"/>
                <w:rtl w:val="0"/>
              </w:rPr>
              <w:t xml:space="preserve">~6.3%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A3">
            <w:pPr>
              <w:spacing w:line="264" w:lineRule="auto"/>
              <w:jc w:val="center"/>
              <w:rPr/>
            </w:pPr>
            <w:r w:rsidDel="00000000" w:rsidR="00000000" w:rsidRPr="00000000">
              <w:rPr>
                <w:rFonts w:ascii="Arial" w:cs="Arial" w:eastAsia="Arial" w:hAnsi="Arial"/>
                <w:sz w:val="18"/>
                <w:szCs w:val="18"/>
                <w:rtl w:val="0"/>
              </w:rPr>
              <w:t xml:space="preserve">~3.4%</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4">
            <w:pPr>
              <w:spacing w:line="264" w:lineRule="auto"/>
              <w:jc w:val="left"/>
              <w:rPr/>
            </w:pPr>
            <w:r w:rsidDel="00000000" w:rsidR="00000000" w:rsidRPr="00000000">
              <w:rPr>
                <w:rFonts w:ascii="Arial" w:cs="Arial" w:eastAsia="Arial" w:hAnsi="Arial"/>
                <w:b w:val="1"/>
                <w:bCs w:val="1"/>
                <w:sz w:val="18"/>
                <w:szCs w:val="18"/>
                <w:rtl w:val="0"/>
              </w:rPr>
              <w:t xml:space="preserve">EPS (€)</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5">
            <w:pPr>
              <w:spacing w:line="264" w:lineRule="auto"/>
              <w:jc w:val="center"/>
              <w:rPr/>
            </w:pPr>
            <w:r w:rsidDel="00000000" w:rsidR="00000000" w:rsidRPr="00000000">
              <w:rPr>
                <w:rFonts w:ascii="Arial" w:cs="Arial" w:eastAsia="Arial" w:hAnsi="Arial"/>
                <w:sz w:val="18"/>
                <w:szCs w:val="18"/>
                <w:rtl w:val="0"/>
              </w:rPr>
              <w:t xml:space="preserve">29.59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6">
            <w:pPr>
              <w:spacing w:line="264" w:lineRule="auto"/>
              <w:jc w:val="center"/>
              <w:rPr/>
            </w:pPr>
            <w:r w:rsidDel="00000000" w:rsidR="00000000" w:rsidRPr="00000000">
              <w:rPr>
                <w:rFonts w:ascii="Arial" w:cs="Arial" w:eastAsia="Arial" w:hAnsi="Arial"/>
                <w:sz w:val="18"/>
                <w:szCs w:val="18"/>
                <w:rtl w:val="0"/>
              </w:rPr>
              <w:t xml:space="preserve">29.66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7">
            <w:pPr>
              <w:spacing w:line="264" w:lineRule="auto"/>
              <w:jc w:val="center"/>
              <w:rPr/>
            </w:pPr>
            <w:r w:rsidDel="00000000" w:rsidR="00000000" w:rsidRPr="00000000">
              <w:rPr>
                <w:rFonts w:ascii="Arial" w:cs="Arial" w:eastAsia="Arial" w:hAnsi="Arial"/>
                <w:sz w:val="18"/>
                <w:szCs w:val="18"/>
                <w:rtl w:val="0"/>
              </w:rPr>
              <w:t xml:space="preserve">31.79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8">
            <w:pPr>
              <w:spacing w:line="264" w:lineRule="auto"/>
              <w:jc w:val="center"/>
              <w:rPr/>
            </w:pPr>
            <w:r w:rsidDel="00000000" w:rsidR="00000000" w:rsidRPr="00000000">
              <w:rPr>
                <w:rFonts w:ascii="Arial" w:cs="Arial" w:eastAsia="Arial" w:hAnsi="Arial"/>
                <w:sz w:val="18"/>
                <w:szCs w:val="18"/>
                <w:rtl w:val="0"/>
              </w:rPr>
              <w:t xml:space="preserve">21.36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A9">
            <w:pPr>
              <w:spacing w:line="264" w:lineRule="auto"/>
              <w:jc w:val="center"/>
              <w:rPr/>
            </w:pPr>
            <w:r w:rsidDel="00000000" w:rsidR="00000000" w:rsidRPr="00000000">
              <w:rPr>
                <w:rFonts w:ascii="Arial" w:cs="Arial" w:eastAsia="Arial" w:hAnsi="Arial"/>
                <w:sz w:val="18"/>
                <w:szCs w:val="18"/>
                <w:rtl w:val="0"/>
              </w:rPr>
              <w:t xml:space="preserve">13.29</w:t>
            </w:r>
            <w:r w:rsidDel="00000000" w:rsidR="00000000" w:rsidRPr="00000000">
              <w:rPr>
                <w:rtl w:val="0"/>
              </w:rPr>
            </w:r>
          </w:p>
        </w:tc>
      </w:tr>
    </w:tbl>
    <w:p w:rsidR="00000000" w:rsidDel="00000000" w:rsidP="00000000" w:rsidRDefault="00000000" w:rsidRPr="00000000" w14:paraId="000000AA">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calculations from Volkswagen AG (2026) Annual Report.</w:t>
      </w:r>
      <w:r w:rsidDel="00000000" w:rsidR="00000000" w:rsidRPr="00000000">
        <w:rPr>
          <w:rtl w:val="0"/>
        </w:rPr>
      </w:r>
    </w:p>
    <w:p w:rsidR="00000000" w:rsidDel="00000000" w:rsidP="00000000" w:rsidRDefault="00000000" w:rsidRPr="00000000" w14:paraId="000000AB">
      <w:pPr>
        <w:spacing w:after="80" w:line="360" w:lineRule="auto"/>
        <w:jc w:val="center"/>
        <w:rPr/>
      </w:pPr>
      <w:r w:rsidDel="00000000" w:rsidR="00000000" w:rsidRPr="00000000">
        <w:rPr/>
        <w:drawing>
          <wp:inline distB="0" distT="0" distL="0" distR="0">
            <wp:extent cx="5500000" cy="3069767"/>
            <wp:effectExtent b="0" l="0" r="0" t="0"/>
            <wp:docPr id="3"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500000" cy="3069767"/>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after="160" w:line="360" w:lineRule="auto"/>
        <w:jc w:val="center"/>
        <w:rPr/>
      </w:pPr>
      <w:r w:rsidDel="00000000" w:rsidR="00000000" w:rsidRPr="00000000">
        <w:rPr>
          <w:rFonts w:ascii="Arial" w:cs="Arial" w:eastAsia="Arial" w:hAnsi="Arial"/>
          <w:i w:val="1"/>
          <w:iCs w:val="1"/>
          <w:sz w:val="20"/>
          <w:szCs w:val="20"/>
          <w:rtl w:val="0"/>
        </w:rPr>
        <w:t xml:space="preserve">Figure 2: Profitability Margin Trends, FY2021–FY2025 (%). Source: Author’s calculations.</w:t>
      </w:r>
      <w:r w:rsidDel="00000000" w:rsidR="00000000" w:rsidRPr="00000000">
        <w:rPr>
          <w:rtl w:val="0"/>
        </w:rPr>
      </w:r>
    </w:p>
    <w:p w:rsidR="00000000" w:rsidDel="00000000" w:rsidP="00000000" w:rsidRDefault="00000000" w:rsidRPr="00000000" w14:paraId="000000AD">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2.2 Liquidity and Efficiency</w:t>
      </w:r>
      <w:r w:rsidDel="00000000" w:rsidR="00000000" w:rsidRPr="00000000">
        <w:rPr>
          <w:rtl w:val="0"/>
        </w:rPr>
      </w:r>
    </w:p>
    <w:p w:rsidR="00000000" w:rsidDel="00000000" w:rsidP="00000000" w:rsidRDefault="00000000" w:rsidRPr="00000000" w14:paraId="000000AE">
      <w:pPr>
        <w:spacing w:after="100" w:line="360" w:lineRule="auto"/>
        <w:jc w:val="both"/>
        <w:rPr/>
      </w:pPr>
      <w:r w:rsidDel="00000000" w:rsidR="00000000" w:rsidRPr="00000000">
        <w:rPr>
          <w:rFonts w:ascii="Arial" w:cs="Arial" w:eastAsia="Arial" w:hAnsi="Arial"/>
          <w:sz w:val="24"/>
          <w:szCs w:val="24"/>
          <w:rtl w:val="0"/>
        </w:rPr>
        <w:t xml:space="preserve">Liquidity at Volkswagen presents a mixed picture that requires some care in interpreting. The Group-level current ratio stands at about 1.09 (current assets €247.9 billion vs current liabilities €226.5 billion), which looks thin. But this is somewhat misleading because the Financial Services division carries enormous liabilities on its balance sheet that are matched by financial service receivables and lease assets. Looking at just the Automotive division, current assets of €165.7 billion against current liabilities of €112.1 billion give a more comfortable ratio of 1.48. Cash and equivalents in the Automotive division stood at €30.5 billion, with additional marketable securities and time deposits of €25.3 billion, for total automotive liquidity of roughly €55.8 billion (Volkswagen AG, 2026). That is a substantial buffer.</w:t>
      </w:r>
      <w:r w:rsidDel="00000000" w:rsidR="00000000" w:rsidRPr="00000000">
        <w:rPr>
          <w:rtl w:val="0"/>
        </w:rPr>
      </w:r>
    </w:p>
    <w:p w:rsidR="00000000" w:rsidDel="00000000" w:rsidP="00000000" w:rsidRDefault="00000000" w:rsidRPr="00000000" w14:paraId="000000AF">
      <w:pPr>
        <w:spacing w:after="100" w:line="360" w:lineRule="auto"/>
        <w:jc w:val="both"/>
        <w:rPr/>
      </w:pPr>
      <w:r w:rsidDel="00000000" w:rsidR="00000000" w:rsidRPr="00000000">
        <w:rPr>
          <w:rFonts w:ascii="Arial" w:cs="Arial" w:eastAsia="Arial" w:hAnsi="Arial"/>
          <w:sz w:val="24"/>
          <w:szCs w:val="24"/>
          <w:rtl w:val="0"/>
        </w:rPr>
        <w:t xml:space="preserve">On efficiency, inventories of €56.0 billion against </w:t>
      </w:r>
      <w:r w:rsidDel="00000000" w:rsidR="00000000" w:rsidRPr="00000000">
        <w:rPr>
          <w:rtl w:val="0"/>
        </w:rPr>
        <w:t xml:space="preserve">a cost</w:t>
      </w:r>
      <w:r w:rsidDel="00000000" w:rsidR="00000000" w:rsidRPr="00000000">
        <w:rPr>
          <w:rFonts w:ascii="Arial" w:cs="Arial" w:eastAsia="Arial" w:hAnsi="Arial"/>
          <w:sz w:val="24"/>
          <w:szCs w:val="24"/>
          <w:rtl w:val="0"/>
        </w:rPr>
        <w:t xml:space="preserve"> of sales of €270.7 billion give an inventory holding period of approximately 76 days. This is high by industry standards and represents a slight improvement from FY2024 but still points to significant capital being tied up in stock. Trade receivables of €20.8 billion translate to roughly 24 days of receivables, which is reasonable. Trade payables of €30.5 billion equate to about 41 days, which has shortened somewhat. Operating cash flow has been declining steadily, from €38.6 billion in FY2021 to €15.0 billion in FY2025, which is a 61% drop over five years. That is worrying regardless of the reasons behind it (Atrill, 2020).</w:t>
      </w:r>
      <w:r w:rsidDel="00000000" w:rsidR="00000000" w:rsidRPr="00000000">
        <w:rPr>
          <w:rtl w:val="0"/>
        </w:rPr>
      </w:r>
    </w:p>
    <w:p w:rsidR="00000000" w:rsidDel="00000000" w:rsidP="00000000" w:rsidRDefault="00000000" w:rsidRPr="00000000" w14:paraId="000000B0">
      <w:pPr>
        <w:spacing w:after="160" w:line="360" w:lineRule="auto"/>
        <w:jc w:val="center"/>
        <w:rPr/>
      </w:pPr>
      <w:r w:rsidDel="00000000" w:rsidR="00000000" w:rsidRPr="00000000">
        <w:rPr>
          <w:rFonts w:ascii="Arial" w:cs="Arial" w:eastAsia="Arial" w:hAnsi="Arial"/>
          <w:i w:val="1"/>
          <w:iCs w:val="1"/>
          <w:sz w:val="20"/>
          <w:szCs w:val="20"/>
          <w:rtl w:val="0"/>
        </w:rPr>
        <w:t xml:space="preserve">Table 3: Liquidity and Efficiency Ratios (FY2024 vs FY2025)</w:t>
      </w:r>
      <w:r w:rsidDel="00000000" w:rsidR="00000000" w:rsidRPr="00000000">
        <w:rPr>
          <w:rtl w:val="0"/>
        </w:rPr>
      </w:r>
    </w:p>
    <w:tbl>
      <w:tblPr>
        <w:tblStyle w:val="Table3"/>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00"/>
        <w:gridCol w:w="2763"/>
        <w:gridCol w:w="2763"/>
        <w:tblGridChange w:id="0">
          <w:tblGrid>
            <w:gridCol w:w="3500"/>
            <w:gridCol w:w="2763"/>
            <w:gridCol w:w="2763"/>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B1">
            <w:pPr>
              <w:spacing w:line="264" w:lineRule="auto"/>
              <w:jc w:val="center"/>
              <w:rPr/>
            </w:pPr>
            <w:r w:rsidDel="00000000" w:rsidR="00000000" w:rsidRPr="00000000">
              <w:rPr>
                <w:rFonts w:ascii="Arial" w:cs="Arial" w:eastAsia="Arial" w:hAnsi="Arial"/>
                <w:b w:val="1"/>
                <w:bCs w:val="1"/>
                <w:color w:val="ffffff"/>
                <w:sz w:val="18"/>
                <w:szCs w:val="18"/>
                <w:rtl w:val="0"/>
              </w:rPr>
              <w:t xml:space="preserve">Ratio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B2">
            <w:pPr>
              <w:spacing w:line="264" w:lineRule="auto"/>
              <w:jc w:val="center"/>
              <w:rPr/>
            </w:pPr>
            <w:r w:rsidDel="00000000" w:rsidR="00000000" w:rsidRPr="00000000">
              <w:rPr>
                <w:rFonts w:ascii="Arial" w:cs="Arial" w:eastAsia="Arial" w:hAnsi="Arial"/>
                <w:b w:val="1"/>
                <w:bCs w:val="1"/>
                <w:color w:val="ffffff"/>
                <w:sz w:val="18"/>
                <w:szCs w:val="18"/>
                <w:rtl w:val="0"/>
              </w:rPr>
              <w:t xml:space="preserve">FY2024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B3">
            <w:pPr>
              <w:spacing w:line="264" w:lineRule="auto"/>
              <w:jc w:val="center"/>
              <w:rPr/>
            </w:pPr>
            <w:r w:rsidDel="00000000" w:rsidR="00000000" w:rsidRPr="00000000">
              <w:rPr>
                <w:rFonts w:ascii="Arial" w:cs="Arial" w:eastAsia="Arial" w:hAnsi="Arial"/>
                <w:b w:val="1"/>
                <w:bCs w:val="1"/>
                <w:color w:val="ffffff"/>
                <w:sz w:val="18"/>
                <w:szCs w:val="18"/>
                <w:rtl w:val="0"/>
              </w:rPr>
              <w:t xml:space="preserve">FY2025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4">
            <w:pPr>
              <w:spacing w:line="264" w:lineRule="auto"/>
              <w:jc w:val="left"/>
              <w:rPr/>
            </w:pPr>
            <w:r w:rsidDel="00000000" w:rsidR="00000000" w:rsidRPr="00000000">
              <w:rPr>
                <w:rFonts w:ascii="Arial" w:cs="Arial" w:eastAsia="Arial" w:hAnsi="Arial"/>
                <w:b w:val="1"/>
                <w:bCs w:val="1"/>
                <w:sz w:val="18"/>
                <w:szCs w:val="18"/>
                <w:rtl w:val="0"/>
              </w:rPr>
              <w:t xml:space="preserve">Current Ratio (Group)</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5">
            <w:pPr>
              <w:spacing w:line="264" w:lineRule="auto"/>
              <w:jc w:val="center"/>
              <w:rPr/>
            </w:pPr>
            <w:r w:rsidDel="00000000" w:rsidR="00000000" w:rsidRPr="00000000">
              <w:rPr>
                <w:rFonts w:ascii="Arial" w:cs="Arial" w:eastAsia="Arial" w:hAnsi="Arial"/>
                <w:sz w:val="18"/>
                <w:szCs w:val="18"/>
                <w:rtl w:val="0"/>
              </w:rPr>
              <w:t xml:space="preserve">1.13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6">
            <w:pPr>
              <w:spacing w:line="264" w:lineRule="auto"/>
              <w:jc w:val="center"/>
              <w:rPr/>
            </w:pPr>
            <w:r w:rsidDel="00000000" w:rsidR="00000000" w:rsidRPr="00000000">
              <w:rPr>
                <w:rFonts w:ascii="Arial" w:cs="Arial" w:eastAsia="Arial" w:hAnsi="Arial"/>
                <w:sz w:val="18"/>
                <w:szCs w:val="18"/>
                <w:rtl w:val="0"/>
              </w:rPr>
              <w:t xml:space="preserve">1.09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7">
            <w:pPr>
              <w:spacing w:line="264" w:lineRule="auto"/>
              <w:jc w:val="left"/>
              <w:rPr/>
            </w:pPr>
            <w:r w:rsidDel="00000000" w:rsidR="00000000" w:rsidRPr="00000000">
              <w:rPr>
                <w:rFonts w:ascii="Arial" w:cs="Arial" w:eastAsia="Arial" w:hAnsi="Arial"/>
                <w:b w:val="1"/>
                <w:bCs w:val="1"/>
                <w:sz w:val="18"/>
                <w:szCs w:val="18"/>
                <w:rtl w:val="0"/>
              </w:rPr>
              <w:t xml:space="preserve">Current Ratio (Auto)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8">
            <w:pPr>
              <w:spacing w:line="264" w:lineRule="auto"/>
              <w:jc w:val="center"/>
              <w:rPr/>
            </w:pPr>
            <w:r w:rsidDel="00000000" w:rsidR="00000000" w:rsidRPr="00000000">
              <w:rPr>
                <w:rFonts w:ascii="Arial" w:cs="Arial" w:eastAsia="Arial" w:hAnsi="Arial"/>
                <w:sz w:val="18"/>
                <w:szCs w:val="18"/>
                <w:rtl w:val="0"/>
              </w:rPr>
              <w:t xml:space="preserve">1.43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9">
            <w:pPr>
              <w:spacing w:line="264" w:lineRule="auto"/>
              <w:jc w:val="center"/>
              <w:rPr/>
            </w:pPr>
            <w:r w:rsidDel="00000000" w:rsidR="00000000" w:rsidRPr="00000000">
              <w:rPr>
                <w:rFonts w:ascii="Arial" w:cs="Arial" w:eastAsia="Arial" w:hAnsi="Arial"/>
                <w:sz w:val="18"/>
                <w:szCs w:val="18"/>
                <w:rtl w:val="0"/>
              </w:rPr>
              <w:t xml:space="preserve">1.48</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A">
            <w:pPr>
              <w:spacing w:line="264" w:lineRule="auto"/>
              <w:jc w:val="left"/>
              <w:rPr/>
            </w:pPr>
            <w:r w:rsidDel="00000000" w:rsidR="00000000" w:rsidRPr="00000000">
              <w:rPr>
                <w:rFonts w:ascii="Arial" w:cs="Arial" w:eastAsia="Arial" w:hAnsi="Arial"/>
                <w:b w:val="1"/>
                <w:bCs w:val="1"/>
                <w:sz w:val="18"/>
                <w:szCs w:val="18"/>
                <w:rtl w:val="0"/>
              </w:rPr>
              <w:t xml:space="preserve">Inventory Days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B">
            <w:pPr>
              <w:spacing w:line="264" w:lineRule="auto"/>
              <w:jc w:val="center"/>
              <w:rPr/>
            </w:pPr>
            <w:r w:rsidDel="00000000" w:rsidR="00000000" w:rsidRPr="00000000">
              <w:rPr>
                <w:rFonts w:ascii="Arial" w:cs="Arial" w:eastAsia="Arial" w:hAnsi="Arial"/>
                <w:sz w:val="18"/>
                <w:szCs w:val="18"/>
                <w:rtl w:val="0"/>
              </w:rPr>
              <w:t xml:space="preserve">~77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BC">
            <w:pPr>
              <w:spacing w:line="264" w:lineRule="auto"/>
              <w:jc w:val="center"/>
              <w:rPr/>
            </w:pPr>
            <w:r w:rsidDel="00000000" w:rsidR="00000000" w:rsidRPr="00000000">
              <w:rPr>
                <w:rFonts w:ascii="Arial" w:cs="Arial" w:eastAsia="Arial" w:hAnsi="Arial"/>
                <w:sz w:val="18"/>
                <w:szCs w:val="18"/>
                <w:rtl w:val="0"/>
              </w:rPr>
              <w:t xml:space="preserve">~76</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D">
            <w:pPr>
              <w:spacing w:line="264" w:lineRule="auto"/>
              <w:jc w:val="left"/>
              <w:rPr/>
            </w:pPr>
            <w:r w:rsidDel="00000000" w:rsidR="00000000" w:rsidRPr="00000000">
              <w:rPr>
                <w:rFonts w:ascii="Arial" w:cs="Arial" w:eastAsia="Arial" w:hAnsi="Arial"/>
                <w:b w:val="1"/>
                <w:bCs w:val="1"/>
                <w:sz w:val="18"/>
                <w:szCs w:val="18"/>
                <w:rtl w:val="0"/>
              </w:rPr>
              <w:t xml:space="preserve">Receivables Days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E">
            <w:pPr>
              <w:spacing w:line="264" w:lineRule="auto"/>
              <w:jc w:val="center"/>
              <w:rPr/>
            </w:pPr>
            <w:r w:rsidDel="00000000" w:rsidR="00000000" w:rsidRPr="00000000">
              <w:rPr>
                <w:rFonts w:ascii="Arial" w:cs="Arial" w:eastAsia="Arial" w:hAnsi="Arial"/>
                <w:sz w:val="18"/>
                <w:szCs w:val="18"/>
                <w:rtl w:val="0"/>
              </w:rPr>
              <w:t xml:space="preserve">~24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BF">
            <w:pPr>
              <w:spacing w:line="264" w:lineRule="auto"/>
              <w:jc w:val="center"/>
              <w:rPr/>
            </w:pPr>
            <w:r w:rsidDel="00000000" w:rsidR="00000000" w:rsidRPr="00000000">
              <w:rPr>
                <w:rFonts w:ascii="Arial" w:cs="Arial" w:eastAsia="Arial" w:hAnsi="Arial"/>
                <w:sz w:val="18"/>
                <w:szCs w:val="18"/>
                <w:rtl w:val="0"/>
              </w:rPr>
              <w:t xml:space="preserve">~24</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0">
            <w:pPr>
              <w:spacing w:line="264" w:lineRule="auto"/>
              <w:jc w:val="left"/>
              <w:rPr/>
            </w:pPr>
            <w:r w:rsidDel="00000000" w:rsidR="00000000" w:rsidRPr="00000000">
              <w:rPr>
                <w:rFonts w:ascii="Arial" w:cs="Arial" w:eastAsia="Arial" w:hAnsi="Arial"/>
                <w:b w:val="1"/>
                <w:bCs w:val="1"/>
                <w:sz w:val="18"/>
                <w:szCs w:val="18"/>
                <w:rtl w:val="0"/>
              </w:rPr>
              <w:t xml:space="preserve">Payables Days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1">
            <w:pPr>
              <w:spacing w:line="264" w:lineRule="auto"/>
              <w:jc w:val="center"/>
              <w:rPr/>
            </w:pPr>
            <w:r w:rsidDel="00000000" w:rsidR="00000000" w:rsidRPr="00000000">
              <w:rPr>
                <w:rFonts w:ascii="Arial" w:cs="Arial" w:eastAsia="Arial" w:hAnsi="Arial"/>
                <w:sz w:val="18"/>
                <w:szCs w:val="18"/>
                <w:rtl w:val="0"/>
              </w:rPr>
              <w:t xml:space="preserve">~40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2">
            <w:pPr>
              <w:spacing w:line="264" w:lineRule="auto"/>
              <w:jc w:val="center"/>
              <w:rPr/>
            </w:pPr>
            <w:r w:rsidDel="00000000" w:rsidR="00000000" w:rsidRPr="00000000">
              <w:rPr>
                <w:rFonts w:ascii="Arial" w:cs="Arial" w:eastAsia="Arial" w:hAnsi="Arial"/>
                <w:sz w:val="18"/>
                <w:szCs w:val="18"/>
                <w:rtl w:val="0"/>
              </w:rPr>
              <w:t xml:space="preserve">~41</w:t>
            </w:r>
            <w:r w:rsidDel="00000000" w:rsidR="00000000" w:rsidRPr="00000000">
              <w:rPr>
                <w:rtl w:val="0"/>
              </w:rPr>
            </w:r>
          </w:p>
        </w:tc>
      </w:tr>
    </w:tbl>
    <w:p w:rsidR="00000000" w:rsidDel="00000000" w:rsidP="00000000" w:rsidRDefault="00000000" w:rsidRPr="00000000" w14:paraId="000000C3">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calculations from Volkswagen </w:t>
      </w:r>
      <w:r w:rsidDel="00000000" w:rsidR="00000000" w:rsidRPr="00000000">
        <w:rPr>
          <w:i w:val="1"/>
          <w:iCs w:val="1"/>
          <w:sz w:val="20"/>
          <w:szCs w:val="20"/>
          <w:rtl w:val="0"/>
        </w:rPr>
        <w:t xml:space="preserve">AG's</w:t>
      </w:r>
      <w:r w:rsidDel="00000000" w:rsidR="00000000" w:rsidRPr="00000000">
        <w:rPr>
          <w:rFonts w:ascii="Arial" w:cs="Arial" w:eastAsia="Arial" w:hAnsi="Arial"/>
          <w:i w:val="1"/>
          <w:iCs w:val="1"/>
          <w:sz w:val="20"/>
          <w:szCs w:val="20"/>
          <w:rtl w:val="0"/>
        </w:rPr>
        <w:t xml:space="preserve"> (2026) Annual Report.</w:t>
      </w:r>
      <w:r w:rsidDel="00000000" w:rsidR="00000000" w:rsidRPr="00000000">
        <w:rPr>
          <w:rtl w:val="0"/>
        </w:rPr>
      </w:r>
    </w:p>
    <w:p w:rsidR="00000000" w:rsidDel="00000000" w:rsidP="00000000" w:rsidRDefault="00000000" w:rsidRPr="00000000" w14:paraId="000000C4">
      <w:pPr>
        <w:spacing w:after="80" w:line="360" w:lineRule="auto"/>
        <w:jc w:val="center"/>
        <w:rPr/>
      </w:pPr>
      <w:r w:rsidDel="00000000" w:rsidR="00000000" w:rsidRPr="00000000">
        <w:rPr/>
        <w:drawing>
          <wp:inline distB="0" distT="0" distL="0" distR="0">
            <wp:extent cx="5500000" cy="3069767"/>
            <wp:effectExtent b="0" l="0" r="0" t="0"/>
            <wp:docPr id="6"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5500000" cy="3069767"/>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after="160" w:line="360" w:lineRule="auto"/>
        <w:jc w:val="center"/>
        <w:rPr/>
      </w:pPr>
      <w:r w:rsidDel="00000000" w:rsidR="00000000" w:rsidRPr="00000000">
        <w:rPr>
          <w:rFonts w:ascii="Arial" w:cs="Arial" w:eastAsia="Arial" w:hAnsi="Arial"/>
          <w:i w:val="1"/>
          <w:iCs w:val="1"/>
          <w:sz w:val="20"/>
          <w:szCs w:val="20"/>
          <w:rtl w:val="0"/>
        </w:rPr>
        <w:t xml:space="preserve">Figure 4: Cash Flow Comparison, FY2024 </w:t>
      </w:r>
      <w:r w:rsidDel="00000000" w:rsidR="00000000" w:rsidRPr="00000000">
        <w:rPr>
          <w:i w:val="1"/>
          <w:iCs w:val="1"/>
          <w:sz w:val="20"/>
          <w:szCs w:val="20"/>
          <w:rtl w:val="0"/>
        </w:rPr>
        <w:t xml:space="preserve">vs.</w:t>
      </w:r>
      <w:r w:rsidDel="00000000" w:rsidR="00000000" w:rsidRPr="00000000">
        <w:rPr>
          <w:rFonts w:ascii="Arial" w:cs="Arial" w:eastAsia="Arial" w:hAnsi="Arial"/>
          <w:i w:val="1"/>
          <w:iCs w:val="1"/>
          <w:sz w:val="20"/>
          <w:szCs w:val="20"/>
          <w:rtl w:val="0"/>
        </w:rPr>
        <w:t xml:space="preserve"> FY2025 (€ Billions) Source: Author’s calculations.</w:t>
      </w:r>
      <w:r w:rsidDel="00000000" w:rsidR="00000000" w:rsidRPr="00000000">
        <w:rPr>
          <w:rtl w:val="0"/>
        </w:rPr>
      </w:r>
    </w:p>
    <w:p w:rsidR="00000000" w:rsidDel="00000000" w:rsidP="00000000" w:rsidRDefault="00000000" w:rsidRPr="00000000" w14:paraId="000000C6">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2.3 Gearing and Investment Ratios</w:t>
      </w:r>
      <w:r w:rsidDel="00000000" w:rsidR="00000000" w:rsidRPr="00000000">
        <w:rPr>
          <w:rtl w:val="0"/>
        </w:rPr>
      </w:r>
    </w:p>
    <w:p w:rsidR="00000000" w:rsidDel="00000000" w:rsidP="00000000" w:rsidRDefault="00000000" w:rsidRPr="00000000" w14:paraId="000000C7">
      <w:pPr>
        <w:spacing w:after="100" w:line="360" w:lineRule="auto"/>
        <w:jc w:val="both"/>
        <w:rPr/>
      </w:pPr>
      <w:r w:rsidDel="00000000" w:rsidR="00000000" w:rsidRPr="00000000">
        <w:rPr>
          <w:rFonts w:ascii="Arial" w:cs="Arial" w:eastAsia="Arial" w:hAnsi="Arial"/>
          <w:sz w:val="24"/>
          <w:szCs w:val="24"/>
          <w:rtl w:val="0"/>
        </w:rPr>
        <w:t xml:space="preserve">Volkswagen’s capital structure is heavily influenced by the Financial Services division, which operates with the kind of leverage you would expect from a quasi-banking operation. At the </w:t>
      </w:r>
      <w:r w:rsidDel="00000000" w:rsidR="00000000" w:rsidRPr="00000000">
        <w:rPr>
          <w:rtl w:val="0"/>
        </w:rPr>
        <w:t xml:space="preserve">group</w:t>
      </w:r>
      <w:r w:rsidDel="00000000" w:rsidR="00000000" w:rsidRPr="00000000">
        <w:rPr>
          <w:rFonts w:ascii="Arial" w:cs="Arial" w:eastAsia="Arial" w:hAnsi="Arial"/>
          <w:sz w:val="24"/>
          <w:szCs w:val="24"/>
          <w:rtl w:val="0"/>
        </w:rPr>
        <w:t xml:space="preserve"> level, total liabilities of €441.4 billion against equity of €203.1 billion </w:t>
      </w:r>
      <w:r w:rsidDel="00000000" w:rsidR="00000000" w:rsidRPr="00000000">
        <w:rPr>
          <w:rtl w:val="0"/>
        </w:rPr>
        <w:t xml:space="preserve">give</w:t>
      </w:r>
      <w:r w:rsidDel="00000000" w:rsidR="00000000" w:rsidRPr="00000000">
        <w:rPr>
          <w:rFonts w:ascii="Arial" w:cs="Arial" w:eastAsia="Arial" w:hAnsi="Arial"/>
          <w:sz w:val="24"/>
          <w:szCs w:val="24"/>
          <w:rtl w:val="0"/>
        </w:rPr>
        <w:t xml:space="preserve"> a debt-to-equity ratio of 2.17, which reflects the </w:t>
      </w:r>
      <w:r w:rsidDel="00000000" w:rsidR="00000000" w:rsidRPr="00000000">
        <w:rPr>
          <w:rtl w:val="0"/>
        </w:rPr>
        <w:t xml:space="preserve">financial services</w:t>
      </w:r>
      <w:r w:rsidDel="00000000" w:rsidR="00000000" w:rsidRPr="00000000">
        <w:rPr>
          <w:rFonts w:ascii="Arial" w:cs="Arial" w:eastAsia="Arial" w:hAnsi="Arial"/>
          <w:sz w:val="24"/>
          <w:szCs w:val="24"/>
          <w:rtl w:val="0"/>
        </w:rPr>
        <w:t xml:space="preserve"> division's balance sheet. For the </w:t>
      </w:r>
      <w:r w:rsidDel="00000000" w:rsidR="00000000" w:rsidRPr="00000000">
        <w:rPr>
          <w:rtl w:val="0"/>
        </w:rPr>
        <w:t xml:space="preserve">automotive</w:t>
      </w:r>
      <w:r w:rsidDel="00000000" w:rsidR="00000000" w:rsidRPr="00000000">
        <w:rPr>
          <w:rFonts w:ascii="Arial" w:cs="Arial" w:eastAsia="Arial" w:hAnsi="Arial"/>
          <w:sz w:val="24"/>
          <w:szCs w:val="24"/>
          <w:rtl w:val="0"/>
        </w:rPr>
        <w:t xml:space="preserve"> division alone, the equity ratio is a healthier 43.0%, and net liquidity in the </w:t>
      </w:r>
      <w:r w:rsidDel="00000000" w:rsidR="00000000" w:rsidRPr="00000000">
        <w:rPr>
          <w:rtl w:val="0"/>
        </w:rPr>
        <w:t xml:space="preserve">automotive</w:t>
      </w:r>
      <w:r w:rsidDel="00000000" w:rsidR="00000000" w:rsidRPr="00000000">
        <w:rPr>
          <w:rFonts w:ascii="Arial" w:cs="Arial" w:eastAsia="Arial" w:hAnsi="Arial"/>
          <w:sz w:val="24"/>
          <w:szCs w:val="24"/>
          <w:rtl w:val="0"/>
        </w:rPr>
        <w:t xml:space="preserve"> division was €34.5 billion at year-end (Volkswagen AG, 2026).</w:t>
      </w:r>
      <w:r w:rsidDel="00000000" w:rsidR="00000000" w:rsidRPr="00000000">
        <w:rPr>
          <w:rtl w:val="0"/>
        </w:rPr>
      </w:r>
    </w:p>
    <w:p w:rsidR="00000000" w:rsidDel="00000000" w:rsidP="00000000" w:rsidRDefault="00000000" w:rsidRPr="00000000" w14:paraId="000000C8">
      <w:pPr>
        <w:spacing w:after="100" w:line="360" w:lineRule="auto"/>
        <w:jc w:val="both"/>
        <w:rPr/>
      </w:pPr>
      <w:r w:rsidDel="00000000" w:rsidR="00000000" w:rsidRPr="00000000">
        <w:rPr>
          <w:rFonts w:ascii="Arial" w:cs="Arial" w:eastAsia="Arial" w:hAnsi="Arial"/>
          <w:sz w:val="24"/>
          <w:szCs w:val="24"/>
          <w:rtl w:val="0"/>
        </w:rPr>
        <w:t xml:space="preserve">The equity ratio at </w:t>
      </w:r>
      <w:r w:rsidDel="00000000" w:rsidR="00000000" w:rsidRPr="00000000">
        <w:rPr>
          <w:rtl w:val="0"/>
        </w:rPr>
        <w:t xml:space="preserve">the group</w:t>
      </w:r>
      <w:r w:rsidDel="00000000" w:rsidR="00000000" w:rsidRPr="00000000">
        <w:rPr>
          <w:rFonts w:ascii="Arial" w:cs="Arial" w:eastAsia="Arial" w:hAnsi="Arial"/>
          <w:sz w:val="24"/>
          <w:szCs w:val="24"/>
          <w:rtl w:val="0"/>
        </w:rPr>
        <w:t xml:space="preserve"> level has held broadly stable at around 31% over the past four years, which suggests the overall balance sheet structure has not changed dramatically. What has changed is earnings coverage. With operating profit halving, interest and debt service coverage ratios have come under pressure. The P/E ratio of 7.9 times and a dividend yield of 4.9% on ordinary shares suggest the market sees Volkswagen more as a value stock than a growth story at this point. The price-to-book ratio of just 0.28 is particularly </w:t>
      </w:r>
      <w:r w:rsidDel="00000000" w:rsidR="00000000" w:rsidRPr="00000000">
        <w:rPr>
          <w:rtl w:val="0"/>
        </w:rPr>
        <w:t xml:space="preserve">telling;</w:t>
      </w:r>
      <w:r w:rsidDel="00000000" w:rsidR="00000000" w:rsidRPr="00000000">
        <w:rPr>
          <w:rFonts w:ascii="Arial" w:cs="Arial" w:eastAsia="Arial" w:hAnsi="Arial"/>
          <w:sz w:val="24"/>
          <w:szCs w:val="24"/>
          <w:rtl w:val="0"/>
        </w:rPr>
        <w:t xml:space="preserve"> it means the market values the entire company at less than a third of its book equity, which implies significant </w:t>
      </w:r>
      <w:r w:rsidDel="00000000" w:rsidR="00000000" w:rsidRPr="00000000">
        <w:rPr>
          <w:rtl w:val="0"/>
        </w:rPr>
        <w:t xml:space="preserve">skepticism</w:t>
      </w:r>
      <w:r w:rsidDel="00000000" w:rsidR="00000000" w:rsidRPr="00000000">
        <w:rPr>
          <w:rFonts w:ascii="Arial" w:cs="Arial" w:eastAsia="Arial" w:hAnsi="Arial"/>
          <w:sz w:val="24"/>
          <w:szCs w:val="24"/>
          <w:rtl w:val="0"/>
        </w:rPr>
        <w:t xml:space="preserve"> about whether those assets can generate adequate returns going forward (Penman, 2013).</w:t>
      </w:r>
      <w:r w:rsidDel="00000000" w:rsidR="00000000" w:rsidRPr="00000000">
        <w:rPr>
          <w:rtl w:val="0"/>
        </w:rPr>
      </w:r>
    </w:p>
    <w:p w:rsidR="00000000" w:rsidDel="00000000" w:rsidP="00000000" w:rsidRDefault="00000000" w:rsidRPr="00000000" w14:paraId="000000C9">
      <w:pPr>
        <w:spacing w:after="160" w:line="360" w:lineRule="auto"/>
        <w:jc w:val="center"/>
        <w:rPr/>
      </w:pPr>
      <w:r w:rsidDel="00000000" w:rsidR="00000000" w:rsidRPr="00000000">
        <w:rPr>
          <w:rFonts w:ascii="Arial" w:cs="Arial" w:eastAsia="Arial" w:hAnsi="Arial"/>
          <w:i w:val="1"/>
          <w:iCs w:val="1"/>
          <w:sz w:val="20"/>
          <w:szCs w:val="20"/>
          <w:rtl w:val="0"/>
        </w:rPr>
        <w:t xml:space="preserve">Table 4: Gearing and Investment Ratios (FY2024 vs FY2025)</w:t>
      </w:r>
      <w:r w:rsidDel="00000000" w:rsidR="00000000" w:rsidRPr="00000000">
        <w:rPr>
          <w:rtl w:val="0"/>
        </w:rPr>
      </w:r>
    </w:p>
    <w:tbl>
      <w:tblPr>
        <w:tblStyle w:val="Table4"/>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00"/>
        <w:gridCol w:w="2763"/>
        <w:gridCol w:w="2763"/>
        <w:tblGridChange w:id="0">
          <w:tblGrid>
            <w:gridCol w:w="3500"/>
            <w:gridCol w:w="2763"/>
            <w:gridCol w:w="2763"/>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CA">
            <w:pPr>
              <w:spacing w:line="264" w:lineRule="auto"/>
              <w:jc w:val="center"/>
              <w:rPr/>
            </w:pPr>
            <w:r w:rsidDel="00000000" w:rsidR="00000000" w:rsidRPr="00000000">
              <w:rPr>
                <w:rFonts w:ascii="Arial" w:cs="Arial" w:eastAsia="Arial" w:hAnsi="Arial"/>
                <w:b w:val="1"/>
                <w:bCs w:val="1"/>
                <w:color w:val="ffffff"/>
                <w:sz w:val="18"/>
                <w:szCs w:val="18"/>
                <w:rtl w:val="0"/>
              </w:rPr>
              <w:t xml:space="preserve">Ratio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CB">
            <w:pPr>
              <w:spacing w:line="264" w:lineRule="auto"/>
              <w:jc w:val="center"/>
              <w:rPr/>
            </w:pPr>
            <w:r w:rsidDel="00000000" w:rsidR="00000000" w:rsidRPr="00000000">
              <w:rPr>
                <w:rFonts w:ascii="Arial" w:cs="Arial" w:eastAsia="Arial" w:hAnsi="Arial"/>
                <w:b w:val="1"/>
                <w:bCs w:val="1"/>
                <w:color w:val="ffffff"/>
                <w:sz w:val="18"/>
                <w:szCs w:val="18"/>
                <w:rtl w:val="0"/>
              </w:rPr>
              <w:t xml:space="preserve">FY2024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CC">
            <w:pPr>
              <w:spacing w:line="264" w:lineRule="auto"/>
              <w:jc w:val="center"/>
              <w:rPr/>
            </w:pPr>
            <w:r w:rsidDel="00000000" w:rsidR="00000000" w:rsidRPr="00000000">
              <w:rPr>
                <w:rFonts w:ascii="Arial" w:cs="Arial" w:eastAsia="Arial" w:hAnsi="Arial"/>
                <w:b w:val="1"/>
                <w:bCs w:val="1"/>
                <w:color w:val="ffffff"/>
                <w:sz w:val="18"/>
                <w:szCs w:val="18"/>
                <w:rtl w:val="0"/>
              </w:rPr>
              <w:t xml:space="preserve">FY2025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D">
            <w:pPr>
              <w:spacing w:line="264" w:lineRule="auto"/>
              <w:jc w:val="left"/>
              <w:rPr/>
            </w:pPr>
            <w:r w:rsidDel="00000000" w:rsidR="00000000" w:rsidRPr="00000000">
              <w:rPr>
                <w:rFonts w:ascii="Arial" w:cs="Arial" w:eastAsia="Arial" w:hAnsi="Arial"/>
                <w:b w:val="1"/>
                <w:bCs w:val="1"/>
                <w:sz w:val="18"/>
                <w:szCs w:val="18"/>
                <w:rtl w:val="0"/>
              </w:rPr>
              <w:t xml:space="preserve">Debt-to-Equity (Group)</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E">
            <w:pPr>
              <w:spacing w:line="264" w:lineRule="auto"/>
              <w:jc w:val="center"/>
              <w:rPr/>
            </w:pPr>
            <w:r w:rsidDel="00000000" w:rsidR="00000000" w:rsidRPr="00000000">
              <w:rPr>
                <w:rFonts w:ascii="Arial" w:cs="Arial" w:eastAsia="Arial" w:hAnsi="Arial"/>
                <w:sz w:val="18"/>
                <w:szCs w:val="18"/>
                <w:rtl w:val="0"/>
              </w:rPr>
              <w:t xml:space="preserve">2.22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CF">
            <w:pPr>
              <w:spacing w:line="264" w:lineRule="auto"/>
              <w:jc w:val="center"/>
              <w:rPr/>
            </w:pPr>
            <w:r w:rsidDel="00000000" w:rsidR="00000000" w:rsidRPr="00000000">
              <w:rPr>
                <w:rFonts w:ascii="Arial" w:cs="Arial" w:eastAsia="Arial" w:hAnsi="Arial"/>
                <w:sz w:val="18"/>
                <w:szCs w:val="18"/>
                <w:rtl w:val="0"/>
              </w:rPr>
              <w:t xml:space="preserve">2.17</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0">
            <w:pPr>
              <w:spacing w:line="264" w:lineRule="auto"/>
              <w:jc w:val="left"/>
              <w:rPr/>
            </w:pPr>
            <w:r w:rsidDel="00000000" w:rsidR="00000000" w:rsidRPr="00000000">
              <w:rPr>
                <w:rFonts w:ascii="Arial" w:cs="Arial" w:eastAsia="Arial" w:hAnsi="Arial"/>
                <w:b w:val="1"/>
                <w:bCs w:val="1"/>
                <w:sz w:val="18"/>
                <w:szCs w:val="18"/>
                <w:rtl w:val="0"/>
              </w:rPr>
              <w:t xml:space="preserve">Equity Ratio (Group)</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1">
            <w:pPr>
              <w:spacing w:line="264" w:lineRule="auto"/>
              <w:jc w:val="center"/>
              <w:rPr/>
            </w:pPr>
            <w:r w:rsidDel="00000000" w:rsidR="00000000" w:rsidRPr="00000000">
              <w:rPr>
                <w:rFonts w:ascii="Arial" w:cs="Arial" w:eastAsia="Arial" w:hAnsi="Arial"/>
                <w:sz w:val="18"/>
                <w:szCs w:val="18"/>
                <w:rtl w:val="0"/>
              </w:rPr>
              <w:t xml:space="preserve">31.1%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2">
            <w:pPr>
              <w:spacing w:line="264" w:lineRule="auto"/>
              <w:jc w:val="center"/>
              <w:rPr/>
            </w:pPr>
            <w:r w:rsidDel="00000000" w:rsidR="00000000" w:rsidRPr="00000000">
              <w:rPr>
                <w:rFonts w:ascii="Arial" w:cs="Arial" w:eastAsia="Arial" w:hAnsi="Arial"/>
                <w:sz w:val="18"/>
                <w:szCs w:val="18"/>
                <w:rtl w:val="0"/>
              </w:rPr>
              <w:t xml:space="preserve">31.5%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3">
            <w:pPr>
              <w:spacing w:line="264" w:lineRule="auto"/>
              <w:jc w:val="left"/>
              <w:rPr/>
            </w:pPr>
            <w:r w:rsidDel="00000000" w:rsidR="00000000" w:rsidRPr="00000000">
              <w:rPr>
                <w:rFonts w:ascii="Arial" w:cs="Arial" w:eastAsia="Arial" w:hAnsi="Arial"/>
                <w:b w:val="1"/>
                <w:bCs w:val="1"/>
                <w:sz w:val="18"/>
                <w:szCs w:val="18"/>
                <w:rtl w:val="0"/>
              </w:rPr>
              <w:t xml:space="preserve">Equity Ratio (Auto)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4">
            <w:pPr>
              <w:spacing w:line="264" w:lineRule="auto"/>
              <w:jc w:val="center"/>
              <w:rPr/>
            </w:pPr>
            <w:r w:rsidDel="00000000" w:rsidR="00000000" w:rsidRPr="00000000">
              <w:rPr>
                <w:rFonts w:ascii="Arial" w:cs="Arial" w:eastAsia="Arial" w:hAnsi="Arial"/>
                <w:sz w:val="18"/>
                <w:szCs w:val="18"/>
                <w:rtl w:val="0"/>
              </w:rPr>
              <w:t xml:space="preserve">41.7%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5">
            <w:pPr>
              <w:spacing w:line="264" w:lineRule="auto"/>
              <w:jc w:val="center"/>
              <w:rPr/>
            </w:pPr>
            <w:r w:rsidDel="00000000" w:rsidR="00000000" w:rsidRPr="00000000">
              <w:rPr>
                <w:rFonts w:ascii="Arial" w:cs="Arial" w:eastAsia="Arial" w:hAnsi="Arial"/>
                <w:sz w:val="18"/>
                <w:szCs w:val="18"/>
                <w:rtl w:val="0"/>
              </w:rPr>
              <w:t xml:space="preserve">43.0%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6">
            <w:pPr>
              <w:spacing w:line="264" w:lineRule="auto"/>
              <w:jc w:val="left"/>
              <w:rPr/>
            </w:pPr>
            <w:r w:rsidDel="00000000" w:rsidR="00000000" w:rsidRPr="00000000">
              <w:rPr>
                <w:rFonts w:ascii="Arial" w:cs="Arial" w:eastAsia="Arial" w:hAnsi="Arial"/>
                <w:b w:val="1"/>
                <w:bCs w:val="1"/>
                <w:sz w:val="18"/>
                <w:szCs w:val="18"/>
                <w:rtl w:val="0"/>
              </w:rPr>
              <w:t xml:space="preserve">P/E Ratio</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7">
            <w:pPr>
              <w:spacing w:line="264" w:lineRule="auto"/>
              <w:jc w:val="center"/>
              <w:rPr/>
            </w:pPr>
            <w:r w:rsidDel="00000000" w:rsidR="00000000" w:rsidRPr="00000000">
              <w:rPr>
                <w:rFonts w:ascii="Arial" w:cs="Arial" w:eastAsia="Arial" w:hAnsi="Arial"/>
                <w:sz w:val="18"/>
                <w:szCs w:val="18"/>
                <w:rtl w:val="0"/>
              </w:rPr>
              <w:t xml:space="preserve">4.3x</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8">
            <w:pPr>
              <w:spacing w:line="264" w:lineRule="auto"/>
              <w:jc w:val="center"/>
              <w:rPr/>
            </w:pPr>
            <w:r w:rsidDel="00000000" w:rsidR="00000000" w:rsidRPr="00000000">
              <w:rPr>
                <w:rFonts w:ascii="Arial" w:cs="Arial" w:eastAsia="Arial" w:hAnsi="Arial"/>
                <w:sz w:val="18"/>
                <w:szCs w:val="18"/>
                <w:rtl w:val="0"/>
              </w:rPr>
              <w:t xml:space="preserve">7.9x</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9">
            <w:pPr>
              <w:spacing w:line="264" w:lineRule="auto"/>
              <w:jc w:val="left"/>
              <w:rPr/>
            </w:pPr>
            <w:r w:rsidDel="00000000" w:rsidR="00000000" w:rsidRPr="00000000">
              <w:rPr>
                <w:rFonts w:ascii="Arial" w:cs="Arial" w:eastAsia="Arial" w:hAnsi="Arial"/>
                <w:b w:val="1"/>
                <w:bCs w:val="1"/>
                <w:sz w:val="18"/>
                <w:szCs w:val="18"/>
                <w:rtl w:val="0"/>
              </w:rPr>
              <w:t xml:space="preserve">Dividend Yield</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A">
            <w:pPr>
              <w:spacing w:line="264" w:lineRule="auto"/>
              <w:jc w:val="center"/>
              <w:rPr/>
            </w:pPr>
            <w:r w:rsidDel="00000000" w:rsidR="00000000" w:rsidRPr="00000000">
              <w:rPr>
                <w:rFonts w:ascii="Arial" w:cs="Arial" w:eastAsia="Arial" w:hAnsi="Arial"/>
                <w:sz w:val="18"/>
                <w:szCs w:val="18"/>
                <w:rtl w:val="0"/>
              </w:rPr>
              <w:t xml:space="preserve">6.8%</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DB">
            <w:pPr>
              <w:spacing w:line="264" w:lineRule="auto"/>
              <w:jc w:val="center"/>
              <w:rPr/>
            </w:pPr>
            <w:r w:rsidDel="00000000" w:rsidR="00000000" w:rsidRPr="00000000">
              <w:rPr>
                <w:rFonts w:ascii="Arial" w:cs="Arial" w:eastAsia="Arial" w:hAnsi="Arial"/>
                <w:sz w:val="18"/>
                <w:szCs w:val="18"/>
                <w:rtl w:val="0"/>
              </w:rPr>
              <w:t xml:space="preserve">4.9%</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C">
            <w:pPr>
              <w:spacing w:line="264" w:lineRule="auto"/>
              <w:jc w:val="left"/>
              <w:rPr/>
            </w:pPr>
            <w:r w:rsidDel="00000000" w:rsidR="00000000" w:rsidRPr="00000000">
              <w:rPr>
                <w:rFonts w:ascii="Arial" w:cs="Arial" w:eastAsia="Arial" w:hAnsi="Arial"/>
                <w:b w:val="1"/>
                <w:bCs w:val="1"/>
                <w:sz w:val="18"/>
                <w:szCs w:val="18"/>
                <w:rtl w:val="0"/>
              </w:rPr>
              <w:t xml:space="preserve">Price-to-Book</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D">
            <w:pPr>
              <w:spacing w:line="264" w:lineRule="auto"/>
              <w:jc w:val="center"/>
              <w:rPr/>
            </w:pPr>
            <w:r w:rsidDel="00000000" w:rsidR="00000000" w:rsidRPr="00000000">
              <w:rPr>
                <w:rFonts w:ascii="Arial" w:cs="Arial" w:eastAsia="Arial" w:hAnsi="Arial"/>
                <w:sz w:val="18"/>
                <w:szCs w:val="18"/>
                <w:rtl w:val="0"/>
              </w:rPr>
              <w:t xml:space="preserve">0.25x</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DE">
            <w:pPr>
              <w:spacing w:line="264" w:lineRule="auto"/>
              <w:jc w:val="center"/>
              <w:rPr/>
            </w:pPr>
            <w:r w:rsidDel="00000000" w:rsidR="00000000" w:rsidRPr="00000000">
              <w:rPr>
                <w:rFonts w:ascii="Arial" w:cs="Arial" w:eastAsia="Arial" w:hAnsi="Arial"/>
                <w:sz w:val="18"/>
                <w:szCs w:val="18"/>
                <w:rtl w:val="0"/>
              </w:rPr>
              <w:t xml:space="preserve">0.28x</w:t>
            </w:r>
            <w:r w:rsidDel="00000000" w:rsidR="00000000" w:rsidRPr="00000000">
              <w:rPr>
                <w:rtl w:val="0"/>
              </w:rPr>
            </w:r>
          </w:p>
        </w:tc>
      </w:tr>
    </w:tbl>
    <w:p w:rsidR="00000000" w:rsidDel="00000000" w:rsidP="00000000" w:rsidRDefault="00000000" w:rsidRPr="00000000" w14:paraId="000000DF">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calculations from Volkswagen </w:t>
      </w:r>
      <w:r w:rsidDel="00000000" w:rsidR="00000000" w:rsidRPr="00000000">
        <w:rPr>
          <w:i w:val="1"/>
          <w:iCs w:val="1"/>
          <w:sz w:val="20"/>
          <w:szCs w:val="20"/>
          <w:rtl w:val="0"/>
        </w:rPr>
        <w:t xml:space="preserve">AG's</w:t>
      </w:r>
      <w:r w:rsidDel="00000000" w:rsidR="00000000" w:rsidRPr="00000000">
        <w:rPr>
          <w:rFonts w:ascii="Arial" w:cs="Arial" w:eastAsia="Arial" w:hAnsi="Arial"/>
          <w:i w:val="1"/>
          <w:iCs w:val="1"/>
          <w:sz w:val="20"/>
          <w:szCs w:val="20"/>
          <w:rtl w:val="0"/>
        </w:rPr>
        <w:t xml:space="preserve"> (2026) Annual Report.</w:t>
      </w:r>
      <w:r w:rsidDel="00000000" w:rsidR="00000000" w:rsidRPr="00000000">
        <w:rPr>
          <w:rtl w:val="0"/>
        </w:rPr>
      </w:r>
    </w:p>
    <w:p w:rsidR="00000000" w:rsidDel="00000000" w:rsidP="00000000" w:rsidRDefault="00000000" w:rsidRPr="00000000" w14:paraId="000000E0">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2.4 Key Trends, Strengths and Threats</w:t>
      </w:r>
      <w:r w:rsidDel="00000000" w:rsidR="00000000" w:rsidRPr="00000000">
        <w:rPr>
          <w:rtl w:val="0"/>
        </w:rPr>
      </w:r>
    </w:p>
    <w:p w:rsidR="00000000" w:rsidDel="00000000" w:rsidP="00000000" w:rsidRDefault="00000000" w:rsidRPr="00000000" w14:paraId="000000E1">
      <w:pPr>
        <w:spacing w:after="100" w:line="360" w:lineRule="auto"/>
        <w:jc w:val="both"/>
        <w:rPr/>
      </w:pPr>
      <w:r w:rsidDel="00000000" w:rsidR="00000000" w:rsidRPr="00000000">
        <w:rPr>
          <w:rFonts w:ascii="Arial" w:cs="Arial" w:eastAsia="Arial" w:hAnsi="Arial"/>
          <w:sz w:val="24"/>
          <w:szCs w:val="24"/>
          <w:rtl w:val="0"/>
        </w:rPr>
        <w:t xml:space="preserve">There are positives, though, and they are worth acknowledging. Vehicle sales of 9 million units, a global manufacturing footprint spanning dozens of countries, and a portfolio of brands covering everything from budget models to ultra-luxury </w:t>
      </w:r>
      <w:r w:rsidDel="00000000" w:rsidR="00000000" w:rsidRPr="00000000">
        <w:rPr>
          <w:rtl w:val="0"/>
        </w:rPr>
        <w:t xml:space="preserve">give</w:t>
      </w:r>
      <w:r w:rsidDel="00000000" w:rsidR="00000000" w:rsidRPr="00000000">
        <w:rPr>
          <w:rFonts w:ascii="Arial" w:cs="Arial" w:eastAsia="Arial" w:hAnsi="Arial"/>
          <w:sz w:val="24"/>
          <w:szCs w:val="24"/>
          <w:rtl w:val="0"/>
        </w:rPr>
        <w:t xml:space="preserve"> it diversification that few competitors can match. The Financial Services pulled in €3.7 billion in operating profit at a 6.0% margin in FY2025, which acts as a useful cushion when the car side of things is struggling. The €34.5 billion in automotive net liquidity is another genuine strength, giving the company room to </w:t>
      </w:r>
      <w:r w:rsidDel="00000000" w:rsidR="00000000" w:rsidRPr="00000000">
        <w:rPr>
          <w:rtl w:val="0"/>
        </w:rPr>
        <w:t xml:space="preserve">maneuver</w:t>
      </w:r>
      <w:r w:rsidDel="00000000" w:rsidR="00000000" w:rsidRPr="00000000">
        <w:rPr>
          <w:rFonts w:ascii="Arial" w:cs="Arial" w:eastAsia="Arial" w:hAnsi="Arial"/>
          <w:sz w:val="24"/>
          <w:szCs w:val="24"/>
          <w:rtl w:val="0"/>
        </w:rPr>
        <w:t xml:space="preserve"> that a lot of competitors simply do not have (Volkswagen AG, 2026).</w:t>
      </w:r>
      <w:r w:rsidDel="00000000" w:rsidR="00000000" w:rsidRPr="00000000">
        <w:rPr>
          <w:rtl w:val="0"/>
        </w:rPr>
      </w:r>
    </w:p>
    <w:p w:rsidR="00000000" w:rsidDel="00000000" w:rsidP="00000000" w:rsidRDefault="00000000" w:rsidRPr="00000000" w14:paraId="000000E2">
      <w:pPr>
        <w:spacing w:after="80" w:line="360" w:lineRule="auto"/>
        <w:jc w:val="center"/>
        <w:rPr/>
      </w:pPr>
      <w:r w:rsidDel="00000000" w:rsidR="00000000" w:rsidRPr="00000000">
        <w:rPr/>
        <w:drawing>
          <wp:inline distB="0" distT="0" distL="0" distR="0">
            <wp:extent cx="4000000" cy="4000000"/>
            <wp:effectExtent b="0" l="0" r="0" t="0"/>
            <wp:docPr id="5" name="image6.jpg"/>
            <a:graphic>
              <a:graphicData uri="http://schemas.openxmlformats.org/drawingml/2006/picture">
                <pic:pic>
                  <pic:nvPicPr>
                    <pic:cNvPr id="0" name="image6.jpg"/>
                    <pic:cNvPicPr preferRelativeResize="0"/>
                  </pic:nvPicPr>
                  <pic:blipFill>
                    <a:blip r:embed="rId10"/>
                    <a:srcRect b="0" l="0" r="0" t="0"/>
                    <a:stretch>
                      <a:fillRect/>
                    </a:stretch>
                  </pic:blipFill>
                  <pic:spPr>
                    <a:xfrm>
                      <a:off x="0" y="0"/>
                      <a:ext cx="4000000" cy="4000000"/>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spacing w:after="160" w:line="360" w:lineRule="auto"/>
        <w:jc w:val="center"/>
        <w:rPr/>
      </w:pPr>
      <w:r w:rsidDel="00000000" w:rsidR="00000000" w:rsidRPr="00000000">
        <w:rPr>
          <w:rFonts w:ascii="Arial" w:cs="Arial" w:eastAsia="Arial" w:hAnsi="Arial"/>
          <w:i w:val="1"/>
          <w:iCs w:val="1"/>
          <w:sz w:val="20"/>
          <w:szCs w:val="20"/>
          <w:rtl w:val="0"/>
        </w:rPr>
        <w:t xml:space="preserve">Figure 3: Revenue by Segment, FY2025. Source: Author’s compilation.</w:t>
      </w:r>
      <w:r w:rsidDel="00000000" w:rsidR="00000000" w:rsidRPr="00000000">
        <w:rPr>
          <w:rtl w:val="0"/>
        </w:rPr>
      </w:r>
    </w:p>
    <w:p w:rsidR="00000000" w:rsidDel="00000000" w:rsidP="00000000" w:rsidRDefault="00000000" w:rsidRPr="00000000" w14:paraId="000000E4">
      <w:pPr>
        <w:spacing w:after="100" w:line="360" w:lineRule="auto"/>
        <w:jc w:val="both"/>
        <w:rPr/>
      </w:pPr>
      <w:r w:rsidDel="00000000" w:rsidR="00000000" w:rsidRPr="00000000">
        <w:rPr>
          <w:rFonts w:ascii="Arial" w:cs="Arial" w:eastAsia="Arial" w:hAnsi="Arial"/>
          <w:sz w:val="24"/>
          <w:szCs w:val="24"/>
          <w:rtl w:val="0"/>
        </w:rPr>
        <w:t xml:space="preserve">The threats, however, are both numerous and serious. BYD and the other Chinese manufacturers are picking up market share fast, especially in Southeast Asia and now Europe too. Volkswagen's position in China, which used to be its biggest money-maker, has weakened noticeably as local brands take over the EV space. And the US tariffs that came in early 2025 are adding yet another headache on top of everything else. The Northvolt investment, which was intended to secure European battery supply, went into insolvency proceedings, resulting in write-downs. The Rivian investment, while smaller, has also underperformed. And internally, the restructuring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announced in late 2024, which could affect up to 35,000 jobs in Germany, points to the scale of the cost problem (Ewing, 2024). Porsche, which was supposed to be the crown jewel following its 2022 IPO, postponed key electric vehicle launches and recorded goodwill impairment charges. It is fair to say that the outlook is more uncertain than at any point in recent memory.</w:t>
      </w:r>
      <w:r w:rsidDel="00000000" w:rsidR="00000000" w:rsidRPr="00000000">
        <w:rPr>
          <w:rtl w:val="0"/>
        </w:rPr>
      </w:r>
    </w:p>
    <w:p w:rsidR="00000000" w:rsidDel="00000000" w:rsidP="00000000" w:rsidRDefault="00000000" w:rsidRPr="00000000" w14:paraId="000000E5">
      <w:pPr>
        <w:rPr/>
      </w:pPr>
      <w:r w:rsidDel="00000000" w:rsidR="00000000" w:rsidRPr="00000000">
        <w:br w:type="page"/>
      </w:r>
      <w:r w:rsidDel="00000000" w:rsidR="00000000" w:rsidRPr="00000000">
        <w:rPr>
          <w:rtl w:val="0"/>
        </w:rPr>
      </w:r>
    </w:p>
    <w:p w:rsidR="00000000" w:rsidDel="00000000" w:rsidP="00000000" w:rsidRDefault="00000000" w:rsidRPr="00000000" w14:paraId="000000E6">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3. Working Capital Management Analysis</w:t>
      </w:r>
      <w:r w:rsidDel="00000000" w:rsidR="00000000" w:rsidRPr="00000000">
        <w:rPr>
          <w:rtl w:val="0"/>
        </w:rPr>
      </w:r>
    </w:p>
    <w:p w:rsidR="00000000" w:rsidDel="00000000" w:rsidP="00000000" w:rsidRDefault="00000000" w:rsidRPr="00000000" w14:paraId="000000E7">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3.1 Cash Operating Cycle</w:t>
      </w:r>
      <w:r w:rsidDel="00000000" w:rsidR="00000000" w:rsidRPr="00000000">
        <w:rPr>
          <w:rtl w:val="0"/>
        </w:rPr>
      </w:r>
    </w:p>
    <w:p w:rsidR="00000000" w:rsidDel="00000000" w:rsidP="00000000" w:rsidRDefault="00000000" w:rsidRPr="00000000" w14:paraId="000000E8">
      <w:pPr>
        <w:spacing w:after="100" w:line="360" w:lineRule="auto"/>
        <w:jc w:val="both"/>
        <w:rPr/>
      </w:pPr>
      <w:r w:rsidDel="00000000" w:rsidR="00000000" w:rsidRPr="00000000">
        <w:rPr>
          <w:rFonts w:ascii="Arial" w:cs="Arial" w:eastAsia="Arial" w:hAnsi="Arial"/>
          <w:sz w:val="24"/>
          <w:szCs w:val="24"/>
          <w:rtl w:val="0"/>
        </w:rPr>
        <w:t xml:space="preserve">Working capital management at a company the size of Volkswagen involves enormous sums. Small changes in the timing of payments or collections translate into billions of euros moving faster or slower through the system. The question, as always, is how efficiently the operating cycle converts cash outflows into cash inflows.</w:t>
      </w:r>
      <w:r w:rsidDel="00000000" w:rsidR="00000000" w:rsidRPr="00000000">
        <w:rPr>
          <w:rtl w:val="0"/>
        </w:rPr>
      </w:r>
    </w:p>
    <w:p w:rsidR="00000000" w:rsidDel="00000000" w:rsidP="00000000" w:rsidRDefault="00000000" w:rsidRPr="00000000" w14:paraId="000000E9">
      <w:pPr>
        <w:spacing w:after="100" w:line="360" w:lineRule="auto"/>
        <w:jc w:val="both"/>
        <w:rPr/>
      </w:pPr>
      <w:r w:rsidDel="00000000" w:rsidR="00000000" w:rsidRPr="00000000">
        <w:rPr>
          <w:rFonts w:ascii="Arial" w:cs="Arial" w:eastAsia="Arial" w:hAnsi="Arial"/>
          <w:sz w:val="24"/>
          <w:szCs w:val="24"/>
          <w:rtl w:val="0"/>
        </w:rPr>
        <w:t xml:space="preserve">Inventories of €56.0 billion at FY2025 year-end against </w:t>
      </w:r>
      <w:r w:rsidDel="00000000" w:rsidR="00000000" w:rsidRPr="00000000">
        <w:rPr>
          <w:rtl w:val="0"/>
        </w:rPr>
        <w:t xml:space="preserve">a cost</w:t>
      </w:r>
      <w:r w:rsidDel="00000000" w:rsidR="00000000" w:rsidRPr="00000000">
        <w:rPr>
          <w:rFonts w:ascii="Arial" w:cs="Arial" w:eastAsia="Arial" w:hAnsi="Arial"/>
          <w:sz w:val="24"/>
          <w:szCs w:val="24"/>
          <w:rtl w:val="0"/>
        </w:rPr>
        <w:t xml:space="preserve"> of sales of €270.7 billion produce an inventory holding period of approximately 76 days. For a company that manufactures vehicles across multiple segments, brands, and countries, 76 days is not </w:t>
      </w:r>
      <w:r w:rsidDel="00000000" w:rsidR="00000000" w:rsidRPr="00000000">
        <w:rPr>
          <w:rtl w:val="0"/>
        </w:rPr>
        <w:t xml:space="preserve">unreasonable,</w:t>
      </w:r>
      <w:r w:rsidDel="00000000" w:rsidR="00000000" w:rsidRPr="00000000">
        <w:rPr>
          <w:rFonts w:ascii="Arial" w:cs="Arial" w:eastAsia="Arial" w:hAnsi="Arial"/>
          <w:sz w:val="24"/>
          <w:szCs w:val="24"/>
          <w:rtl w:val="0"/>
        </w:rPr>
        <w:t xml:space="preserve"> but it is on the high side. The inventory position is essentially flat compared to FY2024 (€56.7 billion), which at first looks like discipline. But revenue was also broadly flat, so the real question is whether the composition of that inventory has shifted. If finished vehicles are sitting longer on dealer lots, that represents a demand problem rather than a supply management success. The annual report mentions global inventories of new vehicles being elevated, which does not inspire confidence (Volkswagen AG, 2026).</w:t>
      </w:r>
      <w:r w:rsidDel="00000000" w:rsidR="00000000" w:rsidRPr="00000000">
        <w:rPr>
          <w:rtl w:val="0"/>
        </w:rPr>
      </w:r>
    </w:p>
    <w:p w:rsidR="00000000" w:rsidDel="00000000" w:rsidP="00000000" w:rsidRDefault="00000000" w:rsidRPr="00000000" w14:paraId="000000EA">
      <w:pPr>
        <w:spacing w:after="100" w:line="360" w:lineRule="auto"/>
        <w:jc w:val="both"/>
        <w:rPr/>
      </w:pPr>
      <w:r w:rsidDel="00000000" w:rsidR="00000000" w:rsidRPr="00000000">
        <w:rPr>
          <w:rFonts w:ascii="Arial" w:cs="Arial" w:eastAsia="Arial" w:hAnsi="Arial"/>
          <w:sz w:val="24"/>
          <w:szCs w:val="24"/>
          <w:rtl w:val="0"/>
        </w:rPr>
        <w:t xml:space="preserve">Trade receivables of €20.8 billion against revenue of €321.9 billion give a collection period of about 24 days, which is efficient for an automotive manufacturer selling through dealer networks. Trade payables of €30.5 billion against cost of sales </w:t>
      </w:r>
      <w:r w:rsidDel="00000000" w:rsidR="00000000" w:rsidRPr="00000000">
        <w:rPr>
          <w:rtl w:val="0"/>
        </w:rPr>
        <w:t xml:space="preserve">imply</w:t>
      </w:r>
      <w:r w:rsidDel="00000000" w:rsidR="00000000" w:rsidRPr="00000000">
        <w:rPr>
          <w:rFonts w:ascii="Arial" w:cs="Arial" w:eastAsia="Arial" w:hAnsi="Arial"/>
          <w:sz w:val="24"/>
          <w:szCs w:val="24"/>
          <w:rtl w:val="0"/>
        </w:rPr>
        <w:t xml:space="preserve"> a payment period of roughly 41 days. The cash operating cycle therefore works out to approximately 76 + 24 - 41 = 59 days. That is considerably longer than Tesla’s 13-day cycle, which reflects Volkswagen’s fundamentally different business model of selling through franchised dealers rather than directly to consumers (Christopher, 2016).</w:t>
      </w:r>
      <w:r w:rsidDel="00000000" w:rsidR="00000000" w:rsidRPr="00000000">
        <w:rPr>
          <w:rtl w:val="0"/>
        </w:rPr>
      </w:r>
    </w:p>
    <w:p w:rsidR="00000000" w:rsidDel="00000000" w:rsidP="00000000" w:rsidRDefault="00000000" w:rsidRPr="00000000" w14:paraId="000000EB">
      <w:pPr>
        <w:spacing w:after="100" w:line="360" w:lineRule="auto"/>
        <w:jc w:val="both"/>
        <w:rPr/>
      </w:pPr>
      <w:r w:rsidDel="00000000" w:rsidR="00000000" w:rsidRPr="00000000">
        <w:rPr>
          <w:rFonts w:ascii="Arial" w:cs="Arial" w:eastAsia="Arial" w:hAnsi="Arial"/>
          <w:sz w:val="24"/>
          <w:szCs w:val="24"/>
          <w:rtl w:val="0"/>
        </w:rPr>
        <w:t xml:space="preserve">Whether that 59-day figure is acceptable depends on the benchmark. Toyota has historically managed tighter inventory cycles despite a similarly complex multi-brand structure. General Motors and Ford tend to operate in a similar range to Volkswagen, so it is not an outlier among Western automakers. But it is not best-in-class either. The question for the CFO is whether the current cycle length is a natural feature of the business model or whether there is genuine slack that could be tightened. Given the elevated finished vehicle inventories mentioned in the annual report, the answer is probably a bit of both.</w:t>
      </w:r>
      <w:r w:rsidDel="00000000" w:rsidR="00000000" w:rsidRPr="00000000">
        <w:rPr>
          <w:rtl w:val="0"/>
        </w:rPr>
      </w:r>
    </w:p>
    <w:p w:rsidR="00000000" w:rsidDel="00000000" w:rsidP="00000000" w:rsidRDefault="00000000" w:rsidRPr="00000000" w14:paraId="000000EC">
      <w:pPr>
        <w:spacing w:after="160" w:line="360" w:lineRule="auto"/>
        <w:jc w:val="center"/>
        <w:rPr/>
      </w:pPr>
      <w:r w:rsidDel="00000000" w:rsidR="00000000" w:rsidRPr="00000000">
        <w:rPr>
          <w:rFonts w:ascii="Arial" w:cs="Arial" w:eastAsia="Arial" w:hAnsi="Arial"/>
          <w:i w:val="1"/>
          <w:iCs w:val="1"/>
          <w:sz w:val="20"/>
          <w:szCs w:val="20"/>
          <w:rtl w:val="0"/>
        </w:rPr>
        <w:t xml:space="preserve">Table 5: Estimated Cash Operating Cycle (FY2024 vs FY2025)</w:t>
      </w:r>
      <w:r w:rsidDel="00000000" w:rsidR="00000000" w:rsidRPr="00000000">
        <w:rPr>
          <w:rtl w:val="0"/>
        </w:rPr>
      </w:r>
    </w:p>
    <w:tbl>
      <w:tblPr>
        <w:tblStyle w:val="Table5"/>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00"/>
        <w:gridCol w:w="2763"/>
        <w:gridCol w:w="2763"/>
        <w:tblGridChange w:id="0">
          <w:tblGrid>
            <w:gridCol w:w="3500"/>
            <w:gridCol w:w="2763"/>
            <w:gridCol w:w="2763"/>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ED">
            <w:pPr>
              <w:spacing w:line="264" w:lineRule="auto"/>
              <w:jc w:val="center"/>
              <w:rPr/>
            </w:pPr>
            <w:r w:rsidDel="00000000" w:rsidR="00000000" w:rsidRPr="00000000">
              <w:rPr>
                <w:rFonts w:ascii="Arial" w:cs="Arial" w:eastAsia="Arial" w:hAnsi="Arial"/>
                <w:b w:val="1"/>
                <w:bCs w:val="1"/>
                <w:color w:val="ffffff"/>
                <w:sz w:val="18"/>
                <w:szCs w:val="18"/>
                <w:rtl w:val="0"/>
              </w:rPr>
              <w:t xml:space="preserve">Component (Days)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EE">
            <w:pPr>
              <w:spacing w:line="264" w:lineRule="auto"/>
              <w:jc w:val="center"/>
              <w:rPr/>
            </w:pPr>
            <w:r w:rsidDel="00000000" w:rsidR="00000000" w:rsidRPr="00000000">
              <w:rPr>
                <w:rFonts w:ascii="Arial" w:cs="Arial" w:eastAsia="Arial" w:hAnsi="Arial"/>
                <w:b w:val="1"/>
                <w:bCs w:val="1"/>
                <w:color w:val="ffffff"/>
                <w:sz w:val="18"/>
                <w:szCs w:val="18"/>
                <w:rtl w:val="0"/>
              </w:rPr>
              <w:t xml:space="preserve">FY2024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0EF">
            <w:pPr>
              <w:spacing w:line="264" w:lineRule="auto"/>
              <w:jc w:val="center"/>
              <w:rPr/>
            </w:pPr>
            <w:r w:rsidDel="00000000" w:rsidR="00000000" w:rsidRPr="00000000">
              <w:rPr>
                <w:rFonts w:ascii="Arial" w:cs="Arial" w:eastAsia="Arial" w:hAnsi="Arial"/>
                <w:b w:val="1"/>
                <w:bCs w:val="1"/>
                <w:color w:val="ffffff"/>
                <w:sz w:val="18"/>
                <w:szCs w:val="18"/>
                <w:rtl w:val="0"/>
              </w:rPr>
              <w:t xml:space="preserve">FY2025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0">
            <w:pPr>
              <w:spacing w:line="264" w:lineRule="auto"/>
              <w:jc w:val="left"/>
              <w:rPr/>
            </w:pPr>
            <w:r w:rsidDel="00000000" w:rsidR="00000000" w:rsidRPr="00000000">
              <w:rPr>
                <w:rFonts w:ascii="Arial" w:cs="Arial" w:eastAsia="Arial" w:hAnsi="Arial"/>
                <w:b w:val="1"/>
                <w:bCs w:val="1"/>
                <w:sz w:val="18"/>
                <w:szCs w:val="18"/>
                <w:rtl w:val="0"/>
              </w:rPr>
              <w:t xml:space="preserve">Inventory Holding</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1">
            <w:pPr>
              <w:spacing w:line="264" w:lineRule="auto"/>
              <w:jc w:val="center"/>
              <w:rPr/>
            </w:pPr>
            <w:r w:rsidDel="00000000" w:rsidR="00000000" w:rsidRPr="00000000">
              <w:rPr>
                <w:rFonts w:ascii="Arial" w:cs="Arial" w:eastAsia="Arial" w:hAnsi="Arial"/>
                <w:sz w:val="18"/>
                <w:szCs w:val="18"/>
                <w:rtl w:val="0"/>
              </w:rPr>
              <w:t xml:space="preserve">~77</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2">
            <w:pPr>
              <w:spacing w:line="264" w:lineRule="auto"/>
              <w:jc w:val="center"/>
              <w:rPr/>
            </w:pPr>
            <w:r w:rsidDel="00000000" w:rsidR="00000000" w:rsidRPr="00000000">
              <w:rPr>
                <w:rFonts w:ascii="Arial" w:cs="Arial" w:eastAsia="Arial" w:hAnsi="Arial"/>
                <w:sz w:val="18"/>
                <w:szCs w:val="18"/>
                <w:rtl w:val="0"/>
              </w:rPr>
              <w:t xml:space="preserve">~76</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3">
            <w:pPr>
              <w:spacing w:line="264" w:lineRule="auto"/>
              <w:jc w:val="left"/>
              <w:rPr/>
            </w:pPr>
            <w:r w:rsidDel="00000000" w:rsidR="00000000" w:rsidRPr="00000000">
              <w:rPr>
                <w:rFonts w:ascii="Arial" w:cs="Arial" w:eastAsia="Arial" w:hAnsi="Arial"/>
                <w:b w:val="1"/>
                <w:bCs w:val="1"/>
                <w:sz w:val="18"/>
                <w:szCs w:val="18"/>
                <w:rtl w:val="0"/>
              </w:rPr>
              <w:t xml:space="preserve">Receivables Collection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4">
            <w:pPr>
              <w:spacing w:line="264" w:lineRule="auto"/>
              <w:jc w:val="center"/>
              <w:rPr/>
            </w:pPr>
            <w:r w:rsidDel="00000000" w:rsidR="00000000" w:rsidRPr="00000000">
              <w:rPr>
                <w:rFonts w:ascii="Arial" w:cs="Arial" w:eastAsia="Arial" w:hAnsi="Arial"/>
                <w:sz w:val="18"/>
                <w:szCs w:val="18"/>
                <w:rtl w:val="0"/>
              </w:rPr>
              <w:t xml:space="preserve">~24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5">
            <w:pPr>
              <w:spacing w:line="264" w:lineRule="auto"/>
              <w:jc w:val="center"/>
              <w:rPr/>
            </w:pPr>
            <w:r w:rsidDel="00000000" w:rsidR="00000000" w:rsidRPr="00000000">
              <w:rPr>
                <w:rFonts w:ascii="Arial" w:cs="Arial" w:eastAsia="Arial" w:hAnsi="Arial"/>
                <w:sz w:val="18"/>
                <w:szCs w:val="18"/>
                <w:rtl w:val="0"/>
              </w:rPr>
              <w:t xml:space="preserve">~24</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6">
            <w:pPr>
              <w:spacing w:line="264" w:lineRule="auto"/>
              <w:jc w:val="left"/>
              <w:rPr/>
            </w:pPr>
            <w:r w:rsidDel="00000000" w:rsidR="00000000" w:rsidRPr="00000000">
              <w:rPr>
                <w:rFonts w:ascii="Arial" w:cs="Arial" w:eastAsia="Arial" w:hAnsi="Arial"/>
                <w:b w:val="1"/>
                <w:bCs w:val="1"/>
                <w:sz w:val="18"/>
                <w:szCs w:val="18"/>
                <w:rtl w:val="0"/>
              </w:rPr>
              <w:t xml:space="preserve">Payables Payment</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7">
            <w:pPr>
              <w:spacing w:line="264" w:lineRule="auto"/>
              <w:jc w:val="center"/>
              <w:rPr/>
            </w:pPr>
            <w:r w:rsidDel="00000000" w:rsidR="00000000" w:rsidRPr="00000000">
              <w:rPr>
                <w:rFonts w:ascii="Arial" w:cs="Arial" w:eastAsia="Arial" w:hAnsi="Arial"/>
                <w:sz w:val="18"/>
                <w:szCs w:val="18"/>
                <w:rtl w:val="0"/>
              </w:rPr>
              <w:t xml:space="preserve">~40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0F8">
            <w:pPr>
              <w:spacing w:line="264" w:lineRule="auto"/>
              <w:jc w:val="center"/>
              <w:rPr/>
            </w:pPr>
            <w:r w:rsidDel="00000000" w:rsidR="00000000" w:rsidRPr="00000000">
              <w:rPr>
                <w:rFonts w:ascii="Arial" w:cs="Arial" w:eastAsia="Arial" w:hAnsi="Arial"/>
                <w:sz w:val="18"/>
                <w:szCs w:val="18"/>
                <w:rtl w:val="0"/>
              </w:rPr>
              <w:t xml:space="preserve">~41</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9">
            <w:pPr>
              <w:spacing w:line="264" w:lineRule="auto"/>
              <w:jc w:val="left"/>
              <w:rPr/>
            </w:pPr>
            <w:r w:rsidDel="00000000" w:rsidR="00000000" w:rsidRPr="00000000">
              <w:rPr>
                <w:rFonts w:ascii="Arial" w:cs="Arial" w:eastAsia="Arial" w:hAnsi="Arial"/>
                <w:b w:val="1"/>
                <w:bCs w:val="1"/>
                <w:sz w:val="18"/>
                <w:szCs w:val="18"/>
                <w:rtl w:val="0"/>
              </w:rPr>
              <w:t xml:space="preserve">Cash Operating Cycle</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A">
            <w:pPr>
              <w:spacing w:line="264" w:lineRule="auto"/>
              <w:jc w:val="center"/>
              <w:rPr/>
            </w:pPr>
            <w:r w:rsidDel="00000000" w:rsidR="00000000" w:rsidRPr="00000000">
              <w:rPr>
                <w:rFonts w:ascii="Arial" w:cs="Arial" w:eastAsia="Arial" w:hAnsi="Arial"/>
                <w:sz w:val="18"/>
                <w:szCs w:val="18"/>
                <w:rtl w:val="0"/>
              </w:rPr>
              <w:t xml:space="preserve">~61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0FB">
            <w:pPr>
              <w:spacing w:line="264" w:lineRule="auto"/>
              <w:jc w:val="center"/>
              <w:rPr/>
            </w:pPr>
            <w:r w:rsidDel="00000000" w:rsidR="00000000" w:rsidRPr="00000000">
              <w:rPr>
                <w:rFonts w:ascii="Arial" w:cs="Arial" w:eastAsia="Arial" w:hAnsi="Arial"/>
                <w:sz w:val="18"/>
                <w:szCs w:val="18"/>
                <w:rtl w:val="0"/>
              </w:rPr>
              <w:t xml:space="preserve">~59</w:t>
            </w:r>
            <w:r w:rsidDel="00000000" w:rsidR="00000000" w:rsidRPr="00000000">
              <w:rPr>
                <w:rtl w:val="0"/>
              </w:rPr>
            </w:r>
          </w:p>
        </w:tc>
      </w:tr>
    </w:tbl>
    <w:p w:rsidR="00000000" w:rsidDel="00000000" w:rsidP="00000000" w:rsidRDefault="00000000" w:rsidRPr="00000000" w14:paraId="000000FC">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estimates from Volkswagen </w:t>
      </w:r>
      <w:r w:rsidDel="00000000" w:rsidR="00000000" w:rsidRPr="00000000">
        <w:rPr>
          <w:i w:val="1"/>
          <w:iCs w:val="1"/>
          <w:sz w:val="20"/>
          <w:szCs w:val="20"/>
          <w:rtl w:val="0"/>
        </w:rPr>
        <w:t xml:space="preserve">AG's</w:t>
      </w:r>
      <w:r w:rsidDel="00000000" w:rsidR="00000000" w:rsidRPr="00000000">
        <w:rPr>
          <w:rFonts w:ascii="Arial" w:cs="Arial" w:eastAsia="Arial" w:hAnsi="Arial"/>
          <w:i w:val="1"/>
          <w:iCs w:val="1"/>
          <w:sz w:val="20"/>
          <w:szCs w:val="20"/>
          <w:rtl w:val="0"/>
        </w:rPr>
        <w:t xml:space="preserve"> (2026) Annual Report.</w:t>
      </w:r>
      <w:r w:rsidDel="00000000" w:rsidR="00000000" w:rsidRPr="00000000">
        <w:rPr>
          <w:rtl w:val="0"/>
        </w:rPr>
      </w:r>
    </w:p>
    <w:p w:rsidR="00000000" w:rsidDel="00000000" w:rsidP="00000000" w:rsidRDefault="00000000" w:rsidRPr="00000000" w14:paraId="000000FD">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3.2 Recommendations to Improve Liquidity</w:t>
      </w:r>
      <w:r w:rsidDel="00000000" w:rsidR="00000000" w:rsidRPr="00000000">
        <w:rPr>
          <w:rtl w:val="0"/>
        </w:rPr>
      </w:r>
    </w:p>
    <w:p w:rsidR="00000000" w:rsidDel="00000000" w:rsidP="00000000" w:rsidRDefault="00000000" w:rsidRPr="00000000" w14:paraId="000000FE">
      <w:pPr>
        <w:spacing w:after="100" w:line="360" w:lineRule="auto"/>
        <w:jc w:val="both"/>
        <w:rPr/>
      </w:pPr>
      <w:r w:rsidDel="00000000" w:rsidR="00000000" w:rsidRPr="00000000">
        <w:rPr>
          <w:rFonts w:ascii="Arial" w:cs="Arial" w:eastAsia="Arial" w:hAnsi="Arial"/>
          <w:sz w:val="24"/>
          <w:szCs w:val="24"/>
          <w:rtl w:val="0"/>
        </w:rPr>
        <w:t xml:space="preserve">The most obvious opportunity lies in inventory management. At €56 billion, Volkswagen is carrying roughly 76 days of stock. If the company could reduce this to 65 days, which is achievable given that Toyota operates with significantly less, it would free up approximately €8 billion in working capital. Better demand forecasting, more flexible production scheduling, and tighter management of finished vehicle distribution would all contribute. The multi-brand structure actually complicates this because each brand runs somewhat independent inventory systems, so there is likely duplication and inefficiency that a more </w:t>
      </w:r>
      <w:r w:rsidDel="00000000" w:rsidR="00000000" w:rsidRPr="00000000">
        <w:rPr>
          <w:rtl w:val="0"/>
        </w:rPr>
        <w:t xml:space="preserve">centralized</w:t>
      </w:r>
      <w:r w:rsidDel="00000000" w:rsidR="00000000" w:rsidRPr="00000000">
        <w:rPr>
          <w:rFonts w:ascii="Arial" w:cs="Arial" w:eastAsia="Arial" w:hAnsi="Arial"/>
          <w:sz w:val="24"/>
          <w:szCs w:val="24"/>
          <w:rtl w:val="0"/>
        </w:rPr>
        <w:t xml:space="preserve"> approach could address (Brealey, </w:t>
      </w:r>
      <w:r w:rsidDel="00000000" w:rsidR="00000000" w:rsidRPr="00000000">
        <w:rPr>
          <w:rtl w:val="0"/>
        </w:rPr>
        <w:t xml:space="preserve">Myers,</w:t>
      </w:r>
      <w:r w:rsidDel="00000000" w:rsidR="00000000" w:rsidRPr="00000000">
        <w:rPr>
          <w:rFonts w:ascii="Arial" w:cs="Arial" w:eastAsia="Arial" w:hAnsi="Arial"/>
          <w:sz w:val="24"/>
          <w:szCs w:val="24"/>
          <w:rtl w:val="0"/>
        </w:rPr>
        <w:t xml:space="preserve"> and Allen, 2020).</w:t>
      </w:r>
      <w:r w:rsidDel="00000000" w:rsidR="00000000" w:rsidRPr="00000000">
        <w:rPr>
          <w:rtl w:val="0"/>
        </w:rPr>
      </w:r>
    </w:p>
    <w:p w:rsidR="00000000" w:rsidDel="00000000" w:rsidP="00000000" w:rsidRDefault="00000000" w:rsidRPr="00000000" w14:paraId="000000FF">
      <w:pPr>
        <w:spacing w:after="100" w:line="360" w:lineRule="auto"/>
        <w:jc w:val="both"/>
        <w:rPr/>
      </w:pPr>
      <w:r w:rsidDel="00000000" w:rsidR="00000000" w:rsidRPr="00000000">
        <w:rPr>
          <w:rFonts w:ascii="Arial" w:cs="Arial" w:eastAsia="Arial" w:hAnsi="Arial"/>
          <w:sz w:val="24"/>
          <w:szCs w:val="24"/>
          <w:rtl w:val="0"/>
        </w:rPr>
        <w:t xml:space="preserve">On the receivables side, 24 days is already reasonably efficient, but the growing </w:t>
      </w:r>
      <w:r w:rsidDel="00000000" w:rsidR="00000000" w:rsidRPr="00000000">
        <w:rPr>
          <w:rtl w:val="0"/>
        </w:rPr>
        <w:t xml:space="preserve">financial services</w:t>
      </w:r>
      <w:r w:rsidDel="00000000" w:rsidR="00000000" w:rsidRPr="00000000">
        <w:rPr>
          <w:rFonts w:ascii="Arial" w:cs="Arial" w:eastAsia="Arial" w:hAnsi="Arial"/>
          <w:sz w:val="24"/>
          <w:szCs w:val="24"/>
          <w:rtl w:val="0"/>
        </w:rPr>
        <w:t xml:space="preserve"> division could play a bigger role in accelerating collections. If VW Financial Services offers more aggressive dealer financing packages that shorten the time between vehicle delivery and payment, that could compress the receivables cycle further without straining dealer relationships.</w:t>
      </w:r>
      <w:r w:rsidDel="00000000" w:rsidR="00000000" w:rsidRPr="00000000">
        <w:rPr>
          <w:rtl w:val="0"/>
        </w:rPr>
      </w:r>
    </w:p>
    <w:p w:rsidR="00000000" w:rsidDel="00000000" w:rsidP="00000000" w:rsidRDefault="00000000" w:rsidRPr="00000000" w14:paraId="00000100">
      <w:pPr>
        <w:spacing w:after="100" w:line="360" w:lineRule="auto"/>
        <w:jc w:val="both"/>
        <w:rPr/>
      </w:pPr>
      <w:r w:rsidDel="00000000" w:rsidR="00000000" w:rsidRPr="00000000">
        <w:rPr>
          <w:rFonts w:ascii="Arial" w:cs="Arial" w:eastAsia="Arial" w:hAnsi="Arial"/>
          <w:sz w:val="24"/>
          <w:szCs w:val="24"/>
          <w:rtl w:val="0"/>
        </w:rPr>
        <w:t xml:space="preserve">The payables period of 41 days is actually quite short for a manufacturer of this scale. Extending payment terms to 50 or 55 days, in line with what some competitors operate at, would retain additional cash in the business. However, given the current restructuring tensions and the potential impact on supplier morale, particularly among smaller Tier 2 and Tier 3 suppliers in Germany, this needs to be handled delicately. Supply chain finance </w:t>
      </w:r>
      <w:r w:rsidDel="00000000" w:rsidR="00000000" w:rsidRPr="00000000">
        <w:rPr>
          <w:rtl w:val="0"/>
        </w:rPr>
        <w:t xml:space="preserve">programs</w:t>
      </w:r>
      <w:r w:rsidDel="00000000" w:rsidR="00000000" w:rsidRPr="00000000">
        <w:rPr>
          <w:rFonts w:ascii="Arial" w:cs="Arial" w:eastAsia="Arial" w:hAnsi="Arial"/>
          <w:sz w:val="24"/>
          <w:szCs w:val="24"/>
          <w:rtl w:val="0"/>
        </w:rPr>
        <w:t xml:space="preserve"> could provide a middle ground (Watson and Head, 2019).</w:t>
      </w:r>
      <w:r w:rsidDel="00000000" w:rsidR="00000000" w:rsidRPr="00000000">
        <w:rPr>
          <w:rtl w:val="0"/>
        </w:rPr>
      </w:r>
    </w:p>
    <w:p w:rsidR="00000000" w:rsidDel="00000000" w:rsidP="00000000" w:rsidRDefault="00000000" w:rsidRPr="00000000" w14:paraId="00000101">
      <w:pPr>
        <w:spacing w:after="100" w:line="360" w:lineRule="auto"/>
        <w:jc w:val="both"/>
        <w:rPr/>
      </w:pPr>
      <w:r w:rsidDel="00000000" w:rsidR="00000000" w:rsidRPr="00000000">
        <w:rPr>
          <w:rFonts w:ascii="Arial" w:cs="Arial" w:eastAsia="Arial" w:hAnsi="Arial"/>
          <w:sz w:val="24"/>
          <w:szCs w:val="24"/>
          <w:rtl w:val="0"/>
        </w:rPr>
        <w:t xml:space="preserve">There is also the matter of the </w:t>
      </w:r>
      <w:r w:rsidDel="00000000" w:rsidR="00000000" w:rsidRPr="00000000">
        <w:rPr>
          <w:rtl w:val="0"/>
        </w:rPr>
        <w:t xml:space="preserve">financial services</w:t>
      </w:r>
      <w:r w:rsidDel="00000000" w:rsidR="00000000" w:rsidRPr="00000000">
        <w:rPr>
          <w:rFonts w:ascii="Arial" w:cs="Arial" w:eastAsia="Arial" w:hAnsi="Arial"/>
          <w:sz w:val="24"/>
          <w:szCs w:val="24"/>
          <w:rtl w:val="0"/>
        </w:rPr>
        <w:t xml:space="preserve"> division’s role in working capital </w:t>
      </w:r>
      <w:r w:rsidDel="00000000" w:rsidR="00000000" w:rsidRPr="00000000">
        <w:rPr>
          <w:rtl w:val="0"/>
        </w:rPr>
        <w:t xml:space="preserve">optimization.</w:t>
      </w:r>
      <w:r w:rsidDel="00000000" w:rsidR="00000000" w:rsidRPr="00000000">
        <w:rPr>
          <w:rFonts w:ascii="Arial" w:cs="Arial" w:eastAsia="Arial" w:hAnsi="Arial"/>
          <w:sz w:val="24"/>
          <w:szCs w:val="24"/>
          <w:rtl w:val="0"/>
        </w:rPr>
        <w:t xml:space="preserve"> VW Financial Services already provides dealer floor-plan financing, which effectively allows dealerships to hold inventory without tying up their own capital. Expanding this to include supply chain finance, where VW Financial Services pays suppliers early at a discount funded by the Group’s strong credit rating, could create a win-win situation. Suppliers get paid faster, Volkswagen retains its cash longer, and the Financial Services division earns a spread. It is the kind of structural solution that a vertically integrated financial services arm makes possible.</w:t>
      </w:r>
      <w:r w:rsidDel="00000000" w:rsidR="00000000" w:rsidRPr="00000000">
        <w:rPr>
          <w:rtl w:val="0"/>
        </w:rPr>
      </w:r>
    </w:p>
    <w:p w:rsidR="00000000" w:rsidDel="00000000" w:rsidP="00000000" w:rsidRDefault="00000000" w:rsidRPr="00000000" w14:paraId="00000102">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3.3 Short-term vs Long-term Financing</w:t>
      </w:r>
      <w:r w:rsidDel="00000000" w:rsidR="00000000" w:rsidRPr="00000000">
        <w:rPr>
          <w:rtl w:val="0"/>
        </w:rPr>
      </w:r>
    </w:p>
    <w:p w:rsidR="00000000" w:rsidDel="00000000" w:rsidP="00000000" w:rsidRDefault="00000000" w:rsidRPr="00000000" w14:paraId="00000103">
      <w:pPr>
        <w:spacing w:after="100" w:line="360" w:lineRule="auto"/>
        <w:jc w:val="both"/>
        <w:rPr/>
      </w:pPr>
      <w:r w:rsidDel="00000000" w:rsidR="00000000" w:rsidRPr="00000000">
        <w:rPr>
          <w:rFonts w:ascii="Arial" w:cs="Arial" w:eastAsia="Arial" w:hAnsi="Arial"/>
          <w:sz w:val="24"/>
          <w:szCs w:val="24"/>
          <w:rtl w:val="0"/>
        </w:rPr>
        <w:t xml:space="preserve">Volkswagen’s financing structure reflects its dual nature as both a manufacturer and a financial services provider. The Financial Services division holds €136.8 billion in current financial liabilities alone, which sounds enormous but is standard for a company that finances vehicle purchases and leases. The </w:t>
      </w:r>
      <w:r w:rsidDel="00000000" w:rsidR="00000000" w:rsidRPr="00000000">
        <w:rPr>
          <w:rtl w:val="0"/>
        </w:rPr>
        <w:t xml:space="preserve">automotive</w:t>
      </w:r>
      <w:r w:rsidDel="00000000" w:rsidR="00000000" w:rsidRPr="00000000">
        <w:rPr>
          <w:rFonts w:ascii="Arial" w:cs="Arial" w:eastAsia="Arial" w:hAnsi="Arial"/>
          <w:sz w:val="24"/>
          <w:szCs w:val="24"/>
          <w:rtl w:val="0"/>
        </w:rPr>
        <w:t xml:space="preserve"> division’s own current financial liabilities are a much more modest €18.3 billion. With automotive net liquidity of €34.5 billion, there is no near-term solvency concern. The €137.2 billion in non-current financial liabilities is largely bonds and notes used to fund the leasing book, which are matched against the corresponding lease assets. One area of concern is the declining operating cash flow trend, from €38.6 billion in FY2021 down to €15.0 billion in FY2025. If this continues, the company’s ability to fund capex and R&amp;D from internal cash generation, which was €24.3 billion in FY2025, will be tested seriously. Locking in long-term fixed-rate borrowing while credit ratings remain at A-minus (Fitch) seems prudent in the current interest rate environment (Arnold, 2019).</w:t>
      </w:r>
      <w:r w:rsidDel="00000000" w:rsidR="00000000" w:rsidRPr="00000000">
        <w:rPr>
          <w:rtl w:val="0"/>
        </w:rPr>
      </w:r>
    </w:p>
    <w:p w:rsidR="00000000" w:rsidDel="00000000" w:rsidP="00000000" w:rsidRDefault="00000000" w:rsidRPr="00000000" w14:paraId="00000104">
      <w:pPr>
        <w:rPr/>
      </w:pPr>
      <w:r w:rsidDel="00000000" w:rsidR="00000000" w:rsidRPr="00000000">
        <w:br w:type="page"/>
      </w:r>
      <w:r w:rsidDel="00000000" w:rsidR="00000000" w:rsidRPr="00000000">
        <w:rPr>
          <w:rtl w:val="0"/>
        </w:rPr>
      </w:r>
    </w:p>
    <w:p w:rsidR="00000000" w:rsidDel="00000000" w:rsidP="00000000" w:rsidRDefault="00000000" w:rsidRPr="00000000" w14:paraId="00000105">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4. Strategic Financial Restructuring Plan</w:t>
      </w:r>
      <w:r w:rsidDel="00000000" w:rsidR="00000000" w:rsidRPr="00000000">
        <w:rPr>
          <w:rtl w:val="0"/>
        </w:rPr>
      </w:r>
    </w:p>
    <w:p w:rsidR="00000000" w:rsidDel="00000000" w:rsidP="00000000" w:rsidRDefault="00000000" w:rsidRPr="00000000" w14:paraId="00000106">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4.1 The Core Problem: Too Many Brands, Too Much Cost</w:t>
      </w:r>
      <w:r w:rsidDel="00000000" w:rsidR="00000000" w:rsidRPr="00000000">
        <w:rPr>
          <w:rtl w:val="0"/>
        </w:rPr>
      </w:r>
    </w:p>
    <w:p w:rsidR="00000000" w:rsidDel="00000000" w:rsidP="00000000" w:rsidRDefault="00000000" w:rsidRPr="00000000" w14:paraId="00000107">
      <w:pPr>
        <w:spacing w:after="100" w:line="360" w:lineRule="auto"/>
        <w:jc w:val="both"/>
        <w:rPr/>
      </w:pPr>
      <w:r w:rsidDel="00000000" w:rsidR="00000000" w:rsidRPr="00000000">
        <w:rPr>
          <w:rFonts w:ascii="Arial" w:cs="Arial" w:eastAsia="Arial" w:hAnsi="Arial"/>
          <w:sz w:val="24"/>
          <w:szCs w:val="24"/>
          <w:rtl w:val="0"/>
        </w:rPr>
        <w:t xml:space="preserve">Volkswagen’s fundamental issue is that it operates a portfolio of over ten brands with overlapping market positions, duplicated platforms, and a cost base that has grown faster than revenue. The Passenger Cars and Light Commercial Vehicles segment generated €244.5 billion in revenue but only €5.0 billion in operating profit, giving a margin of just 2.0%. For context, that means Volkswagen’s largest segment is earning less on each euro of sales than many supermarkets. The cost-cutting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announced in late 2024, which targets €10 billion in annual savings and could affect 35,000 jobs in Germany alone, acknowledges the scale of the problem but has yet to deliver results (Ewing, 2024).</w:t>
      </w:r>
      <w:r w:rsidDel="00000000" w:rsidR="00000000" w:rsidRPr="00000000">
        <w:rPr>
          <w:rtl w:val="0"/>
        </w:rPr>
      </w:r>
    </w:p>
    <w:p w:rsidR="00000000" w:rsidDel="00000000" w:rsidP="00000000" w:rsidRDefault="00000000" w:rsidRPr="00000000" w14:paraId="00000108">
      <w:pPr>
        <w:spacing w:after="100" w:line="360" w:lineRule="auto"/>
        <w:jc w:val="both"/>
        <w:rPr/>
      </w:pPr>
      <w:r w:rsidDel="00000000" w:rsidR="00000000" w:rsidRPr="00000000">
        <w:rPr>
          <w:rFonts w:ascii="Arial" w:cs="Arial" w:eastAsia="Arial" w:hAnsi="Arial"/>
          <w:sz w:val="24"/>
          <w:szCs w:val="24"/>
          <w:rtl w:val="0"/>
        </w:rPr>
        <w:t xml:space="preserve">At the same time, the transition to electric vehicles is consuming vast resources. The R&amp;D ratio was 6.7% of automotive sales revenue in FY2025, and the capex ratio was 5.1%, giving a combined automotive investment ratio of 11.8%. These are massive sums directed at new EV platforms, battery technology, software development, and autonomous driving capabilities. The problem is that the returns on these investments have been disappointing so far. Porsche postponed its next-generation all-electric platform to the 2030s. The Northvolt battery partnership collapsed. And Volkswagen’s </w:t>
      </w:r>
      <w:r w:rsidDel="00000000" w:rsidR="00000000" w:rsidRPr="00000000">
        <w:rPr>
          <w:rtl w:val="0"/>
        </w:rPr>
        <w:t xml:space="preserve">ID series,</w:t>
      </w:r>
      <w:r w:rsidDel="00000000" w:rsidR="00000000" w:rsidRPr="00000000">
        <w:rPr>
          <w:rFonts w:ascii="Arial" w:cs="Arial" w:eastAsia="Arial" w:hAnsi="Arial"/>
          <w:sz w:val="24"/>
          <w:szCs w:val="24"/>
          <w:rtl w:val="0"/>
        </w:rPr>
        <w:t xml:space="preserve"> which was supposed to be Volkswagen's big EV push, has not sold anywhere near as well as Tesla's Model Y or BYD's lineup. (Volkswagen AG, 2026).</w:t>
      </w:r>
      <w:r w:rsidDel="00000000" w:rsidR="00000000" w:rsidRPr="00000000">
        <w:rPr>
          <w:rtl w:val="0"/>
        </w:rPr>
      </w:r>
    </w:p>
    <w:p w:rsidR="00000000" w:rsidDel="00000000" w:rsidP="00000000" w:rsidRDefault="00000000" w:rsidRPr="00000000" w14:paraId="00000109">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4.2 Restructuring Recommendations</w:t>
      </w:r>
      <w:r w:rsidDel="00000000" w:rsidR="00000000" w:rsidRPr="00000000">
        <w:rPr>
          <w:rtl w:val="0"/>
        </w:rPr>
      </w:r>
    </w:p>
    <w:p w:rsidR="00000000" w:rsidDel="00000000" w:rsidP="00000000" w:rsidRDefault="00000000" w:rsidRPr="00000000" w14:paraId="0000010A">
      <w:pPr>
        <w:spacing w:after="100" w:line="360" w:lineRule="auto"/>
        <w:jc w:val="both"/>
        <w:rPr/>
      </w:pPr>
      <w:r w:rsidDel="00000000" w:rsidR="00000000" w:rsidRPr="00000000">
        <w:rPr>
          <w:rFonts w:ascii="Arial" w:cs="Arial" w:eastAsia="Arial" w:hAnsi="Arial"/>
          <w:sz w:val="24"/>
          <w:szCs w:val="24"/>
          <w:rtl w:val="0"/>
        </w:rPr>
        <w:t xml:space="preserve">The first and most urgent priority is brand </w:t>
      </w:r>
      <w:r w:rsidDel="00000000" w:rsidR="00000000" w:rsidRPr="00000000">
        <w:rPr>
          <w:rtl w:val="0"/>
        </w:rPr>
        <w:t xml:space="preserve">rationalization.</w:t>
      </w:r>
      <w:r w:rsidDel="00000000" w:rsidR="00000000" w:rsidRPr="00000000">
        <w:rPr>
          <w:rFonts w:ascii="Arial" w:cs="Arial" w:eastAsia="Arial" w:hAnsi="Arial"/>
          <w:sz w:val="24"/>
          <w:szCs w:val="24"/>
          <w:rtl w:val="0"/>
        </w:rPr>
        <w:t xml:space="preserve"> Volkswagen currently operates brands that overlap significantly in market positioning. SEAT and Skoda, for example, compete in similar price segments and could benefit from deeper platform sharing or even a formal merger of their operations. Lamborghini and Bentley, while profitable on a per-unit basis, consume management attention that may not be justified given their small scale. A strategic review of which brands genuinely add value to the </w:t>
      </w:r>
      <w:r w:rsidDel="00000000" w:rsidR="00000000" w:rsidRPr="00000000">
        <w:rPr>
          <w:rtl w:val="0"/>
        </w:rPr>
        <w:t xml:space="preserve">portfolio and</w:t>
      </w:r>
      <w:r w:rsidDel="00000000" w:rsidR="00000000" w:rsidRPr="00000000">
        <w:rPr>
          <w:rFonts w:ascii="Arial" w:cs="Arial" w:eastAsia="Arial" w:hAnsi="Arial"/>
          <w:sz w:val="24"/>
          <w:szCs w:val="24"/>
          <w:rtl w:val="0"/>
        </w:rPr>
        <w:t xml:space="preserve"> which could be divested or </w:t>
      </w:r>
      <w:r w:rsidDel="00000000" w:rsidR="00000000" w:rsidRPr="00000000">
        <w:rPr>
          <w:rtl w:val="0"/>
        </w:rPr>
        <w:t xml:space="preserve">merged would</w:t>
      </w:r>
      <w:r w:rsidDel="00000000" w:rsidR="00000000" w:rsidRPr="00000000">
        <w:rPr>
          <w:rFonts w:ascii="Arial" w:cs="Arial" w:eastAsia="Arial" w:hAnsi="Arial"/>
          <w:sz w:val="24"/>
          <w:szCs w:val="24"/>
          <w:rtl w:val="0"/>
        </w:rPr>
        <w:t xml:space="preserve"> be a sensible starting point. The Porsche AG IPO in 2022 showed that separating brands can </w:t>
      </w:r>
      <w:r w:rsidDel="00000000" w:rsidR="00000000" w:rsidRPr="00000000">
        <w:rPr>
          <w:rtl w:val="0"/>
        </w:rPr>
        <w:t xml:space="preserve">crystallize</w:t>
      </w:r>
      <w:r w:rsidDel="00000000" w:rsidR="00000000" w:rsidRPr="00000000">
        <w:rPr>
          <w:rFonts w:ascii="Arial" w:cs="Arial" w:eastAsia="Arial" w:hAnsi="Arial"/>
          <w:sz w:val="24"/>
          <w:szCs w:val="24"/>
          <w:rtl w:val="0"/>
        </w:rPr>
        <w:t xml:space="preserve"> value, though Porsche’s subsequent performance has been mixed at best (Pike, </w:t>
      </w:r>
      <w:r w:rsidDel="00000000" w:rsidR="00000000" w:rsidRPr="00000000">
        <w:rPr>
          <w:rtl w:val="0"/>
        </w:rPr>
        <w:t xml:space="preserve">Neale,</w:t>
      </w:r>
      <w:r w:rsidDel="00000000" w:rsidR="00000000" w:rsidRPr="00000000">
        <w:rPr>
          <w:rFonts w:ascii="Arial" w:cs="Arial" w:eastAsia="Arial" w:hAnsi="Arial"/>
          <w:sz w:val="24"/>
          <w:szCs w:val="24"/>
          <w:rtl w:val="0"/>
        </w:rPr>
        <w:t xml:space="preserve"> and Linsley, 2018).</w:t>
      </w:r>
      <w:r w:rsidDel="00000000" w:rsidR="00000000" w:rsidRPr="00000000">
        <w:rPr>
          <w:rtl w:val="0"/>
        </w:rPr>
      </w:r>
    </w:p>
    <w:p w:rsidR="00000000" w:rsidDel="00000000" w:rsidP="00000000" w:rsidRDefault="00000000" w:rsidRPr="00000000" w14:paraId="0000010B">
      <w:pPr>
        <w:spacing w:after="100" w:line="360" w:lineRule="auto"/>
        <w:jc w:val="both"/>
        <w:rPr/>
      </w:pPr>
      <w:r w:rsidDel="00000000" w:rsidR="00000000" w:rsidRPr="00000000">
        <w:rPr>
          <w:rFonts w:ascii="Arial" w:cs="Arial" w:eastAsia="Arial" w:hAnsi="Arial"/>
          <w:sz w:val="24"/>
          <w:szCs w:val="24"/>
          <w:rtl w:val="0"/>
        </w:rPr>
        <w:t xml:space="preserve">Second, the China strategy needs a fundamental rethink. Volkswagen’s Chinese joint ventures are equity-accounted and do not appear in consolidated revenue, but they have historically been a major profit contributor. As local brands dominate the Chinese EV market, Volkswagen needs to decide whether to double down with locally developed products, partner more deeply with Chinese technology companies, or gradually reduce its China dependency. The Rivian investment in the US was intended to accelerate software development, and the €5 billion commitment there needs to deliver tangible results or be reconsidered.</w:t>
      </w:r>
      <w:r w:rsidDel="00000000" w:rsidR="00000000" w:rsidRPr="00000000">
        <w:rPr>
          <w:rtl w:val="0"/>
        </w:rPr>
      </w:r>
    </w:p>
    <w:p w:rsidR="00000000" w:rsidDel="00000000" w:rsidP="00000000" w:rsidRDefault="00000000" w:rsidRPr="00000000" w14:paraId="0000010C">
      <w:pPr>
        <w:spacing w:after="100" w:line="360" w:lineRule="auto"/>
        <w:jc w:val="both"/>
        <w:rPr/>
      </w:pPr>
      <w:r w:rsidDel="00000000" w:rsidR="00000000" w:rsidRPr="00000000">
        <w:rPr>
          <w:rFonts w:ascii="Arial" w:cs="Arial" w:eastAsia="Arial" w:hAnsi="Arial"/>
          <w:sz w:val="24"/>
          <w:szCs w:val="24"/>
          <w:rtl w:val="0"/>
        </w:rPr>
        <w:t xml:space="preserve">There is a broader strategic question here about whether Volkswagen’s approach of investing in external partners, Rivian for software, Northvolt for </w:t>
      </w:r>
      <w:r w:rsidDel="00000000" w:rsidR="00000000" w:rsidRPr="00000000">
        <w:rPr>
          <w:rtl w:val="0"/>
        </w:rPr>
        <w:t xml:space="preserve">batteries, and</w:t>
      </w:r>
      <w:r w:rsidDel="00000000" w:rsidR="00000000" w:rsidRPr="00000000">
        <w:rPr>
          <w:rFonts w:ascii="Arial" w:cs="Arial" w:eastAsia="Arial" w:hAnsi="Arial"/>
          <w:sz w:val="24"/>
          <w:szCs w:val="24"/>
          <w:rtl w:val="0"/>
        </w:rPr>
        <w:t xml:space="preserve"> Xpeng for Chinese market </w:t>
      </w:r>
      <w:r w:rsidDel="00000000" w:rsidR="00000000" w:rsidRPr="00000000">
        <w:rPr>
          <w:rtl w:val="0"/>
        </w:rPr>
        <w:t xml:space="preserve">access actually</w:t>
      </w:r>
      <w:r w:rsidDel="00000000" w:rsidR="00000000" w:rsidRPr="00000000">
        <w:rPr>
          <w:rFonts w:ascii="Arial" w:cs="Arial" w:eastAsia="Arial" w:hAnsi="Arial"/>
          <w:sz w:val="24"/>
          <w:szCs w:val="24"/>
          <w:rtl w:val="0"/>
        </w:rPr>
        <w:t xml:space="preserve"> works for a company of this size and complexity. Each partnership carries execution risk, cultural mismatch risk, and the possibility that the partner’s priorities diverge from Volkswagen’s over time. Northvolt going under should be a wake-up call. Maybe the better approach is to develop more things internally, even if that costs more upfront and takes longer. It might end up being more reliable. Realistically, the answer is probably some combination of in-house work and select partnerships, but after Northvolt, the balance clearly needs to tilt more towards self-reliance (Whittington et al., 2023).</w:t>
      </w:r>
      <w:r w:rsidDel="00000000" w:rsidR="00000000" w:rsidRPr="00000000">
        <w:rPr>
          <w:rtl w:val="0"/>
        </w:rPr>
      </w:r>
    </w:p>
    <w:p w:rsidR="00000000" w:rsidDel="00000000" w:rsidP="00000000" w:rsidRDefault="00000000" w:rsidRPr="00000000" w14:paraId="0000010D">
      <w:pPr>
        <w:spacing w:after="100" w:line="360" w:lineRule="auto"/>
        <w:jc w:val="both"/>
        <w:rPr/>
      </w:pPr>
      <w:r w:rsidDel="00000000" w:rsidR="00000000" w:rsidRPr="00000000">
        <w:rPr>
          <w:rFonts w:ascii="Arial" w:cs="Arial" w:eastAsia="Arial" w:hAnsi="Arial"/>
          <w:sz w:val="24"/>
          <w:szCs w:val="24"/>
          <w:rtl w:val="0"/>
        </w:rPr>
        <w:t xml:space="preserve">Third, </w:t>
      </w:r>
      <w:r w:rsidDel="00000000" w:rsidR="00000000" w:rsidRPr="00000000">
        <w:rPr>
          <w:rtl w:val="0"/>
        </w:rPr>
        <w:t xml:space="preserve">financial services</w:t>
      </w:r>
      <w:r w:rsidDel="00000000" w:rsidR="00000000" w:rsidRPr="00000000">
        <w:rPr>
          <w:rFonts w:ascii="Arial" w:cs="Arial" w:eastAsia="Arial" w:hAnsi="Arial"/>
          <w:sz w:val="24"/>
          <w:szCs w:val="24"/>
          <w:rtl w:val="0"/>
        </w:rPr>
        <w:t xml:space="preserve"> probably does not get the strategic attention it deserves. With €3.7 billion in operating profit on €62.1 billion in revenue, it is actually Volkswagen’s highest-margin segment at 6.0%. There is room to push VW Financial Services into areas like insurance, vehicle subscriptions, or even financing for charging infrastructure. </w:t>
      </w:r>
      <w:r w:rsidDel="00000000" w:rsidR="00000000" w:rsidRPr="00000000">
        <w:rPr>
          <w:rtl w:val="0"/>
        </w:rPr>
      </w:r>
    </w:p>
    <w:p w:rsidR="00000000" w:rsidDel="00000000" w:rsidP="00000000" w:rsidRDefault="00000000" w:rsidRPr="00000000" w14:paraId="0000010E">
      <w:pPr>
        <w:spacing w:after="100" w:line="360" w:lineRule="auto"/>
        <w:jc w:val="both"/>
        <w:rPr/>
      </w:pPr>
      <w:r w:rsidDel="00000000" w:rsidR="00000000" w:rsidRPr="00000000">
        <w:rPr>
          <w:rFonts w:ascii="Arial" w:cs="Arial" w:eastAsia="Arial" w:hAnsi="Arial"/>
          <w:sz w:val="24"/>
          <w:szCs w:val="24"/>
          <w:rtl w:val="0"/>
        </w:rPr>
        <w:t xml:space="preserve">Then there is TRATON. It is a serious question whether a commercial vehicles business that includes MAN, Scania, and Navistar, with €42.5 billion in revenue and 5.7% margins, really belongs inside the same group as Volkswagen passenger cars. It already has its own stock listing. Fully separating it, or at least reducing the ownership stake substantially, would simplify the </w:t>
      </w:r>
      <w:r w:rsidDel="00000000" w:rsidR="00000000" w:rsidRPr="00000000">
        <w:rPr>
          <w:rtl w:val="0"/>
        </w:rPr>
        <w:t xml:space="preserve">group</w:t>
      </w:r>
      <w:r w:rsidDel="00000000" w:rsidR="00000000" w:rsidRPr="00000000">
        <w:rPr>
          <w:rFonts w:ascii="Arial" w:cs="Arial" w:eastAsia="Arial" w:hAnsi="Arial"/>
          <w:sz w:val="24"/>
          <w:szCs w:val="24"/>
          <w:rtl w:val="0"/>
        </w:rPr>
        <w:t xml:space="preserve"> and free up management bandwidth. The Porsche IPO showed this can work, even though the execution was not exactly flawless.</w:t>
      </w:r>
      <w:r w:rsidDel="00000000" w:rsidR="00000000" w:rsidRPr="00000000">
        <w:rPr>
          <w:rtl w:val="0"/>
        </w:rPr>
      </w:r>
    </w:p>
    <w:p w:rsidR="00000000" w:rsidDel="00000000" w:rsidP="00000000" w:rsidRDefault="00000000" w:rsidRPr="00000000" w14:paraId="0000010F">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4.3 Impact on Stakeholders and Ethical Considerations</w:t>
      </w:r>
      <w:r w:rsidDel="00000000" w:rsidR="00000000" w:rsidRPr="00000000">
        <w:rPr>
          <w:rtl w:val="0"/>
        </w:rPr>
      </w:r>
    </w:p>
    <w:p w:rsidR="00000000" w:rsidDel="00000000" w:rsidP="00000000" w:rsidRDefault="00000000" w:rsidRPr="00000000" w14:paraId="00000110">
      <w:pPr>
        <w:spacing w:after="100" w:line="360" w:lineRule="auto"/>
        <w:jc w:val="both"/>
        <w:rPr/>
      </w:pPr>
      <w:r w:rsidDel="00000000" w:rsidR="00000000" w:rsidRPr="00000000">
        <w:rPr>
          <w:rFonts w:ascii="Arial" w:cs="Arial" w:eastAsia="Arial" w:hAnsi="Arial"/>
          <w:sz w:val="24"/>
          <w:szCs w:val="24"/>
          <w:rtl w:val="0"/>
        </w:rPr>
        <w:t xml:space="preserve">You cannot talk about restructuring at Volkswagen without confronting the human side. Cutting 35,000 jobs in Germany is not just a line on a spreadsheet. It has real consequences, socially and politically, especially in Lower </w:t>
      </w:r>
      <w:r w:rsidDel="00000000" w:rsidR="00000000" w:rsidRPr="00000000">
        <w:rPr>
          <w:rtl w:val="0"/>
        </w:rPr>
        <w:t xml:space="preserve">Saxony,</w:t>
      </w:r>
      <w:r w:rsidDel="00000000" w:rsidR="00000000" w:rsidRPr="00000000">
        <w:rPr>
          <w:rFonts w:ascii="Arial" w:cs="Arial" w:eastAsia="Arial" w:hAnsi="Arial"/>
          <w:sz w:val="24"/>
          <w:szCs w:val="24"/>
          <w:rtl w:val="0"/>
        </w:rPr>
        <w:t xml:space="preserve"> where the state government owns 20% of voting rights and sits on the supervisory board. Volkswagen has been part of the fabric of the German industrial model for decades, with strong works council representation and a culture that takes worker rights seriously. Any restructuring that ignores these stakeholder interests would be both ethically questionable and practically difficult to implement (Jensen, 1986).</w:t>
      </w:r>
      <w:r w:rsidDel="00000000" w:rsidR="00000000" w:rsidRPr="00000000">
        <w:rPr>
          <w:rtl w:val="0"/>
        </w:rPr>
      </w:r>
    </w:p>
    <w:p w:rsidR="00000000" w:rsidDel="00000000" w:rsidP="00000000" w:rsidRDefault="00000000" w:rsidRPr="00000000" w14:paraId="00000111">
      <w:pPr>
        <w:spacing w:after="100" w:line="360" w:lineRule="auto"/>
        <w:jc w:val="both"/>
        <w:rPr/>
      </w:pPr>
      <w:r w:rsidDel="00000000" w:rsidR="00000000" w:rsidRPr="00000000">
        <w:rPr>
          <w:rFonts w:ascii="Arial" w:cs="Arial" w:eastAsia="Arial" w:hAnsi="Arial"/>
          <w:sz w:val="24"/>
          <w:szCs w:val="24"/>
          <w:rtl w:val="0"/>
        </w:rPr>
        <w:t xml:space="preserve">Currency risk is also material. Currency is another complication. Volkswagen reports in euros but pulls in revenue in dollars, yuan, pounds, reais, and plenty of other currencies. The annual report is not great at breaking down the currency impact, but when you are operating in 150-plus countries, exchange rate swings can easily move the profit line by hundreds of millions in a single quarter. Producing locally in major markets helps to some extent, but it is not a complete solution (Madura, 2018).</w:t>
      </w:r>
      <w:r w:rsidDel="00000000" w:rsidR="00000000" w:rsidRPr="00000000">
        <w:rPr>
          <w:rtl w:val="0"/>
        </w:rPr>
      </w:r>
    </w:p>
    <w:p w:rsidR="00000000" w:rsidDel="00000000" w:rsidP="00000000" w:rsidRDefault="00000000" w:rsidRPr="00000000" w14:paraId="00000112">
      <w:pPr>
        <w:spacing w:after="100" w:line="360" w:lineRule="auto"/>
        <w:jc w:val="both"/>
        <w:rPr/>
      </w:pPr>
      <w:r w:rsidDel="00000000" w:rsidR="00000000" w:rsidRPr="00000000">
        <w:rPr>
          <w:rFonts w:ascii="Arial" w:cs="Arial" w:eastAsia="Arial" w:hAnsi="Arial"/>
          <w:sz w:val="24"/>
          <w:szCs w:val="24"/>
          <w:rtl w:val="0"/>
        </w:rPr>
        <w:t xml:space="preserve">The diesel scandal still hangs over Volkswagen. Over €30 billion in fines, settlements, and remediation costs since 2015, and the reputational damage has not fully faded. The company talks about carbon neutrality by 2050 and is spending heavily on EVs, but when Porsche postpones its electric platform and the Northvolt battery partnership falls apart, people start to wonder about execution. ESG investors are paying close attention, and if it looks like Volkswagen is quietly stepping back from its climate promises, access to sustainability-linked financing could get harder (Eccles and Klimenko, 2019).</w:t>
      </w:r>
      <w:r w:rsidDel="00000000" w:rsidR="00000000" w:rsidRPr="00000000">
        <w:rPr>
          <w:rtl w:val="0"/>
        </w:rPr>
      </w:r>
    </w:p>
    <w:p w:rsidR="00000000" w:rsidDel="00000000" w:rsidP="00000000" w:rsidRDefault="00000000" w:rsidRPr="00000000" w14:paraId="00000113">
      <w:pPr>
        <w:spacing w:after="100" w:line="360" w:lineRule="auto"/>
        <w:jc w:val="both"/>
        <w:rPr/>
      </w:pPr>
      <w:r w:rsidDel="00000000" w:rsidR="00000000" w:rsidRPr="00000000">
        <w:rPr>
          <w:rFonts w:ascii="Arial" w:cs="Arial" w:eastAsia="Arial" w:hAnsi="Arial"/>
          <w:sz w:val="24"/>
          <w:szCs w:val="24"/>
          <w:rtl w:val="0"/>
        </w:rPr>
        <w:t xml:space="preserve">Tax considerations also deserve attention in any restructuring plan. Tax is complicated too. With operations across dozens of jurisdictions, Volkswagen has traditionally had some flexibility in how it structures things. But the OECD’s Pillar Two framework, which sets a 15% floor on corporate tax rates globally, narrows the room for traditional tax planning quite a bit. The </w:t>
      </w:r>
      <w:r w:rsidDel="00000000" w:rsidR="00000000" w:rsidRPr="00000000">
        <w:rPr>
          <w:rtl w:val="0"/>
        </w:rPr>
        <w:t xml:space="preserve">group's</w:t>
      </w:r>
      <w:r w:rsidDel="00000000" w:rsidR="00000000" w:rsidRPr="00000000">
        <w:rPr>
          <w:rFonts w:ascii="Arial" w:cs="Arial" w:eastAsia="Arial" w:hAnsi="Arial"/>
          <w:sz w:val="24"/>
          <w:szCs w:val="24"/>
          <w:rtl w:val="0"/>
        </w:rPr>
        <w:t xml:space="preserve"> effective tax rate of 25.8% in FY2025 is already above this floor, but any restructuring that involves shifting operations or profit recognition between jurisdictions needs careful </w:t>
      </w:r>
      <w:r w:rsidDel="00000000" w:rsidR="00000000" w:rsidRPr="00000000">
        <w:rPr>
          <w:rtl w:val="0"/>
        </w:rPr>
        <w:t xml:space="preserve">modeling.</w:t>
      </w:r>
      <w:r w:rsidDel="00000000" w:rsidR="00000000" w:rsidRPr="00000000">
        <w:rPr>
          <w:rFonts w:ascii="Arial" w:cs="Arial" w:eastAsia="Arial" w:hAnsi="Arial"/>
          <w:sz w:val="24"/>
          <w:szCs w:val="24"/>
          <w:rtl w:val="0"/>
        </w:rPr>
        <w:t xml:space="preserve"> Getting this wrong could be costly both financially and reputationally.</w:t>
      </w:r>
      <w:r w:rsidDel="00000000" w:rsidR="00000000" w:rsidRPr="00000000">
        <w:rPr>
          <w:rtl w:val="0"/>
        </w:rPr>
      </w:r>
    </w:p>
    <w:p w:rsidR="00000000" w:rsidDel="00000000" w:rsidP="00000000" w:rsidRDefault="00000000" w:rsidRPr="00000000" w14:paraId="00000114">
      <w:pPr>
        <w:rPr/>
      </w:pPr>
      <w:r w:rsidDel="00000000" w:rsidR="00000000" w:rsidRPr="00000000">
        <w:br w:type="page"/>
      </w:r>
      <w:r w:rsidDel="00000000" w:rsidR="00000000" w:rsidRPr="00000000">
        <w:rPr>
          <w:rtl w:val="0"/>
        </w:rPr>
      </w:r>
    </w:p>
    <w:p w:rsidR="00000000" w:rsidDel="00000000" w:rsidP="00000000" w:rsidRDefault="00000000" w:rsidRPr="00000000" w14:paraId="00000115">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5. Investment Appraisal and Capital Budgeting Decisions</w:t>
      </w:r>
      <w:r w:rsidDel="00000000" w:rsidR="00000000" w:rsidRPr="00000000">
        <w:rPr>
          <w:rtl w:val="0"/>
        </w:rPr>
      </w:r>
    </w:p>
    <w:p w:rsidR="00000000" w:rsidDel="00000000" w:rsidP="00000000" w:rsidRDefault="00000000" w:rsidRPr="00000000" w14:paraId="00000116">
      <w:pPr>
        <w:spacing w:after="100" w:line="360" w:lineRule="auto"/>
        <w:jc w:val="both"/>
        <w:rPr/>
      </w:pPr>
      <w:r w:rsidDel="00000000" w:rsidR="00000000" w:rsidRPr="00000000">
        <w:rPr>
          <w:rFonts w:ascii="Arial" w:cs="Arial" w:eastAsia="Arial" w:hAnsi="Arial"/>
          <w:sz w:val="24"/>
          <w:szCs w:val="24"/>
          <w:rtl w:val="0"/>
        </w:rPr>
        <w:t xml:space="preserve">This part of the report works through three hypothetical projects. Each one needs £50 million upfront and is expected to produce cash inflows over five years. The discount rate is 10%, with straight-line depreciation down to zero. Whether 10% is the right hurdle rate for Volkswagen is debatable. The company’s credit rating and access to European capital markets would suggest a lower cost of debt, but the equity risk premium for a company undergoing this kind of margin compression could push the weighted average higher. Ten percent works as a reasonable benchmark.</w:t>
      </w:r>
      <w:r w:rsidDel="00000000" w:rsidR="00000000" w:rsidRPr="00000000">
        <w:rPr>
          <w:rtl w:val="0"/>
        </w:rPr>
      </w:r>
    </w:p>
    <w:p w:rsidR="00000000" w:rsidDel="00000000" w:rsidP="00000000" w:rsidRDefault="00000000" w:rsidRPr="00000000" w14:paraId="00000117">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5.1 Project Analysis</w:t>
      </w:r>
      <w:r w:rsidDel="00000000" w:rsidR="00000000" w:rsidRPr="00000000">
        <w:rPr>
          <w:rtl w:val="0"/>
        </w:rPr>
      </w:r>
    </w:p>
    <w:p w:rsidR="00000000" w:rsidDel="00000000" w:rsidP="00000000" w:rsidRDefault="00000000" w:rsidRPr="00000000" w14:paraId="00000118">
      <w:pPr>
        <w:pStyle w:val="Heading3"/>
        <w:spacing w:after="120" w:before="200" w:line="360" w:lineRule="auto"/>
        <w:rPr/>
      </w:pPr>
      <w:r w:rsidDel="00000000" w:rsidR="00000000" w:rsidRPr="00000000">
        <w:rPr>
          <w:rFonts w:ascii="Arial" w:cs="Arial" w:eastAsia="Arial" w:hAnsi="Arial"/>
          <w:b w:val="1"/>
          <w:bCs w:val="1"/>
          <w:sz w:val="26"/>
          <w:szCs w:val="26"/>
          <w:rtl w:val="0"/>
        </w:rPr>
        <w:t xml:space="preserve">5.1.1 Payback Period</w:t>
      </w:r>
      <w:r w:rsidDel="00000000" w:rsidR="00000000" w:rsidRPr="00000000">
        <w:rPr>
          <w:rtl w:val="0"/>
        </w:rPr>
      </w:r>
    </w:p>
    <w:p w:rsidR="00000000" w:rsidDel="00000000" w:rsidP="00000000" w:rsidRDefault="00000000" w:rsidRPr="00000000" w14:paraId="00000119">
      <w:pPr>
        <w:spacing w:after="100" w:line="360" w:lineRule="auto"/>
        <w:jc w:val="both"/>
        <w:rPr/>
      </w:pPr>
      <w:r w:rsidDel="00000000" w:rsidR="00000000" w:rsidRPr="00000000">
        <w:rPr>
          <w:rFonts w:ascii="Arial" w:cs="Arial" w:eastAsia="Arial" w:hAnsi="Arial"/>
          <w:sz w:val="24"/>
          <w:szCs w:val="24"/>
          <w:rtl w:val="0"/>
        </w:rPr>
        <w:t xml:space="preserve">Project A produces cash inflows of £10m, £12m, £14m, £10m, and £8m across Years 1 to 5. Cumulative cash flows reach £46m after four years, leaving £4m to recover from Year 5’s £8m. The payback period is therefore 4 + (4/8) = 4.5 years. Not fast, but it recovers the investment.</w:t>
      </w:r>
      <w:r w:rsidDel="00000000" w:rsidR="00000000" w:rsidRPr="00000000">
        <w:rPr>
          <w:rtl w:val="0"/>
        </w:rPr>
      </w:r>
    </w:p>
    <w:p w:rsidR="00000000" w:rsidDel="00000000" w:rsidP="00000000" w:rsidRDefault="00000000" w:rsidRPr="00000000" w14:paraId="0000011A">
      <w:pPr>
        <w:spacing w:after="100" w:line="360" w:lineRule="auto"/>
        <w:jc w:val="both"/>
        <w:rPr/>
      </w:pPr>
      <w:r w:rsidDel="00000000" w:rsidR="00000000" w:rsidRPr="00000000">
        <w:rPr>
          <w:rFonts w:ascii="Arial" w:cs="Arial" w:eastAsia="Arial" w:hAnsi="Arial"/>
          <w:sz w:val="24"/>
          <w:szCs w:val="24"/>
          <w:rtl w:val="0"/>
        </w:rPr>
        <w:t xml:space="preserve">Project B delivers a steady £11m every year. Cumulative flows build to £44m after Year 4, and the remaining £6m is recovered in Year 5: payback is 4 + (6/11) = 4.55 years. Very similar to Project A.</w:t>
      </w:r>
      <w:r w:rsidDel="00000000" w:rsidR="00000000" w:rsidRPr="00000000">
        <w:rPr>
          <w:rtl w:val="0"/>
        </w:rPr>
      </w:r>
    </w:p>
    <w:p w:rsidR="00000000" w:rsidDel="00000000" w:rsidP="00000000" w:rsidRDefault="00000000" w:rsidRPr="00000000" w14:paraId="0000011B">
      <w:pPr>
        <w:spacing w:after="100" w:line="360" w:lineRule="auto"/>
        <w:jc w:val="both"/>
        <w:rPr/>
      </w:pPr>
      <w:r w:rsidDel="00000000" w:rsidR="00000000" w:rsidRPr="00000000">
        <w:rPr>
          <w:rFonts w:ascii="Arial" w:cs="Arial" w:eastAsia="Arial" w:hAnsi="Arial"/>
          <w:sz w:val="24"/>
          <w:szCs w:val="24"/>
          <w:rtl w:val="0"/>
        </w:rPr>
        <w:t xml:space="preserve">Project C starts slow at £5m and £10m in the first two years, then accelerates to £20m and £25m in </w:t>
      </w:r>
      <w:r w:rsidDel="00000000" w:rsidR="00000000" w:rsidRPr="00000000">
        <w:rPr>
          <w:rtl w:val="0"/>
        </w:rPr>
        <w:t xml:space="preserve">years</w:t>
      </w:r>
      <w:r w:rsidDel="00000000" w:rsidR="00000000" w:rsidRPr="00000000">
        <w:rPr>
          <w:rFonts w:ascii="Arial" w:cs="Arial" w:eastAsia="Arial" w:hAnsi="Arial"/>
          <w:sz w:val="24"/>
          <w:szCs w:val="24"/>
          <w:rtl w:val="0"/>
        </w:rPr>
        <w:t xml:space="preserve"> 3 and 4, before dropping to £5m. Cumulative cash reaches £35m after Year 3 and £60m after Year 4. The £50m is recovered during Year 4: payback = 3 + (15/25) = 3.6 years. The shortest of the three by a meaningful margin.</w:t>
      </w:r>
      <w:r w:rsidDel="00000000" w:rsidR="00000000" w:rsidRPr="00000000">
        <w:rPr>
          <w:rtl w:val="0"/>
        </w:rPr>
      </w:r>
    </w:p>
    <w:p w:rsidR="00000000" w:rsidDel="00000000" w:rsidP="00000000" w:rsidRDefault="00000000" w:rsidRPr="00000000" w14:paraId="0000011C">
      <w:pPr>
        <w:pStyle w:val="Heading3"/>
        <w:spacing w:after="120" w:before="200" w:line="360" w:lineRule="auto"/>
        <w:rPr/>
      </w:pPr>
      <w:r w:rsidDel="00000000" w:rsidR="00000000" w:rsidRPr="00000000">
        <w:rPr>
          <w:rFonts w:ascii="Arial" w:cs="Arial" w:eastAsia="Arial" w:hAnsi="Arial"/>
          <w:b w:val="1"/>
          <w:bCs w:val="1"/>
          <w:sz w:val="26"/>
          <w:szCs w:val="26"/>
          <w:rtl w:val="0"/>
        </w:rPr>
        <w:t xml:space="preserve">5.1.2 Accounting Rate of Return</w:t>
      </w:r>
      <w:r w:rsidDel="00000000" w:rsidR="00000000" w:rsidRPr="00000000">
        <w:rPr>
          <w:rtl w:val="0"/>
        </w:rPr>
      </w:r>
    </w:p>
    <w:p w:rsidR="00000000" w:rsidDel="00000000" w:rsidP="00000000" w:rsidRDefault="00000000" w:rsidRPr="00000000" w14:paraId="0000011D">
      <w:pPr>
        <w:spacing w:after="100" w:line="360" w:lineRule="auto"/>
        <w:jc w:val="both"/>
        <w:rPr/>
      </w:pPr>
      <w:r w:rsidDel="00000000" w:rsidR="00000000" w:rsidRPr="00000000">
        <w:rPr>
          <w:rFonts w:ascii="Arial" w:cs="Arial" w:eastAsia="Arial" w:hAnsi="Arial"/>
          <w:sz w:val="24"/>
          <w:szCs w:val="24"/>
          <w:rtl w:val="0"/>
        </w:rPr>
        <w:t xml:space="preserve">Average annual profit is average cash flow minus annual depreciation of £10m. Average investment is £25m. Project A: average cash flow £10.8m, average profit £0.8m, ARR = 3.2%. Project B: average cash flow £11m, average profit £1m, ARR = 4.0%. Project C: average cash flow £13m, average profit £3m, ARR = 12.0%. Project C outperforms by a significant margin on this measure.</w:t>
      </w:r>
      <w:r w:rsidDel="00000000" w:rsidR="00000000" w:rsidRPr="00000000">
        <w:rPr>
          <w:rtl w:val="0"/>
        </w:rPr>
      </w:r>
    </w:p>
    <w:p w:rsidR="00000000" w:rsidDel="00000000" w:rsidP="00000000" w:rsidRDefault="00000000" w:rsidRPr="00000000" w14:paraId="0000011E">
      <w:pPr>
        <w:pStyle w:val="Heading3"/>
        <w:spacing w:after="120" w:before="200" w:line="360" w:lineRule="auto"/>
        <w:rPr/>
      </w:pPr>
      <w:r w:rsidDel="00000000" w:rsidR="00000000" w:rsidRPr="00000000">
        <w:rPr>
          <w:rFonts w:ascii="Arial" w:cs="Arial" w:eastAsia="Arial" w:hAnsi="Arial"/>
          <w:b w:val="1"/>
          <w:bCs w:val="1"/>
          <w:sz w:val="26"/>
          <w:szCs w:val="26"/>
          <w:rtl w:val="0"/>
        </w:rPr>
        <w:t xml:space="preserve">5.1.3 Net Present Value</w:t>
      </w:r>
      <w:r w:rsidDel="00000000" w:rsidR="00000000" w:rsidRPr="00000000">
        <w:rPr>
          <w:rtl w:val="0"/>
        </w:rPr>
      </w:r>
    </w:p>
    <w:p w:rsidR="00000000" w:rsidDel="00000000" w:rsidP="00000000" w:rsidRDefault="00000000" w:rsidRPr="00000000" w14:paraId="0000011F">
      <w:pPr>
        <w:spacing w:after="100" w:line="360" w:lineRule="auto"/>
        <w:jc w:val="both"/>
        <w:rPr/>
      </w:pPr>
      <w:r w:rsidDel="00000000" w:rsidR="00000000" w:rsidRPr="00000000">
        <w:rPr>
          <w:rFonts w:ascii="Arial" w:cs="Arial" w:eastAsia="Arial" w:hAnsi="Arial"/>
          <w:sz w:val="24"/>
          <w:szCs w:val="24"/>
          <w:rtl w:val="0"/>
        </w:rPr>
        <w:t xml:space="preserve">Applying a 10% discount rate with factors 0.909, 0.826, 0.751, 0.683, and 0.621: Project A NPV = </w:t>
      </w:r>
      <w:r w:rsidDel="00000000" w:rsidR="00000000" w:rsidRPr="00000000">
        <w:rPr>
          <w:rtl w:val="0"/>
        </w:rPr>
        <w:t xml:space="preserve">(10 × 0.909)</w:t>
      </w:r>
      <w:r w:rsidDel="00000000" w:rsidR="00000000" w:rsidRPr="00000000">
        <w:rPr>
          <w:rFonts w:ascii="Arial" w:cs="Arial" w:eastAsia="Arial" w:hAnsi="Arial"/>
          <w:sz w:val="24"/>
          <w:szCs w:val="24"/>
          <w:rtl w:val="0"/>
        </w:rPr>
        <w:t xml:space="preserve"> + </w:t>
      </w:r>
      <w:r w:rsidDel="00000000" w:rsidR="00000000" w:rsidRPr="00000000">
        <w:rPr>
          <w:rtl w:val="0"/>
        </w:rPr>
        <w:t xml:space="preserve">(12 × 0.826)</w:t>
      </w:r>
      <w:r w:rsidDel="00000000" w:rsidR="00000000" w:rsidRPr="00000000">
        <w:rPr>
          <w:rFonts w:ascii="Arial" w:cs="Arial" w:eastAsia="Arial" w:hAnsi="Arial"/>
          <w:sz w:val="24"/>
          <w:szCs w:val="24"/>
          <w:rtl w:val="0"/>
        </w:rPr>
        <w:t xml:space="preserve"> + </w:t>
      </w:r>
      <w:r w:rsidDel="00000000" w:rsidR="00000000" w:rsidRPr="00000000">
        <w:rPr>
          <w:rtl w:val="0"/>
        </w:rPr>
        <w:t xml:space="preserve">(14 × 0.751)</w:t>
      </w:r>
      <w:r w:rsidDel="00000000" w:rsidR="00000000" w:rsidRPr="00000000">
        <w:rPr>
          <w:rFonts w:ascii="Arial" w:cs="Arial" w:eastAsia="Arial" w:hAnsi="Arial"/>
          <w:sz w:val="24"/>
          <w:szCs w:val="24"/>
          <w:rtl w:val="0"/>
        </w:rPr>
        <w:t xml:space="preserve"> + </w:t>
      </w:r>
      <w:r w:rsidDel="00000000" w:rsidR="00000000" w:rsidRPr="00000000">
        <w:rPr>
          <w:rtl w:val="0"/>
        </w:rPr>
        <w:t xml:space="preserve"> </w:t>
      </w:r>
      <w:r w:rsidDel="00000000" w:rsidR="00000000" w:rsidRPr="00000000">
        <w:rPr>
          <w:rFonts w:ascii="Arial" w:cs="Arial" w:eastAsia="Arial" w:hAnsi="Arial"/>
          <w:sz w:val="24"/>
          <w:szCs w:val="24"/>
          <w:rtl w:val="0"/>
        </w:rPr>
        <w:t xml:space="preserve"> + </w:t>
      </w:r>
      <w:r w:rsidDel="00000000" w:rsidR="00000000" w:rsidRPr="00000000">
        <w:rPr>
          <w:rtl w:val="0"/>
        </w:rPr>
        <w:t xml:space="preserve">(8 × 0.621)</w:t>
      </w:r>
      <w:r w:rsidDel="00000000" w:rsidR="00000000" w:rsidRPr="00000000">
        <w:rPr>
          <w:rFonts w:ascii="Arial" w:cs="Arial" w:eastAsia="Arial" w:hAnsi="Arial"/>
          <w:sz w:val="24"/>
          <w:szCs w:val="24"/>
          <w:rtl w:val="0"/>
        </w:rPr>
        <w:t xml:space="preserve"> - 50 = </w:t>
      </w:r>
      <w:r w:rsidDel="00000000" w:rsidR="00000000" w:rsidRPr="00000000">
        <w:rPr>
          <w:rtl w:val="0"/>
        </w:rPr>
        <w:t xml:space="preserve">-£8.68 m.</w:t>
      </w:r>
      <w:r w:rsidDel="00000000" w:rsidR="00000000" w:rsidRPr="00000000">
        <w:rPr>
          <w:rFonts w:ascii="Arial" w:cs="Arial" w:eastAsia="Arial" w:hAnsi="Arial"/>
          <w:sz w:val="24"/>
          <w:szCs w:val="24"/>
          <w:rtl w:val="0"/>
        </w:rPr>
        <w:t xml:space="preserve"> Project B NPV = 11 × 3.791 - 50 = -£8.30m. Project C NPV = (5×0.909) + (10×0.826) + (20×0.751) + (25×0.683) + (5×0.621) - 50 = -£1.98m. None of them produce a positive NPV, which is not ideal. But Project C is considerably less negative than the other two and sits close to break-even.</w:t>
      </w:r>
      <w:r w:rsidDel="00000000" w:rsidR="00000000" w:rsidRPr="00000000">
        <w:rPr>
          <w:rtl w:val="0"/>
        </w:rPr>
      </w:r>
    </w:p>
    <w:p w:rsidR="00000000" w:rsidDel="00000000" w:rsidP="00000000" w:rsidRDefault="00000000" w:rsidRPr="00000000" w14:paraId="00000120">
      <w:pPr>
        <w:pStyle w:val="Heading3"/>
        <w:spacing w:after="120" w:before="200" w:line="360" w:lineRule="auto"/>
        <w:rPr/>
      </w:pPr>
      <w:r w:rsidDel="00000000" w:rsidR="00000000" w:rsidRPr="00000000">
        <w:rPr>
          <w:rFonts w:ascii="Arial" w:cs="Arial" w:eastAsia="Arial" w:hAnsi="Arial"/>
          <w:b w:val="1"/>
          <w:bCs w:val="1"/>
          <w:sz w:val="26"/>
          <w:szCs w:val="26"/>
          <w:rtl w:val="0"/>
        </w:rPr>
        <w:t xml:space="preserve">5.1.4 Profitability Index and IRR</w:t>
      </w:r>
      <w:r w:rsidDel="00000000" w:rsidR="00000000" w:rsidRPr="00000000">
        <w:rPr>
          <w:rtl w:val="0"/>
        </w:rPr>
      </w:r>
    </w:p>
    <w:p w:rsidR="00000000" w:rsidDel="00000000" w:rsidP="00000000" w:rsidRDefault="00000000" w:rsidRPr="00000000" w14:paraId="00000121">
      <w:pPr>
        <w:spacing w:after="100" w:line="360" w:lineRule="auto"/>
        <w:jc w:val="both"/>
        <w:rPr/>
      </w:pPr>
      <w:r w:rsidDel="00000000" w:rsidR="00000000" w:rsidRPr="00000000">
        <w:rPr>
          <w:rFonts w:ascii="Arial" w:cs="Arial" w:eastAsia="Arial" w:hAnsi="Arial"/>
          <w:sz w:val="24"/>
          <w:szCs w:val="24"/>
          <w:rtl w:val="0"/>
        </w:rPr>
        <w:t xml:space="preserve">The PI divides the present value of future cash flows by the initial outlay. Project A: 0.826. Project B: 0.834. Project C: 0.960. Project C comes closest to the benchmark of 1.0. IRR estimates from interpolation give approximately 4.5% for Project A, about 3.6% for Project B, and roughly 9.2% for Project C. None hits the 10% hurdle, consistent with the negative NPVs. But Project C at 9.2% is close enough that a modest reduction in the discount rate, say to 9% or even 8.5%, would push it into positive territory. For a company like Volkswagen with access to European capital markets at rates well below 10%, this matters (Drury, 2018).</w:t>
      </w:r>
      <w:r w:rsidDel="00000000" w:rsidR="00000000" w:rsidRPr="00000000">
        <w:rPr>
          <w:rtl w:val="0"/>
        </w:rPr>
      </w:r>
    </w:p>
    <w:p w:rsidR="00000000" w:rsidDel="00000000" w:rsidP="00000000" w:rsidRDefault="00000000" w:rsidRPr="00000000" w14:paraId="00000122">
      <w:pPr>
        <w:spacing w:after="100" w:line="360" w:lineRule="auto"/>
        <w:jc w:val="both"/>
        <w:rPr/>
      </w:pPr>
      <w:r w:rsidDel="00000000" w:rsidR="00000000" w:rsidRPr="00000000">
        <w:rPr>
          <w:rFonts w:ascii="Arial" w:cs="Arial" w:eastAsia="Arial" w:hAnsi="Arial"/>
          <w:sz w:val="24"/>
          <w:szCs w:val="24"/>
          <w:rtl w:val="0"/>
        </w:rPr>
        <w:t xml:space="preserve">It is also worth considering what Volkswagen could earn internally. With €24.3 billion in annual capex and R&amp;D, the company clearly has no shortage of internal projects competing for capital. If any of those internal investments can generate returns above the 9.2% that Project C offers, that is where the money should go. Capital budgeting in theory is clean. In practice, it is about choosing between imperfect alternatives with incomplete information.</w:t>
      </w:r>
      <w:r w:rsidDel="00000000" w:rsidR="00000000" w:rsidRPr="00000000">
        <w:rPr>
          <w:rtl w:val="0"/>
        </w:rPr>
      </w:r>
    </w:p>
    <w:p w:rsidR="00000000" w:rsidDel="00000000" w:rsidP="00000000" w:rsidRDefault="00000000" w:rsidRPr="00000000" w14:paraId="00000123">
      <w:pPr>
        <w:spacing w:after="100" w:line="360" w:lineRule="auto"/>
        <w:jc w:val="both"/>
        <w:rPr/>
      </w:pPr>
      <w:r w:rsidDel="00000000" w:rsidR="00000000" w:rsidRPr="00000000">
        <w:rPr>
          <w:rFonts w:ascii="Arial" w:cs="Arial" w:eastAsia="Arial" w:hAnsi="Arial"/>
          <w:sz w:val="24"/>
          <w:szCs w:val="24"/>
          <w:rtl w:val="0"/>
        </w:rPr>
        <w:t xml:space="preserve">One further angle worth considering is risk adjustment. The 10% discount rate treats all three projects as equally risky, which may not reflect reality. Project C’s heavily back-loaded cash flows carry more uncertainty because the large </w:t>
      </w:r>
      <w:r w:rsidDel="00000000" w:rsidR="00000000" w:rsidRPr="00000000">
        <w:rPr>
          <w:rtl w:val="0"/>
        </w:rPr>
        <w:t xml:space="preserve">years</w:t>
      </w:r>
      <w:r w:rsidDel="00000000" w:rsidR="00000000" w:rsidRPr="00000000">
        <w:rPr>
          <w:rFonts w:ascii="Arial" w:cs="Arial" w:eastAsia="Arial" w:hAnsi="Arial"/>
          <w:sz w:val="24"/>
          <w:szCs w:val="24"/>
          <w:rtl w:val="0"/>
        </w:rPr>
        <w:t xml:space="preserve"> 3 and 4 inflows are further into the future and therefore more vulnerable to changes in market conditions, input costs, or regulatory environments. A risk-adjusted approach might apply a higher discount rate to later-year cash flows, which would reduce Project C’s advantage somewhat. On the other hand, Volkswagen’s diverse geographic presence and multi-brand portfolio provide natural risk diversification that could justify a lower overall discount rate. These are the kinds of </w:t>
      </w:r>
      <w:r w:rsidDel="00000000" w:rsidR="00000000" w:rsidRPr="00000000">
        <w:rPr>
          <w:rtl w:val="0"/>
        </w:rPr>
        <w:t xml:space="preserve">judgment</w:t>
      </w:r>
      <w:r w:rsidDel="00000000" w:rsidR="00000000" w:rsidRPr="00000000">
        <w:rPr>
          <w:rFonts w:ascii="Arial" w:cs="Arial" w:eastAsia="Arial" w:hAnsi="Arial"/>
          <w:sz w:val="24"/>
          <w:szCs w:val="24"/>
          <w:rtl w:val="0"/>
        </w:rPr>
        <w:t xml:space="preserve"> calls that make capital budgeting as much an art as a science (Drury, 2018).</w:t>
      </w:r>
      <w:r w:rsidDel="00000000" w:rsidR="00000000" w:rsidRPr="00000000">
        <w:rPr>
          <w:rtl w:val="0"/>
        </w:rPr>
      </w:r>
    </w:p>
    <w:p w:rsidR="00000000" w:rsidDel="00000000" w:rsidP="00000000" w:rsidRDefault="00000000" w:rsidRPr="00000000" w14:paraId="00000124">
      <w:pPr>
        <w:spacing w:after="160" w:line="360" w:lineRule="auto"/>
        <w:jc w:val="center"/>
        <w:rPr/>
      </w:pPr>
      <w:r w:rsidDel="00000000" w:rsidR="00000000" w:rsidRPr="00000000">
        <w:rPr>
          <w:rFonts w:ascii="Arial" w:cs="Arial" w:eastAsia="Arial" w:hAnsi="Arial"/>
          <w:i w:val="1"/>
          <w:iCs w:val="1"/>
          <w:sz w:val="20"/>
          <w:szCs w:val="20"/>
          <w:rtl w:val="0"/>
        </w:rPr>
        <w:t xml:space="preserve">Table 6: Comparative Summary of All Three Projects</w:t>
      </w:r>
      <w:r w:rsidDel="00000000" w:rsidR="00000000" w:rsidRPr="00000000">
        <w:rPr>
          <w:rtl w:val="0"/>
        </w:rPr>
      </w:r>
    </w:p>
    <w:tbl>
      <w:tblPr>
        <w:tblStyle w:val="Table6"/>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2275"/>
        <w:gridCol w:w="2275"/>
        <w:gridCol w:w="2276"/>
        <w:tblGridChange w:id="0">
          <w:tblGrid>
            <w:gridCol w:w="2200"/>
            <w:gridCol w:w="2275"/>
            <w:gridCol w:w="2275"/>
            <w:gridCol w:w="2276"/>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25">
            <w:pPr>
              <w:spacing w:line="264" w:lineRule="auto"/>
              <w:jc w:val="center"/>
              <w:rPr/>
            </w:pPr>
            <w:r w:rsidDel="00000000" w:rsidR="00000000" w:rsidRPr="00000000">
              <w:rPr>
                <w:rFonts w:ascii="Arial" w:cs="Arial" w:eastAsia="Arial" w:hAnsi="Arial"/>
                <w:b w:val="1"/>
                <w:bCs w:val="1"/>
                <w:color w:val="ffffff"/>
                <w:sz w:val="18"/>
                <w:szCs w:val="18"/>
                <w:rtl w:val="0"/>
              </w:rPr>
              <w:t xml:space="preserve">Metric</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26">
            <w:pPr>
              <w:spacing w:line="264" w:lineRule="auto"/>
              <w:jc w:val="center"/>
              <w:rPr/>
            </w:pPr>
            <w:r w:rsidDel="00000000" w:rsidR="00000000" w:rsidRPr="00000000">
              <w:rPr>
                <w:rFonts w:ascii="Arial" w:cs="Arial" w:eastAsia="Arial" w:hAnsi="Arial"/>
                <w:b w:val="1"/>
                <w:bCs w:val="1"/>
                <w:color w:val="ffffff"/>
                <w:sz w:val="18"/>
                <w:szCs w:val="18"/>
                <w:rtl w:val="0"/>
              </w:rPr>
              <w:t xml:space="preserve">Project A</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27">
            <w:pPr>
              <w:spacing w:line="264" w:lineRule="auto"/>
              <w:jc w:val="center"/>
              <w:rPr/>
            </w:pPr>
            <w:r w:rsidDel="00000000" w:rsidR="00000000" w:rsidRPr="00000000">
              <w:rPr>
                <w:rFonts w:ascii="Arial" w:cs="Arial" w:eastAsia="Arial" w:hAnsi="Arial"/>
                <w:b w:val="1"/>
                <w:bCs w:val="1"/>
                <w:color w:val="ffffff"/>
                <w:sz w:val="18"/>
                <w:szCs w:val="18"/>
                <w:rtl w:val="0"/>
              </w:rPr>
              <w:t xml:space="preserve">Project B</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28">
            <w:pPr>
              <w:spacing w:line="264" w:lineRule="auto"/>
              <w:jc w:val="center"/>
              <w:rPr/>
            </w:pPr>
            <w:r w:rsidDel="00000000" w:rsidR="00000000" w:rsidRPr="00000000">
              <w:rPr>
                <w:rFonts w:ascii="Arial" w:cs="Arial" w:eastAsia="Arial" w:hAnsi="Arial"/>
                <w:b w:val="1"/>
                <w:bCs w:val="1"/>
                <w:color w:val="ffffff"/>
                <w:sz w:val="18"/>
                <w:szCs w:val="18"/>
                <w:rtl w:val="0"/>
              </w:rPr>
              <w:t xml:space="preserve">Project C</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29">
            <w:pPr>
              <w:spacing w:line="264" w:lineRule="auto"/>
              <w:jc w:val="left"/>
              <w:rPr/>
            </w:pPr>
            <w:r w:rsidDel="00000000" w:rsidR="00000000" w:rsidRPr="00000000">
              <w:rPr>
                <w:rFonts w:ascii="Arial" w:cs="Arial" w:eastAsia="Arial" w:hAnsi="Arial"/>
                <w:b w:val="1"/>
                <w:bCs w:val="1"/>
                <w:sz w:val="18"/>
                <w:szCs w:val="18"/>
                <w:rtl w:val="0"/>
              </w:rPr>
              <w:t xml:space="preserve">Payback</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2A">
            <w:pPr>
              <w:spacing w:line="264" w:lineRule="auto"/>
              <w:jc w:val="center"/>
              <w:rPr/>
            </w:pPr>
            <w:r w:rsidDel="00000000" w:rsidR="00000000" w:rsidRPr="00000000">
              <w:rPr>
                <w:rFonts w:ascii="Arial" w:cs="Arial" w:eastAsia="Arial" w:hAnsi="Arial"/>
                <w:sz w:val="18"/>
                <w:szCs w:val="18"/>
                <w:rtl w:val="0"/>
              </w:rPr>
              <w:t xml:space="preserve">4.50 yrs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2B">
            <w:pPr>
              <w:spacing w:line="264" w:lineRule="auto"/>
              <w:jc w:val="center"/>
              <w:rPr/>
            </w:pPr>
            <w:r w:rsidDel="00000000" w:rsidR="00000000" w:rsidRPr="00000000">
              <w:rPr>
                <w:rFonts w:ascii="Arial" w:cs="Arial" w:eastAsia="Arial" w:hAnsi="Arial"/>
                <w:sz w:val="18"/>
                <w:szCs w:val="18"/>
                <w:rtl w:val="0"/>
              </w:rPr>
              <w:t xml:space="preserve">4.55 yrs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2C">
            <w:pPr>
              <w:spacing w:line="264" w:lineRule="auto"/>
              <w:jc w:val="center"/>
              <w:rPr/>
            </w:pPr>
            <w:r w:rsidDel="00000000" w:rsidR="00000000" w:rsidRPr="00000000">
              <w:rPr>
                <w:rFonts w:ascii="Arial" w:cs="Arial" w:eastAsia="Arial" w:hAnsi="Arial"/>
                <w:sz w:val="18"/>
                <w:szCs w:val="18"/>
                <w:rtl w:val="0"/>
              </w:rPr>
              <w:t xml:space="preserve">3.60 yrs</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2D">
            <w:pPr>
              <w:spacing w:line="264" w:lineRule="auto"/>
              <w:jc w:val="left"/>
              <w:rPr/>
            </w:pPr>
            <w:r w:rsidDel="00000000" w:rsidR="00000000" w:rsidRPr="00000000">
              <w:rPr>
                <w:rFonts w:ascii="Arial" w:cs="Arial" w:eastAsia="Arial" w:hAnsi="Arial"/>
                <w:b w:val="1"/>
                <w:bCs w:val="1"/>
                <w:sz w:val="18"/>
                <w:szCs w:val="18"/>
                <w:rtl w:val="0"/>
              </w:rPr>
              <w:t xml:space="preserve">ARR</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2E">
            <w:pPr>
              <w:spacing w:line="264" w:lineRule="auto"/>
              <w:jc w:val="center"/>
              <w:rPr/>
            </w:pPr>
            <w:r w:rsidDel="00000000" w:rsidR="00000000" w:rsidRPr="00000000">
              <w:rPr>
                <w:rFonts w:ascii="Arial" w:cs="Arial" w:eastAsia="Arial" w:hAnsi="Arial"/>
                <w:sz w:val="18"/>
                <w:szCs w:val="18"/>
                <w:rtl w:val="0"/>
              </w:rPr>
              <w:t xml:space="preserve">3.2%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2F">
            <w:pPr>
              <w:spacing w:line="264" w:lineRule="auto"/>
              <w:jc w:val="center"/>
              <w:rPr/>
            </w:pPr>
            <w:r w:rsidDel="00000000" w:rsidR="00000000" w:rsidRPr="00000000">
              <w:rPr>
                <w:rFonts w:ascii="Arial" w:cs="Arial" w:eastAsia="Arial" w:hAnsi="Arial"/>
                <w:sz w:val="18"/>
                <w:szCs w:val="18"/>
                <w:rtl w:val="0"/>
              </w:rPr>
              <w:t xml:space="preserve">4.0%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30">
            <w:pPr>
              <w:spacing w:line="264" w:lineRule="auto"/>
              <w:jc w:val="center"/>
              <w:rPr/>
            </w:pPr>
            <w:r w:rsidDel="00000000" w:rsidR="00000000" w:rsidRPr="00000000">
              <w:rPr>
                <w:rFonts w:ascii="Arial" w:cs="Arial" w:eastAsia="Arial" w:hAnsi="Arial"/>
                <w:sz w:val="18"/>
                <w:szCs w:val="18"/>
                <w:rtl w:val="0"/>
              </w:rPr>
              <w:t xml:space="preserve">12.0%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1">
            <w:pPr>
              <w:spacing w:line="264" w:lineRule="auto"/>
              <w:jc w:val="left"/>
              <w:rPr/>
            </w:pPr>
            <w:r w:rsidDel="00000000" w:rsidR="00000000" w:rsidRPr="00000000">
              <w:rPr>
                <w:rFonts w:ascii="Arial" w:cs="Arial" w:eastAsia="Arial" w:hAnsi="Arial"/>
                <w:b w:val="1"/>
                <w:bCs w:val="1"/>
                <w:sz w:val="18"/>
                <w:szCs w:val="18"/>
                <w:rtl w:val="0"/>
              </w:rPr>
              <w:t xml:space="preserve">NPV (10%)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2">
            <w:pPr>
              <w:spacing w:line="264" w:lineRule="auto"/>
              <w:jc w:val="center"/>
              <w:rPr/>
            </w:pPr>
            <w:r w:rsidDel="00000000" w:rsidR="00000000" w:rsidRPr="00000000">
              <w:rPr>
                <w:rFonts w:ascii="Arial" w:cs="Arial" w:eastAsia="Arial" w:hAnsi="Arial"/>
                <w:sz w:val="18"/>
                <w:szCs w:val="18"/>
                <w:rtl w:val="0"/>
              </w:rPr>
              <w:t xml:space="preserve">-£8.68m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3">
            <w:pPr>
              <w:spacing w:line="264" w:lineRule="auto"/>
              <w:jc w:val="center"/>
              <w:rPr/>
            </w:pPr>
            <w:r w:rsidDel="00000000" w:rsidR="00000000" w:rsidRPr="00000000">
              <w:rPr>
                <w:rFonts w:ascii="Arial" w:cs="Arial" w:eastAsia="Arial" w:hAnsi="Arial"/>
                <w:sz w:val="18"/>
                <w:szCs w:val="18"/>
                <w:rtl w:val="0"/>
              </w:rPr>
              <w:t xml:space="preserve">-£8.30m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4">
            <w:pPr>
              <w:spacing w:line="264" w:lineRule="auto"/>
              <w:jc w:val="center"/>
              <w:rPr/>
            </w:pPr>
            <w:r w:rsidDel="00000000" w:rsidR="00000000" w:rsidRPr="00000000">
              <w:rPr>
                <w:rFonts w:ascii="Arial" w:cs="Arial" w:eastAsia="Arial" w:hAnsi="Arial"/>
                <w:sz w:val="18"/>
                <w:szCs w:val="18"/>
                <w:rtl w:val="0"/>
              </w:rPr>
              <w:t xml:space="preserve">-£1.98m</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35">
            <w:pPr>
              <w:spacing w:line="264" w:lineRule="auto"/>
              <w:jc w:val="left"/>
              <w:rPr/>
            </w:pPr>
            <w:r w:rsidDel="00000000" w:rsidR="00000000" w:rsidRPr="00000000">
              <w:rPr>
                <w:rFonts w:ascii="Arial" w:cs="Arial" w:eastAsia="Arial" w:hAnsi="Arial"/>
                <w:b w:val="1"/>
                <w:bCs w:val="1"/>
                <w:sz w:val="18"/>
                <w:szCs w:val="18"/>
                <w:rtl w:val="0"/>
              </w:rPr>
              <w:t xml:space="preserve">PI</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36">
            <w:pPr>
              <w:spacing w:line="264" w:lineRule="auto"/>
              <w:jc w:val="center"/>
              <w:rPr/>
            </w:pPr>
            <w:r w:rsidDel="00000000" w:rsidR="00000000" w:rsidRPr="00000000">
              <w:rPr>
                <w:rFonts w:ascii="Arial" w:cs="Arial" w:eastAsia="Arial" w:hAnsi="Arial"/>
                <w:sz w:val="18"/>
                <w:szCs w:val="18"/>
                <w:rtl w:val="0"/>
              </w:rPr>
              <w:t xml:space="preserve">0.826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37">
            <w:pPr>
              <w:spacing w:line="264" w:lineRule="auto"/>
              <w:jc w:val="center"/>
              <w:rPr/>
            </w:pPr>
            <w:r w:rsidDel="00000000" w:rsidR="00000000" w:rsidRPr="00000000">
              <w:rPr>
                <w:rFonts w:ascii="Arial" w:cs="Arial" w:eastAsia="Arial" w:hAnsi="Arial"/>
                <w:sz w:val="18"/>
                <w:szCs w:val="18"/>
                <w:rtl w:val="0"/>
              </w:rPr>
              <w:t xml:space="preserve">0.834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38">
            <w:pPr>
              <w:spacing w:line="264" w:lineRule="auto"/>
              <w:jc w:val="center"/>
              <w:rPr/>
            </w:pPr>
            <w:r w:rsidDel="00000000" w:rsidR="00000000" w:rsidRPr="00000000">
              <w:rPr>
                <w:rFonts w:ascii="Arial" w:cs="Arial" w:eastAsia="Arial" w:hAnsi="Arial"/>
                <w:sz w:val="18"/>
                <w:szCs w:val="18"/>
                <w:rtl w:val="0"/>
              </w:rPr>
              <w:t xml:space="preserve">0.960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9">
            <w:pPr>
              <w:spacing w:line="264" w:lineRule="auto"/>
              <w:jc w:val="left"/>
              <w:rPr/>
            </w:pPr>
            <w:r w:rsidDel="00000000" w:rsidR="00000000" w:rsidRPr="00000000">
              <w:rPr>
                <w:rFonts w:ascii="Arial" w:cs="Arial" w:eastAsia="Arial" w:hAnsi="Arial"/>
                <w:b w:val="1"/>
                <w:bCs w:val="1"/>
                <w:sz w:val="18"/>
                <w:szCs w:val="18"/>
                <w:rtl w:val="0"/>
              </w:rPr>
              <w:t xml:space="preserve">IRR (est.)</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A">
            <w:pPr>
              <w:spacing w:line="264" w:lineRule="auto"/>
              <w:jc w:val="center"/>
              <w:rPr/>
            </w:pPr>
            <w:r w:rsidDel="00000000" w:rsidR="00000000" w:rsidRPr="00000000">
              <w:rPr>
                <w:rFonts w:ascii="Arial" w:cs="Arial" w:eastAsia="Arial" w:hAnsi="Arial"/>
                <w:sz w:val="18"/>
                <w:szCs w:val="18"/>
                <w:rtl w:val="0"/>
              </w:rPr>
              <w:t xml:space="preserve">~4.5%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B">
            <w:pPr>
              <w:spacing w:line="264" w:lineRule="auto"/>
              <w:jc w:val="center"/>
              <w:rPr/>
            </w:pPr>
            <w:r w:rsidDel="00000000" w:rsidR="00000000" w:rsidRPr="00000000">
              <w:rPr>
                <w:rFonts w:ascii="Arial" w:cs="Arial" w:eastAsia="Arial" w:hAnsi="Arial"/>
                <w:sz w:val="18"/>
                <w:szCs w:val="18"/>
                <w:rtl w:val="0"/>
              </w:rPr>
              <w:t xml:space="preserve">~3.6%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3C">
            <w:pPr>
              <w:spacing w:line="264" w:lineRule="auto"/>
              <w:jc w:val="center"/>
              <w:rPr/>
            </w:pPr>
            <w:r w:rsidDel="00000000" w:rsidR="00000000" w:rsidRPr="00000000">
              <w:rPr>
                <w:rFonts w:ascii="Arial" w:cs="Arial" w:eastAsia="Arial" w:hAnsi="Arial"/>
                <w:sz w:val="18"/>
                <w:szCs w:val="18"/>
                <w:rtl w:val="0"/>
              </w:rPr>
              <w:t xml:space="preserve">~9.2%</w:t>
            </w:r>
            <w:r w:rsidDel="00000000" w:rsidR="00000000" w:rsidRPr="00000000">
              <w:rPr>
                <w:rtl w:val="0"/>
              </w:rPr>
            </w:r>
          </w:p>
        </w:tc>
      </w:tr>
    </w:tbl>
    <w:p w:rsidR="00000000" w:rsidDel="00000000" w:rsidP="00000000" w:rsidRDefault="00000000" w:rsidRPr="00000000" w14:paraId="0000013D">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calculations based on project data from the assessment brief.</w:t>
      </w:r>
      <w:r w:rsidDel="00000000" w:rsidR="00000000" w:rsidRPr="00000000">
        <w:rPr>
          <w:rtl w:val="0"/>
        </w:rPr>
      </w:r>
    </w:p>
    <w:p w:rsidR="00000000" w:rsidDel="00000000" w:rsidP="00000000" w:rsidRDefault="00000000" w:rsidRPr="00000000" w14:paraId="0000013E">
      <w:pPr>
        <w:spacing w:after="80" w:line="360" w:lineRule="auto"/>
        <w:jc w:val="center"/>
        <w:rPr/>
      </w:pPr>
      <w:r w:rsidDel="00000000" w:rsidR="00000000" w:rsidRPr="00000000">
        <w:rPr/>
        <w:drawing>
          <wp:inline distB="0" distT="0" distL="0" distR="0">
            <wp:extent cx="5500000" cy="3069767"/>
            <wp:effectExtent b="0" l="0" r="0" t="0"/>
            <wp:docPr id="1"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5500000" cy="3069767"/>
                    </a:xfrm>
                    <a:prstGeom prst="rect"/>
                    <a:ln/>
                  </pic:spPr>
                </pic:pic>
              </a:graphicData>
            </a:graphic>
          </wp:inline>
        </w:drawing>
      </w:r>
      <w:r w:rsidDel="00000000" w:rsidR="00000000" w:rsidRPr="00000000">
        <w:rPr>
          <w:rtl w:val="0"/>
        </w:rPr>
      </w:r>
    </w:p>
    <w:p w:rsidR="00000000" w:rsidDel="00000000" w:rsidP="00000000" w:rsidRDefault="00000000" w:rsidRPr="00000000" w14:paraId="0000013F">
      <w:pPr>
        <w:spacing w:after="160" w:line="360" w:lineRule="auto"/>
        <w:jc w:val="center"/>
        <w:rPr/>
      </w:pPr>
      <w:r w:rsidDel="00000000" w:rsidR="00000000" w:rsidRPr="00000000">
        <w:rPr>
          <w:rFonts w:ascii="Arial" w:cs="Arial" w:eastAsia="Arial" w:hAnsi="Arial"/>
          <w:i w:val="1"/>
          <w:iCs w:val="1"/>
          <w:sz w:val="20"/>
          <w:szCs w:val="20"/>
          <w:rtl w:val="0"/>
        </w:rPr>
        <w:t xml:space="preserve">Figure 5: NPV Comparison at 10% Discount Rate (£ </w:t>
      </w:r>
      <w:r w:rsidDel="00000000" w:rsidR="00000000" w:rsidRPr="00000000">
        <w:rPr>
          <w:i w:val="1"/>
          <w:iCs w:val="1"/>
          <w:sz w:val="20"/>
          <w:szCs w:val="20"/>
          <w:rtl w:val="0"/>
        </w:rPr>
        <w:t xml:space="preserve">millions).</w:t>
      </w:r>
      <w:r w:rsidDel="00000000" w:rsidR="00000000" w:rsidRPr="00000000">
        <w:rPr>
          <w:rFonts w:ascii="Arial" w:cs="Arial" w:eastAsia="Arial" w:hAnsi="Arial"/>
          <w:i w:val="1"/>
          <w:iCs w:val="1"/>
          <w:sz w:val="20"/>
          <w:szCs w:val="20"/>
          <w:rtl w:val="0"/>
        </w:rPr>
        <w:t xml:space="preserve"> Source: Author’s calculations.</w:t>
      </w:r>
      <w:r w:rsidDel="00000000" w:rsidR="00000000" w:rsidRPr="00000000">
        <w:rPr>
          <w:rtl w:val="0"/>
        </w:rPr>
      </w:r>
    </w:p>
    <w:p w:rsidR="00000000" w:rsidDel="00000000" w:rsidP="00000000" w:rsidRDefault="00000000" w:rsidRPr="00000000" w14:paraId="00000140">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5.2 Recommendation: Project C</w:t>
      </w:r>
      <w:r w:rsidDel="00000000" w:rsidR="00000000" w:rsidRPr="00000000">
        <w:rPr>
          <w:rtl w:val="0"/>
        </w:rPr>
      </w:r>
    </w:p>
    <w:p w:rsidR="00000000" w:rsidDel="00000000" w:rsidP="00000000" w:rsidRDefault="00000000" w:rsidRPr="00000000" w14:paraId="00000141">
      <w:pPr>
        <w:spacing w:after="100" w:line="360" w:lineRule="auto"/>
        <w:jc w:val="both"/>
        <w:rPr/>
      </w:pPr>
      <w:r w:rsidDel="00000000" w:rsidR="00000000" w:rsidRPr="00000000">
        <w:rPr>
          <w:rFonts w:ascii="Arial" w:cs="Arial" w:eastAsia="Arial" w:hAnsi="Arial"/>
          <w:sz w:val="24"/>
          <w:szCs w:val="24"/>
          <w:rtl w:val="0"/>
        </w:rPr>
        <w:t xml:space="preserve">Project C is the strongest option on every metric. Shortest payback at 3.6 years. Highest ARR at 12.0%. Least negative NPV at -£1.98m. Highest PI at 0.960. And an IRR of 9.2% that comes close to the hurdle rate. The back-loaded cash flow profile fits a company that is investing heavily now in transformation and expects returns to </w:t>
      </w:r>
      <w:r w:rsidDel="00000000" w:rsidR="00000000" w:rsidRPr="00000000">
        <w:rPr>
          <w:rtl w:val="0"/>
        </w:rPr>
        <w:t xml:space="preserve">materialize</w:t>
      </w:r>
      <w:r w:rsidDel="00000000" w:rsidR="00000000" w:rsidRPr="00000000">
        <w:rPr>
          <w:rFonts w:ascii="Arial" w:cs="Arial" w:eastAsia="Arial" w:hAnsi="Arial"/>
          <w:sz w:val="24"/>
          <w:szCs w:val="24"/>
          <w:rtl w:val="0"/>
        </w:rPr>
        <w:t xml:space="preserve"> over time.</w:t>
      </w:r>
      <w:r w:rsidDel="00000000" w:rsidR="00000000" w:rsidRPr="00000000">
        <w:rPr>
          <w:rtl w:val="0"/>
        </w:rPr>
      </w:r>
    </w:p>
    <w:p w:rsidR="00000000" w:rsidDel="00000000" w:rsidP="00000000" w:rsidRDefault="00000000" w:rsidRPr="00000000" w14:paraId="00000142">
      <w:pPr>
        <w:spacing w:after="100" w:line="360" w:lineRule="auto"/>
        <w:jc w:val="both"/>
        <w:rPr/>
      </w:pPr>
      <w:r w:rsidDel="00000000" w:rsidR="00000000" w:rsidRPr="00000000">
        <w:rPr>
          <w:rFonts w:ascii="Arial" w:cs="Arial" w:eastAsia="Arial" w:hAnsi="Arial"/>
          <w:sz w:val="24"/>
          <w:szCs w:val="24"/>
          <w:rtl w:val="0"/>
        </w:rPr>
        <w:t xml:space="preserve">Beyond the numbers, the restructuring situation matters. Any project that makes the core business stronger, whether that means better manufacturing, EV charging networks, or keeping customers loyal in important markets, would create benefits that a simple NPV calculation misses entirely. Political risk is worth thinking about too. Volkswagen makes cars across Europe, China, South America, and North America, so tariff changes can shift project economics in unpredictable ways. Brand loyalty, particularly for Audi and Porsche where customers tend to be quite attached, should weigh into the decision. A project supporting the EV shift lines up with what customers expect and what regulators in multiple countries are demanding (Pike, </w:t>
      </w:r>
      <w:r w:rsidDel="00000000" w:rsidR="00000000" w:rsidRPr="00000000">
        <w:rPr>
          <w:rtl w:val="0"/>
        </w:rPr>
        <w:t xml:space="preserve">Neale,</w:t>
      </w:r>
      <w:r w:rsidDel="00000000" w:rsidR="00000000" w:rsidRPr="00000000">
        <w:rPr>
          <w:rFonts w:ascii="Arial" w:cs="Arial" w:eastAsia="Arial" w:hAnsi="Arial"/>
          <w:sz w:val="24"/>
          <w:szCs w:val="24"/>
          <w:rtl w:val="0"/>
        </w:rPr>
        <w:t xml:space="preserve"> and Linsley, 2018).</w:t>
      </w:r>
      <w:r w:rsidDel="00000000" w:rsidR="00000000" w:rsidRPr="00000000">
        <w:rPr>
          <w:rtl w:val="0"/>
        </w:rPr>
      </w:r>
    </w:p>
    <w:p w:rsidR="00000000" w:rsidDel="00000000" w:rsidP="00000000" w:rsidRDefault="00000000" w:rsidRPr="00000000" w14:paraId="00000143">
      <w:pPr>
        <w:spacing w:after="100" w:line="360" w:lineRule="auto"/>
        <w:jc w:val="both"/>
        <w:rPr/>
      </w:pPr>
      <w:r w:rsidDel="00000000" w:rsidR="00000000" w:rsidRPr="00000000">
        <w:rPr>
          <w:rFonts w:ascii="Arial" w:cs="Arial" w:eastAsia="Arial" w:hAnsi="Arial"/>
          <w:sz w:val="24"/>
          <w:szCs w:val="24"/>
          <w:rtl w:val="0"/>
        </w:rPr>
        <w:t xml:space="preserve">Sensitivity analysis strengthens the case. At an 8% discount rate, Project C’s NPV would move towards break-even or potentially positive territory. Conversely, if cash flows came in 10% below projections, even Project C becomes less attractive. The point is that these are estimates, and any competent CFO would run multiple scenarios before committing £50 million.</w:t>
      </w:r>
      <w:r w:rsidDel="00000000" w:rsidR="00000000" w:rsidRPr="00000000">
        <w:rPr>
          <w:rtl w:val="0"/>
        </w:rPr>
      </w:r>
    </w:p>
    <w:p w:rsidR="00000000" w:rsidDel="00000000" w:rsidP="00000000" w:rsidRDefault="00000000" w:rsidRPr="00000000" w14:paraId="00000144">
      <w:pPr>
        <w:spacing w:after="100" w:line="360" w:lineRule="auto"/>
        <w:jc w:val="both"/>
        <w:rPr/>
      </w:pPr>
      <w:r w:rsidDel="00000000" w:rsidR="00000000" w:rsidRPr="00000000">
        <w:rPr>
          <w:rFonts w:ascii="Arial" w:cs="Arial" w:eastAsia="Arial" w:hAnsi="Arial"/>
          <w:sz w:val="24"/>
          <w:szCs w:val="24"/>
          <w:rtl w:val="0"/>
        </w:rPr>
        <w:t xml:space="preserve">The workforce dimension deserves mention here as well. Volkswagen employs around 667,000 people globally, and with the restructuring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already causing significant tension in Germany, any new capital investment needs to be evaluated partly through the lens of its employment implications. A project that creates or preserves jobs in regions where Volkswagen has committed to maintaining its presence carries political and social value that does not appear in the NPV calculation. On the flip side, any project that means more job cuts is going to run into pushback from the works council and Lower Saxony, and those two have enough influence to actually block things if they want to.</w:t>
      </w:r>
      <w:r w:rsidDel="00000000" w:rsidR="00000000" w:rsidRPr="00000000">
        <w:rPr>
          <w:rtl w:val="0"/>
        </w:rPr>
      </w:r>
    </w:p>
    <w:p w:rsidR="00000000" w:rsidDel="00000000" w:rsidP="00000000" w:rsidRDefault="00000000" w:rsidRPr="00000000" w14:paraId="00000145">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5.3 Capital Rationing Under £100m</w:t>
      </w:r>
      <w:r w:rsidDel="00000000" w:rsidR="00000000" w:rsidRPr="00000000">
        <w:rPr>
          <w:rtl w:val="0"/>
        </w:rPr>
      </w:r>
    </w:p>
    <w:p w:rsidR="00000000" w:rsidDel="00000000" w:rsidP="00000000" w:rsidRDefault="00000000" w:rsidRPr="00000000" w14:paraId="00000146">
      <w:pPr>
        <w:spacing w:after="100" w:line="360" w:lineRule="auto"/>
        <w:jc w:val="both"/>
        <w:rPr/>
      </w:pPr>
      <w:r w:rsidDel="00000000" w:rsidR="00000000" w:rsidRPr="00000000">
        <w:rPr>
          <w:rFonts w:ascii="Arial" w:cs="Arial" w:eastAsia="Arial" w:hAnsi="Arial"/>
          <w:sz w:val="24"/>
          <w:szCs w:val="24"/>
          <w:rtl w:val="0"/>
        </w:rPr>
        <w:t xml:space="preserve">If the budget tops out at £100 million, there are three ways to pair the projects: A with B, A with C, or B with C. Each combination costs exactly £100m.</w:t>
      </w:r>
      <w:r w:rsidDel="00000000" w:rsidR="00000000" w:rsidRPr="00000000">
        <w:rPr>
          <w:rtl w:val="0"/>
        </w:rPr>
      </w:r>
    </w:p>
    <w:p w:rsidR="00000000" w:rsidDel="00000000" w:rsidP="00000000" w:rsidRDefault="00000000" w:rsidRPr="00000000" w14:paraId="00000147">
      <w:pPr>
        <w:spacing w:after="160" w:line="360" w:lineRule="auto"/>
        <w:jc w:val="center"/>
        <w:rPr/>
      </w:pPr>
      <w:r w:rsidDel="00000000" w:rsidR="00000000" w:rsidRPr="00000000">
        <w:rPr>
          <w:rFonts w:ascii="Arial" w:cs="Arial" w:eastAsia="Arial" w:hAnsi="Arial"/>
          <w:i w:val="1"/>
          <w:iCs w:val="1"/>
          <w:sz w:val="20"/>
          <w:szCs w:val="20"/>
          <w:rtl w:val="0"/>
        </w:rPr>
        <w:t xml:space="preserve">Table 7: Capital Rationing – Comparing Project Combinations</w:t>
      </w:r>
      <w:r w:rsidDel="00000000" w:rsidR="00000000" w:rsidRPr="00000000">
        <w:rPr>
          <w:rtl w:val="0"/>
        </w:rPr>
      </w:r>
    </w:p>
    <w:tbl>
      <w:tblPr>
        <w:tblStyle w:val="Table7"/>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2275"/>
        <w:gridCol w:w="2275"/>
        <w:gridCol w:w="2276"/>
        <w:tblGridChange w:id="0">
          <w:tblGrid>
            <w:gridCol w:w="2200"/>
            <w:gridCol w:w="2275"/>
            <w:gridCol w:w="2275"/>
            <w:gridCol w:w="2276"/>
          </w:tblGrid>
        </w:tblGridChange>
      </w:tblGrid>
      <w:tr>
        <w:trPr>
          <w:cantSplit w:val="0"/>
          <w:tblHeader w:val="0"/>
        </w:trPr>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48">
            <w:pPr>
              <w:spacing w:line="264" w:lineRule="auto"/>
              <w:jc w:val="center"/>
              <w:rPr/>
            </w:pPr>
            <w:r w:rsidDel="00000000" w:rsidR="00000000" w:rsidRPr="00000000">
              <w:rPr>
                <w:rFonts w:ascii="Arial" w:cs="Arial" w:eastAsia="Arial" w:hAnsi="Arial"/>
                <w:b w:val="1"/>
                <w:bCs w:val="1"/>
                <w:color w:val="ffffff"/>
                <w:sz w:val="18"/>
                <w:szCs w:val="18"/>
                <w:rtl w:val="0"/>
              </w:rPr>
              <w:t xml:space="preserve">Combination</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49">
            <w:pPr>
              <w:spacing w:line="264" w:lineRule="auto"/>
              <w:jc w:val="center"/>
              <w:rPr/>
            </w:pPr>
            <w:r w:rsidDel="00000000" w:rsidR="00000000" w:rsidRPr="00000000">
              <w:rPr>
                <w:rFonts w:ascii="Arial" w:cs="Arial" w:eastAsia="Arial" w:hAnsi="Arial"/>
                <w:b w:val="1"/>
                <w:bCs w:val="1"/>
                <w:color w:val="ffffff"/>
                <w:sz w:val="18"/>
                <w:szCs w:val="18"/>
                <w:rtl w:val="0"/>
              </w:rPr>
              <w:t xml:space="preserve">Cost</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4A">
            <w:pPr>
              <w:spacing w:line="264" w:lineRule="auto"/>
              <w:jc w:val="center"/>
              <w:rPr/>
            </w:pPr>
            <w:r w:rsidDel="00000000" w:rsidR="00000000" w:rsidRPr="00000000">
              <w:rPr>
                <w:rFonts w:ascii="Arial" w:cs="Arial" w:eastAsia="Arial" w:hAnsi="Arial"/>
                <w:b w:val="1"/>
                <w:bCs w:val="1"/>
                <w:color w:val="ffffff"/>
                <w:sz w:val="18"/>
                <w:szCs w:val="18"/>
                <w:rtl w:val="0"/>
              </w:rPr>
              <w:t xml:space="preserve">Combined NPV</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000000" w:val="clear"/>
            <w:tcMar>
              <w:top w:w="50.0" w:type="dxa"/>
              <w:left w:w="80.0" w:type="dxa"/>
              <w:bottom w:w="50.0" w:type="dxa"/>
              <w:right w:w="80.0" w:type="dxa"/>
            </w:tcMar>
            <w:vAlign w:val="center"/>
          </w:tcPr>
          <w:p w:rsidR="00000000" w:rsidDel="00000000" w:rsidP="00000000" w:rsidRDefault="00000000" w:rsidRPr="00000000" w14:paraId="0000014B">
            <w:pPr>
              <w:spacing w:line="264" w:lineRule="auto"/>
              <w:jc w:val="center"/>
              <w:rPr/>
            </w:pPr>
            <w:r w:rsidDel="00000000" w:rsidR="00000000" w:rsidRPr="00000000">
              <w:rPr>
                <w:rFonts w:ascii="Arial" w:cs="Arial" w:eastAsia="Arial" w:hAnsi="Arial"/>
                <w:b w:val="1"/>
                <w:bCs w:val="1"/>
                <w:color w:val="ffffff"/>
                <w:sz w:val="18"/>
                <w:szCs w:val="18"/>
                <w:rtl w:val="0"/>
              </w:rPr>
              <w:t xml:space="preserve">Avg PI</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4C">
            <w:pPr>
              <w:spacing w:line="264" w:lineRule="auto"/>
              <w:jc w:val="left"/>
              <w:rPr/>
            </w:pPr>
            <w:r w:rsidDel="00000000" w:rsidR="00000000" w:rsidRPr="00000000">
              <w:rPr>
                <w:rFonts w:ascii="Arial" w:cs="Arial" w:eastAsia="Arial" w:hAnsi="Arial"/>
                <w:b w:val="1"/>
                <w:bCs w:val="1"/>
                <w:sz w:val="18"/>
                <w:szCs w:val="18"/>
                <w:rtl w:val="0"/>
              </w:rPr>
              <w:t xml:space="preserve">A + B</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4D">
            <w:pPr>
              <w:spacing w:line="264" w:lineRule="auto"/>
              <w:jc w:val="center"/>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4E">
            <w:pPr>
              <w:spacing w:line="264" w:lineRule="auto"/>
              <w:jc w:val="center"/>
              <w:rPr/>
            </w:pPr>
            <w:r w:rsidDel="00000000" w:rsidR="00000000" w:rsidRPr="00000000">
              <w:rPr>
                <w:rFonts w:ascii="Arial" w:cs="Arial" w:eastAsia="Arial" w:hAnsi="Arial"/>
                <w:sz w:val="18"/>
                <w:szCs w:val="18"/>
                <w:rtl w:val="0"/>
              </w:rPr>
              <w:t xml:space="preserve">-£16.98m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4F">
            <w:pPr>
              <w:spacing w:line="264" w:lineRule="auto"/>
              <w:jc w:val="center"/>
              <w:rPr/>
            </w:pPr>
            <w:r w:rsidDel="00000000" w:rsidR="00000000" w:rsidRPr="00000000">
              <w:rPr>
                <w:rFonts w:ascii="Arial" w:cs="Arial" w:eastAsia="Arial" w:hAnsi="Arial"/>
                <w:sz w:val="18"/>
                <w:szCs w:val="18"/>
                <w:rtl w:val="0"/>
              </w:rPr>
              <w:t xml:space="preserve">0.830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50">
            <w:pPr>
              <w:spacing w:line="264" w:lineRule="auto"/>
              <w:jc w:val="left"/>
              <w:rPr/>
            </w:pPr>
            <w:r w:rsidDel="00000000" w:rsidR="00000000" w:rsidRPr="00000000">
              <w:rPr>
                <w:rFonts w:ascii="Arial" w:cs="Arial" w:eastAsia="Arial" w:hAnsi="Arial"/>
                <w:b w:val="1"/>
                <w:bCs w:val="1"/>
                <w:sz w:val="18"/>
                <w:szCs w:val="18"/>
                <w:rtl w:val="0"/>
              </w:rPr>
              <w:t xml:space="preserve">A + C</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51">
            <w:pPr>
              <w:spacing w:line="264" w:lineRule="auto"/>
              <w:jc w:val="center"/>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52">
            <w:pPr>
              <w:spacing w:line="264" w:lineRule="auto"/>
              <w:jc w:val="center"/>
              <w:rPr/>
            </w:pPr>
            <w:r w:rsidDel="00000000" w:rsidR="00000000" w:rsidRPr="00000000">
              <w:rPr>
                <w:rFonts w:ascii="Arial" w:cs="Arial" w:eastAsia="Arial" w:hAnsi="Arial"/>
                <w:sz w:val="18"/>
                <w:szCs w:val="18"/>
                <w:rtl w:val="0"/>
              </w:rPr>
              <w:t xml:space="preserve">-£10.66m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50.0" w:type="dxa"/>
              <w:left w:w="80.0" w:type="dxa"/>
              <w:bottom w:w="50.0" w:type="dxa"/>
              <w:right w:w="80.0" w:type="dxa"/>
            </w:tcMar>
            <w:vAlign w:val="center"/>
          </w:tcPr>
          <w:p w:rsidR="00000000" w:rsidDel="00000000" w:rsidP="00000000" w:rsidRDefault="00000000" w:rsidRPr="00000000" w14:paraId="00000153">
            <w:pPr>
              <w:spacing w:line="264" w:lineRule="auto"/>
              <w:jc w:val="center"/>
              <w:rPr/>
            </w:pPr>
            <w:r w:rsidDel="00000000" w:rsidR="00000000" w:rsidRPr="00000000">
              <w:rPr>
                <w:rFonts w:ascii="Arial" w:cs="Arial" w:eastAsia="Arial" w:hAnsi="Arial"/>
                <w:sz w:val="18"/>
                <w:szCs w:val="18"/>
                <w:rtl w:val="0"/>
              </w:rPr>
              <w:t xml:space="preserve">0.893</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54">
            <w:pPr>
              <w:spacing w:line="264" w:lineRule="auto"/>
              <w:jc w:val="left"/>
              <w:rPr/>
            </w:pPr>
            <w:r w:rsidDel="00000000" w:rsidR="00000000" w:rsidRPr="00000000">
              <w:rPr>
                <w:rFonts w:ascii="Arial" w:cs="Arial" w:eastAsia="Arial" w:hAnsi="Arial"/>
                <w:b w:val="1"/>
                <w:bCs w:val="1"/>
                <w:sz w:val="18"/>
                <w:szCs w:val="18"/>
                <w:rtl w:val="0"/>
              </w:rPr>
              <w:t xml:space="preserve">B + C</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55">
            <w:pPr>
              <w:spacing w:line="264" w:lineRule="auto"/>
              <w:jc w:val="center"/>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56">
            <w:pPr>
              <w:spacing w:line="264" w:lineRule="auto"/>
              <w:jc w:val="center"/>
              <w:rPr/>
            </w:pPr>
            <w:r w:rsidDel="00000000" w:rsidR="00000000" w:rsidRPr="00000000">
              <w:rPr>
                <w:rFonts w:ascii="Arial" w:cs="Arial" w:eastAsia="Arial" w:hAnsi="Arial"/>
                <w:sz w:val="18"/>
                <w:szCs w:val="18"/>
                <w:rtl w:val="0"/>
              </w:rPr>
              <w:t xml:space="preserve">-£10.28m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df2f7" w:val="clear"/>
            <w:tcMar>
              <w:top w:w="50.0" w:type="dxa"/>
              <w:left w:w="80.0" w:type="dxa"/>
              <w:bottom w:w="50.0" w:type="dxa"/>
              <w:right w:w="80.0" w:type="dxa"/>
            </w:tcMar>
            <w:vAlign w:val="center"/>
          </w:tcPr>
          <w:p w:rsidR="00000000" w:rsidDel="00000000" w:rsidP="00000000" w:rsidRDefault="00000000" w:rsidRPr="00000000" w14:paraId="00000157">
            <w:pPr>
              <w:spacing w:line="264" w:lineRule="auto"/>
              <w:jc w:val="center"/>
              <w:rPr/>
            </w:pPr>
            <w:r w:rsidDel="00000000" w:rsidR="00000000" w:rsidRPr="00000000">
              <w:rPr>
                <w:rFonts w:ascii="Arial" w:cs="Arial" w:eastAsia="Arial" w:hAnsi="Arial"/>
                <w:sz w:val="18"/>
                <w:szCs w:val="18"/>
                <w:rtl w:val="0"/>
              </w:rPr>
              <w:t xml:space="preserve">0.897</w:t>
            </w:r>
            <w:r w:rsidDel="00000000" w:rsidR="00000000" w:rsidRPr="00000000">
              <w:rPr>
                <w:rtl w:val="0"/>
              </w:rPr>
            </w:r>
          </w:p>
        </w:tc>
      </w:tr>
    </w:tbl>
    <w:p w:rsidR="00000000" w:rsidDel="00000000" w:rsidP="00000000" w:rsidRDefault="00000000" w:rsidRPr="00000000" w14:paraId="00000158">
      <w:pPr>
        <w:spacing w:after="160" w:line="360" w:lineRule="auto"/>
        <w:jc w:val="center"/>
        <w:rPr/>
      </w:pPr>
      <w:r w:rsidDel="00000000" w:rsidR="00000000" w:rsidRPr="00000000">
        <w:rPr>
          <w:rFonts w:ascii="Arial" w:cs="Arial" w:eastAsia="Arial" w:hAnsi="Arial"/>
          <w:i w:val="1"/>
          <w:iCs w:val="1"/>
          <w:sz w:val="20"/>
          <w:szCs w:val="20"/>
          <w:rtl w:val="0"/>
        </w:rPr>
        <w:t xml:space="preserve">Source: Author’s calculations based on project data from the assessment brief.</w:t>
      </w:r>
      <w:r w:rsidDel="00000000" w:rsidR="00000000" w:rsidRPr="00000000">
        <w:rPr>
          <w:rtl w:val="0"/>
        </w:rPr>
      </w:r>
    </w:p>
    <w:p w:rsidR="00000000" w:rsidDel="00000000" w:rsidP="00000000" w:rsidRDefault="00000000" w:rsidRPr="00000000" w14:paraId="00000159">
      <w:pPr>
        <w:spacing w:after="100" w:line="360" w:lineRule="auto"/>
        <w:jc w:val="both"/>
        <w:rPr/>
      </w:pPr>
      <w:r w:rsidDel="00000000" w:rsidR="00000000" w:rsidRPr="00000000">
        <w:rPr>
          <w:rFonts w:ascii="Arial" w:cs="Arial" w:eastAsia="Arial" w:hAnsi="Arial"/>
          <w:sz w:val="24"/>
          <w:szCs w:val="24"/>
          <w:rtl w:val="0"/>
        </w:rPr>
        <w:t xml:space="preserve">B + C is the optimal pairing. The combined NPV of -£10.28m is the least bad of the three options, and the average PI of 0.897 is the highest. What makes it work intuitively is that B gives you that reliable £11m every year for planning purposes, while C delivers the bigger numbers in Years 3 and 4 when things presumably get going.</w:t>
      </w:r>
      <w:r w:rsidDel="00000000" w:rsidR="00000000" w:rsidRPr="00000000">
        <w:rPr>
          <w:rtl w:val="0"/>
        </w:rPr>
      </w:r>
    </w:p>
    <w:p w:rsidR="00000000" w:rsidDel="00000000" w:rsidP="00000000" w:rsidRDefault="00000000" w:rsidRPr="00000000" w14:paraId="0000015A">
      <w:pPr>
        <w:spacing w:after="100" w:line="360" w:lineRule="auto"/>
        <w:jc w:val="both"/>
        <w:rPr/>
      </w:pPr>
      <w:r w:rsidDel="00000000" w:rsidR="00000000" w:rsidRPr="00000000">
        <w:rPr>
          <w:rFonts w:ascii="Arial" w:cs="Arial" w:eastAsia="Arial" w:hAnsi="Arial"/>
          <w:sz w:val="24"/>
          <w:szCs w:val="24"/>
          <w:rtl w:val="0"/>
        </w:rPr>
        <w:t xml:space="preserve">There is a diversification angle too. B is fairly immune to economic swings because the cash flows are flat and predictable. C is more exposed because its big returns depend on what happens in Years 3 and 4. So if the economy turns sour, B limits the damage, and if things go well, C picks up the benefit. It is a natural hedge within the portfolio. This kind of portfolio thinking is standard in financial theory but often gets lost when projects are evaluated in isolation rather than as part of a broader capital allocation strategy.</w:t>
      </w:r>
      <w:r w:rsidDel="00000000" w:rsidR="00000000" w:rsidRPr="00000000">
        <w:rPr>
          <w:rtl w:val="0"/>
        </w:rPr>
      </w:r>
    </w:p>
    <w:p w:rsidR="00000000" w:rsidDel="00000000" w:rsidP="00000000" w:rsidRDefault="00000000" w:rsidRPr="00000000" w14:paraId="0000015B">
      <w:pPr>
        <w:spacing w:after="100" w:line="360" w:lineRule="auto"/>
        <w:jc w:val="both"/>
        <w:rPr/>
      </w:pPr>
      <w:r w:rsidDel="00000000" w:rsidR="00000000" w:rsidRPr="00000000">
        <w:rPr>
          <w:rFonts w:ascii="Arial" w:cs="Arial" w:eastAsia="Arial" w:hAnsi="Arial"/>
          <w:sz w:val="24"/>
          <w:szCs w:val="24"/>
          <w:rtl w:val="0"/>
        </w:rPr>
        <w:t xml:space="preserve">But the deeper question remains: with operating profit halving and the company pouring €24 billion a year into capex and R&amp;D, is external capital deployment really the best use of £100 million? Volkswagen’s internal opportunities in battery manufacturing, software development, and EV platform engineering may offer higher returns than any of these standalone projects. NPV and IRR are useful, no question. But they do not tell you everything, and pretending otherwise would be naive. Strategic fit, execution risk, and alignment with the broader transformation agenda all deserve weight in the final decision (Brealey, </w:t>
      </w:r>
      <w:r w:rsidDel="00000000" w:rsidR="00000000" w:rsidRPr="00000000">
        <w:rPr>
          <w:rtl w:val="0"/>
        </w:rPr>
        <w:t xml:space="preserve">Myers,</w:t>
      </w:r>
      <w:r w:rsidDel="00000000" w:rsidR="00000000" w:rsidRPr="00000000">
        <w:rPr>
          <w:rFonts w:ascii="Arial" w:cs="Arial" w:eastAsia="Arial" w:hAnsi="Arial"/>
          <w:sz w:val="24"/>
          <w:szCs w:val="24"/>
          <w:rtl w:val="0"/>
        </w:rPr>
        <w:t xml:space="preserve"> and Allen, 2020).</w:t>
      </w:r>
      <w:r w:rsidDel="00000000" w:rsidR="00000000" w:rsidRPr="00000000">
        <w:rPr>
          <w:rtl w:val="0"/>
        </w:rPr>
      </w:r>
    </w:p>
    <w:p w:rsidR="00000000" w:rsidDel="00000000" w:rsidP="00000000" w:rsidRDefault="00000000" w:rsidRPr="00000000" w14:paraId="0000015C">
      <w:pPr>
        <w:rPr/>
      </w:pPr>
      <w:r w:rsidDel="00000000" w:rsidR="00000000" w:rsidRPr="00000000">
        <w:br w:type="page"/>
      </w:r>
      <w:r w:rsidDel="00000000" w:rsidR="00000000" w:rsidRPr="00000000">
        <w:rPr>
          <w:rtl w:val="0"/>
        </w:rPr>
      </w:r>
    </w:p>
    <w:p w:rsidR="00000000" w:rsidDel="00000000" w:rsidP="00000000" w:rsidRDefault="00000000" w:rsidRPr="00000000" w14:paraId="0000015D">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6. Conclusion</w:t>
      </w:r>
      <w:r w:rsidDel="00000000" w:rsidR="00000000" w:rsidRPr="00000000">
        <w:rPr>
          <w:rtl w:val="0"/>
        </w:rPr>
      </w:r>
    </w:p>
    <w:p w:rsidR="00000000" w:rsidDel="00000000" w:rsidP="00000000" w:rsidRDefault="00000000" w:rsidRPr="00000000" w14:paraId="0000015E">
      <w:pPr>
        <w:spacing w:after="100" w:line="360" w:lineRule="auto"/>
        <w:jc w:val="both"/>
        <w:rPr/>
      </w:pPr>
      <w:r w:rsidDel="00000000" w:rsidR="00000000" w:rsidRPr="00000000">
        <w:rPr>
          <w:rFonts w:ascii="Arial" w:cs="Arial" w:eastAsia="Arial" w:hAnsi="Arial"/>
          <w:sz w:val="24"/>
          <w:szCs w:val="24"/>
          <w:rtl w:val="0"/>
        </w:rPr>
        <w:t xml:space="preserve">Volkswagen Group finds itself at a crossroads. Revenue has grown steadily over five </w:t>
      </w:r>
      <w:r w:rsidDel="00000000" w:rsidR="00000000" w:rsidRPr="00000000">
        <w:rPr>
          <w:rtl w:val="0"/>
        </w:rPr>
        <w:t xml:space="preserve">years,</w:t>
      </w:r>
      <w:r w:rsidDel="00000000" w:rsidR="00000000" w:rsidRPr="00000000">
        <w:rPr>
          <w:rFonts w:ascii="Arial" w:cs="Arial" w:eastAsia="Arial" w:hAnsi="Arial"/>
          <w:sz w:val="24"/>
          <w:szCs w:val="24"/>
          <w:rtl w:val="0"/>
        </w:rPr>
        <w:t xml:space="preserve"> but profitability has collapsed, with operating margins falling from nearly 8% to under 3%. The causes are partly </w:t>
      </w:r>
      <w:r w:rsidDel="00000000" w:rsidR="00000000" w:rsidRPr="00000000">
        <w:rPr>
          <w:rtl w:val="0"/>
        </w:rPr>
        <w:t xml:space="preserve">cyclical:</w:t>
      </w:r>
      <w:r w:rsidDel="00000000" w:rsidR="00000000" w:rsidRPr="00000000">
        <w:rPr>
          <w:rFonts w:ascii="Arial" w:cs="Arial" w:eastAsia="Arial" w:hAnsi="Arial"/>
          <w:sz w:val="24"/>
          <w:szCs w:val="24"/>
          <w:rtl w:val="0"/>
        </w:rPr>
        <w:t xml:space="preserve"> US tariffs, write-downs on failed </w:t>
      </w:r>
      <w:r w:rsidDel="00000000" w:rsidR="00000000" w:rsidRPr="00000000">
        <w:rPr>
          <w:rtl w:val="0"/>
        </w:rPr>
        <w:t xml:space="preserve">investments, and</w:t>
      </w:r>
      <w:r w:rsidDel="00000000" w:rsidR="00000000" w:rsidRPr="00000000">
        <w:rPr>
          <w:rFonts w:ascii="Arial" w:cs="Arial" w:eastAsia="Arial" w:hAnsi="Arial"/>
          <w:sz w:val="24"/>
          <w:szCs w:val="24"/>
          <w:rtl w:val="0"/>
        </w:rPr>
        <w:t xml:space="preserve"> restructuring </w:t>
      </w:r>
      <w:r w:rsidDel="00000000" w:rsidR="00000000" w:rsidRPr="00000000">
        <w:rPr>
          <w:rtl w:val="0"/>
        </w:rPr>
        <w:t xml:space="preserve">costs;</w:t>
      </w:r>
      <w:r w:rsidDel="00000000" w:rsidR="00000000" w:rsidRPr="00000000">
        <w:rPr>
          <w:rFonts w:ascii="Arial" w:cs="Arial" w:eastAsia="Arial" w:hAnsi="Arial"/>
          <w:sz w:val="24"/>
          <w:szCs w:val="24"/>
          <w:rtl w:val="0"/>
        </w:rPr>
        <w:t xml:space="preserve"> and partly structural: too many brands, too much cost, and a slow response to the EV transition in China. The balance sheet remains reasonably solid, with €34.5 billion in automotive net liquidity and an equity ratio above 30%, but declining operating cash flows from €38.6 billion to €15.0 billion over five years are a warning sign.</w:t>
      </w:r>
      <w:r w:rsidDel="00000000" w:rsidR="00000000" w:rsidRPr="00000000">
        <w:rPr>
          <w:rtl w:val="0"/>
        </w:rPr>
      </w:r>
    </w:p>
    <w:p w:rsidR="00000000" w:rsidDel="00000000" w:rsidP="00000000" w:rsidRDefault="00000000" w:rsidRPr="00000000" w14:paraId="0000015F">
      <w:pPr>
        <w:spacing w:after="100" w:line="360" w:lineRule="auto"/>
        <w:jc w:val="both"/>
        <w:rPr/>
      </w:pPr>
      <w:r w:rsidDel="00000000" w:rsidR="00000000" w:rsidRPr="00000000">
        <w:rPr>
          <w:rFonts w:ascii="Arial" w:cs="Arial" w:eastAsia="Arial" w:hAnsi="Arial"/>
          <w:sz w:val="24"/>
          <w:szCs w:val="24"/>
          <w:rtl w:val="0"/>
        </w:rPr>
        <w:t xml:space="preserve">Working capital management is adequate but not exceptional, with a 59-day cash conversion cycle that could be compressed through better inventory management and extended supplier payment terms. The restructuring plan needs to address brand overlap, </w:t>
      </w:r>
      <w:r w:rsidDel="00000000" w:rsidR="00000000" w:rsidRPr="00000000">
        <w:rPr>
          <w:rtl w:val="0"/>
        </w:rPr>
        <w:t xml:space="preserve">rationalize</w:t>
      </w:r>
      <w:r w:rsidDel="00000000" w:rsidR="00000000" w:rsidRPr="00000000">
        <w:rPr>
          <w:rFonts w:ascii="Arial" w:cs="Arial" w:eastAsia="Arial" w:hAnsi="Arial"/>
          <w:sz w:val="24"/>
          <w:szCs w:val="24"/>
          <w:rtl w:val="0"/>
        </w:rPr>
        <w:t xml:space="preserve"> the cost base, and refocus the China </w:t>
      </w:r>
      <w:r w:rsidDel="00000000" w:rsidR="00000000" w:rsidRPr="00000000">
        <w:rPr>
          <w:rtl w:val="0"/>
        </w:rPr>
        <w:t xml:space="preserve">strategy while</w:t>
      </w:r>
      <w:r w:rsidDel="00000000" w:rsidR="00000000" w:rsidRPr="00000000">
        <w:rPr>
          <w:rFonts w:ascii="Arial" w:cs="Arial" w:eastAsia="Arial" w:hAnsi="Arial"/>
          <w:sz w:val="24"/>
          <w:szCs w:val="24"/>
          <w:rtl w:val="0"/>
        </w:rPr>
        <w:t xml:space="preserve"> managing the very real social and political consequences of job reductions in Germany.</w:t>
      </w:r>
      <w:r w:rsidDel="00000000" w:rsidR="00000000" w:rsidRPr="00000000">
        <w:rPr>
          <w:rtl w:val="0"/>
        </w:rPr>
      </w:r>
    </w:p>
    <w:p w:rsidR="00000000" w:rsidDel="00000000" w:rsidP="00000000" w:rsidRDefault="00000000" w:rsidRPr="00000000" w14:paraId="00000160">
      <w:pPr>
        <w:spacing w:after="100" w:line="360" w:lineRule="auto"/>
        <w:jc w:val="both"/>
        <w:rPr/>
      </w:pPr>
      <w:r w:rsidDel="00000000" w:rsidR="00000000" w:rsidRPr="00000000">
        <w:rPr>
          <w:rFonts w:ascii="Arial" w:cs="Arial" w:eastAsia="Arial" w:hAnsi="Arial"/>
          <w:sz w:val="24"/>
          <w:szCs w:val="24"/>
          <w:rtl w:val="0"/>
        </w:rPr>
        <w:t xml:space="preserve">On investment, Project C is the clear best single option, and B+C represents the optimal pair under capital rationing constraints. Whether these external projects offer better returns than Volkswagen’s enormous internal investment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is the question that ultimately matters most. Financial models provide structure and discipline to decision-making. But they cannot substitute for the kind of strategic </w:t>
      </w:r>
      <w:r w:rsidDel="00000000" w:rsidR="00000000" w:rsidRPr="00000000">
        <w:rPr>
          <w:rtl w:val="0"/>
        </w:rPr>
        <w:t xml:space="preserve">judgment</w:t>
      </w:r>
      <w:r w:rsidDel="00000000" w:rsidR="00000000" w:rsidRPr="00000000">
        <w:rPr>
          <w:rFonts w:ascii="Arial" w:cs="Arial" w:eastAsia="Arial" w:hAnsi="Arial"/>
          <w:sz w:val="24"/>
          <w:szCs w:val="24"/>
          <w:rtl w:val="0"/>
        </w:rPr>
        <w:t xml:space="preserve"> that a situation this complex demands.</w:t>
      </w:r>
      <w:r w:rsidDel="00000000" w:rsidR="00000000" w:rsidRPr="00000000">
        <w:rPr>
          <w:rtl w:val="0"/>
        </w:rPr>
      </w:r>
    </w:p>
    <w:p w:rsidR="00000000" w:rsidDel="00000000" w:rsidP="00000000" w:rsidRDefault="00000000" w:rsidRPr="00000000" w14:paraId="00000161">
      <w:pPr>
        <w:rPr/>
      </w:pPr>
      <w:r w:rsidDel="00000000" w:rsidR="00000000" w:rsidRPr="00000000">
        <w:br w:type="page"/>
      </w:r>
      <w:r w:rsidDel="00000000" w:rsidR="00000000" w:rsidRPr="00000000">
        <w:rPr>
          <w:rtl w:val="0"/>
        </w:rPr>
      </w:r>
    </w:p>
    <w:p w:rsidR="00000000" w:rsidDel="00000000" w:rsidP="00000000" w:rsidRDefault="00000000" w:rsidRPr="00000000" w14:paraId="00000162">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References</w:t>
      </w:r>
      <w:r w:rsidDel="00000000" w:rsidR="00000000" w:rsidRPr="00000000">
        <w:rPr>
          <w:rtl w:val="0"/>
        </w:rPr>
      </w:r>
    </w:p>
    <w:p w:rsidR="00000000" w:rsidDel="00000000" w:rsidP="00000000" w:rsidRDefault="00000000" w:rsidRPr="00000000" w14:paraId="00000163">
      <w:pPr>
        <w:spacing w:after="80" w:line="360" w:lineRule="auto"/>
        <w:ind w:left="720" w:hanging="720"/>
        <w:rPr/>
      </w:pPr>
      <w:r w:rsidDel="00000000" w:rsidR="00000000" w:rsidRPr="00000000">
        <w:rPr>
          <w:rFonts w:ascii="Arial" w:cs="Arial" w:eastAsia="Arial" w:hAnsi="Arial"/>
          <w:sz w:val="24"/>
          <w:szCs w:val="24"/>
          <w:rtl w:val="0"/>
        </w:rPr>
        <w:t xml:space="preserve">Arnold, G. (2019) Corporate Financial Management. 6th edn. Harlow: Pearson Education Limited. Available at: https://www.pearson.com/en-gb/subject-catalog/p/corporate-financial-management/P200000003754 (Accessed: 12 April 2026).</w:t>
      </w:r>
      <w:r w:rsidDel="00000000" w:rsidR="00000000" w:rsidRPr="00000000">
        <w:rPr>
          <w:rtl w:val="0"/>
        </w:rPr>
      </w:r>
    </w:p>
    <w:p w:rsidR="00000000" w:rsidDel="00000000" w:rsidP="00000000" w:rsidRDefault="00000000" w:rsidRPr="00000000" w14:paraId="00000164">
      <w:pPr>
        <w:spacing w:after="80" w:line="360" w:lineRule="auto"/>
        <w:ind w:left="720" w:hanging="720"/>
        <w:rPr/>
      </w:pPr>
      <w:r w:rsidDel="00000000" w:rsidR="00000000" w:rsidRPr="00000000">
        <w:rPr>
          <w:rFonts w:ascii="Arial" w:cs="Arial" w:eastAsia="Arial" w:hAnsi="Arial"/>
          <w:sz w:val="24"/>
          <w:szCs w:val="24"/>
          <w:rtl w:val="0"/>
        </w:rPr>
        <w:t xml:space="preserve">Atrill, P. (2020) Financial Management for Decision Makers. 9th edn. Harlow: Pearson Education Limited. Available at: https://www.pearson.com/en-gb/subject-catalog/p/financial-management-for-decision-makers/P200000003738 (Accessed: 12 April 2026).</w:t>
      </w:r>
      <w:r w:rsidDel="00000000" w:rsidR="00000000" w:rsidRPr="00000000">
        <w:rPr>
          <w:rtl w:val="0"/>
        </w:rPr>
      </w:r>
    </w:p>
    <w:p w:rsidR="00000000" w:rsidDel="00000000" w:rsidP="00000000" w:rsidRDefault="00000000" w:rsidRPr="00000000" w14:paraId="00000165">
      <w:pPr>
        <w:spacing w:after="80" w:line="360" w:lineRule="auto"/>
        <w:ind w:left="720" w:hanging="720"/>
        <w:rPr/>
      </w:pPr>
      <w:r w:rsidDel="00000000" w:rsidR="00000000" w:rsidRPr="00000000">
        <w:rPr>
          <w:rFonts w:ascii="Arial" w:cs="Arial" w:eastAsia="Arial" w:hAnsi="Arial"/>
          <w:sz w:val="24"/>
          <w:szCs w:val="24"/>
          <w:rtl w:val="0"/>
        </w:rPr>
        <w:t xml:space="preserve">Brealey, R.A., Myers, S.C. and Allen, F. (2020) Principles of Corporate Finance. 13th edn. New York: McGraw-Hill Education. Available at: https://www.mheducation.com/highered/product/principles-corporate-finance-brealey-myers/M9781260013900.html (Accessed: 12 April 2026).</w:t>
      </w:r>
      <w:r w:rsidDel="00000000" w:rsidR="00000000" w:rsidRPr="00000000">
        <w:rPr>
          <w:rtl w:val="0"/>
        </w:rPr>
      </w:r>
    </w:p>
    <w:p w:rsidR="00000000" w:rsidDel="00000000" w:rsidP="00000000" w:rsidRDefault="00000000" w:rsidRPr="00000000" w14:paraId="00000166">
      <w:pPr>
        <w:spacing w:after="80" w:line="360" w:lineRule="auto"/>
        <w:ind w:left="720" w:hanging="720"/>
        <w:rPr/>
      </w:pPr>
      <w:r w:rsidDel="00000000" w:rsidR="00000000" w:rsidRPr="00000000">
        <w:rPr>
          <w:rFonts w:ascii="Arial" w:cs="Arial" w:eastAsia="Arial" w:hAnsi="Arial"/>
          <w:sz w:val="24"/>
          <w:szCs w:val="24"/>
          <w:rtl w:val="0"/>
        </w:rPr>
        <w:t xml:space="preserve">Christopher, M. (2016) Logistics and Supply Chain Management. 5th edn. Harlow: Pearson Education Limited. Available at: https://www.pearson.com/en-gb/subject-catalog/p/logistics-supply-chain-management/P200000003656 (Accessed: 12 April 2026).</w:t>
      </w:r>
      <w:r w:rsidDel="00000000" w:rsidR="00000000" w:rsidRPr="00000000">
        <w:rPr>
          <w:rtl w:val="0"/>
        </w:rPr>
      </w:r>
    </w:p>
    <w:p w:rsidR="00000000" w:rsidDel="00000000" w:rsidP="00000000" w:rsidRDefault="00000000" w:rsidRPr="00000000" w14:paraId="00000167">
      <w:pPr>
        <w:spacing w:after="80" w:line="360" w:lineRule="auto"/>
        <w:ind w:left="720" w:hanging="720"/>
        <w:rPr/>
      </w:pPr>
      <w:r w:rsidDel="00000000" w:rsidR="00000000" w:rsidRPr="00000000">
        <w:rPr>
          <w:rFonts w:ascii="Arial" w:cs="Arial" w:eastAsia="Arial" w:hAnsi="Arial"/>
          <w:sz w:val="24"/>
          <w:szCs w:val="24"/>
          <w:rtl w:val="0"/>
        </w:rPr>
        <w:t xml:space="preserve">Drury, C. (2018) Management and Cost Accounting. 10th edn. Andover: Cengage Learning EMEA. Available at: https://www.cengage.co.uk/books/9781473748873 (Accessed: 12 April 2026).</w:t>
      </w:r>
      <w:r w:rsidDel="00000000" w:rsidR="00000000" w:rsidRPr="00000000">
        <w:rPr>
          <w:rtl w:val="0"/>
        </w:rPr>
      </w:r>
    </w:p>
    <w:p w:rsidR="00000000" w:rsidDel="00000000" w:rsidP="00000000" w:rsidRDefault="00000000" w:rsidRPr="00000000" w14:paraId="00000168">
      <w:pPr>
        <w:spacing w:after="80" w:line="360" w:lineRule="auto"/>
        <w:ind w:left="720" w:hanging="720"/>
        <w:rPr/>
      </w:pPr>
      <w:r w:rsidDel="00000000" w:rsidR="00000000" w:rsidRPr="00000000">
        <w:rPr>
          <w:rFonts w:ascii="Arial" w:cs="Arial" w:eastAsia="Arial" w:hAnsi="Arial"/>
          <w:sz w:val="24"/>
          <w:szCs w:val="24"/>
          <w:rtl w:val="0"/>
        </w:rPr>
        <w:t xml:space="preserve">Eccles, R.G. and Klimenko, S. (2019) 'The investor revolution', Harvard Business Review, 97(3), pp. 106-116. Available at: https://hbr.org/2019/05/the-investor-revolution (Accessed: 12 April 2026).</w:t>
      </w:r>
      <w:r w:rsidDel="00000000" w:rsidR="00000000" w:rsidRPr="00000000">
        <w:rPr>
          <w:rtl w:val="0"/>
        </w:rPr>
      </w:r>
    </w:p>
    <w:p w:rsidR="00000000" w:rsidDel="00000000" w:rsidP="00000000" w:rsidRDefault="00000000" w:rsidRPr="00000000" w14:paraId="00000169">
      <w:pPr>
        <w:spacing w:after="80" w:line="360" w:lineRule="auto"/>
        <w:ind w:left="720" w:hanging="720"/>
        <w:rPr/>
      </w:pPr>
      <w:r w:rsidDel="00000000" w:rsidR="00000000" w:rsidRPr="00000000">
        <w:rPr>
          <w:rFonts w:ascii="Arial" w:cs="Arial" w:eastAsia="Arial" w:hAnsi="Arial"/>
          <w:sz w:val="24"/>
          <w:szCs w:val="24"/>
          <w:rtl w:val="0"/>
        </w:rPr>
        <w:t xml:space="preserve">European Environment Agency (2023) CO2 performance of new passenger cars in Europe. [online] Available at: https://www.eea.europa.eu/en/analysis/indicators/co2-performance-of-new-passenger (Accessed: 12 April 2026).</w:t>
      </w:r>
      <w:r w:rsidDel="00000000" w:rsidR="00000000" w:rsidRPr="00000000">
        <w:rPr>
          <w:rtl w:val="0"/>
        </w:rPr>
      </w:r>
    </w:p>
    <w:p w:rsidR="00000000" w:rsidDel="00000000" w:rsidP="00000000" w:rsidRDefault="00000000" w:rsidRPr="00000000" w14:paraId="0000016A">
      <w:pPr>
        <w:spacing w:after="80" w:line="360" w:lineRule="auto"/>
        <w:ind w:left="720" w:hanging="720"/>
        <w:rPr/>
      </w:pPr>
      <w:r w:rsidDel="00000000" w:rsidR="00000000" w:rsidRPr="00000000">
        <w:rPr>
          <w:rFonts w:ascii="Arial" w:cs="Arial" w:eastAsia="Arial" w:hAnsi="Arial"/>
          <w:sz w:val="24"/>
          <w:szCs w:val="24"/>
          <w:rtl w:val="0"/>
        </w:rPr>
        <w:t xml:space="preserve">Ewing, J. (2024) 'Volkswagen to close plants and cut thousands of jobs in Germany', The New York Times, 28 October. Available at: https://www.nytimes.com/2024/10/28/business/volkswagen-plant-closings-germany.html (Accessed: 12 April 2026).</w:t>
      </w:r>
      <w:r w:rsidDel="00000000" w:rsidR="00000000" w:rsidRPr="00000000">
        <w:rPr>
          <w:rtl w:val="0"/>
        </w:rPr>
      </w:r>
    </w:p>
    <w:p w:rsidR="00000000" w:rsidDel="00000000" w:rsidP="00000000" w:rsidRDefault="00000000" w:rsidRPr="00000000" w14:paraId="0000016B">
      <w:pPr>
        <w:spacing w:after="80" w:line="360" w:lineRule="auto"/>
        <w:ind w:left="720" w:hanging="720"/>
        <w:rPr/>
      </w:pPr>
      <w:r w:rsidDel="00000000" w:rsidR="00000000" w:rsidRPr="00000000">
        <w:rPr>
          <w:rFonts w:ascii="Arial" w:cs="Arial" w:eastAsia="Arial" w:hAnsi="Arial"/>
          <w:sz w:val="24"/>
          <w:szCs w:val="24"/>
          <w:rtl w:val="0"/>
        </w:rPr>
        <w:t xml:space="preserve">IEA (2025) Trends in electric car markets - Global EV Outlook 2025. [online] IEA. Available at: https://www.iea.org/reports/global-ev-outlook-2025/trends-in-electric-car-markets-2 (Accessed: 12 April 2026).</w:t>
      </w:r>
      <w:r w:rsidDel="00000000" w:rsidR="00000000" w:rsidRPr="00000000">
        <w:rPr>
          <w:rtl w:val="0"/>
        </w:rPr>
      </w:r>
    </w:p>
    <w:p w:rsidR="00000000" w:rsidDel="00000000" w:rsidP="00000000" w:rsidRDefault="00000000" w:rsidRPr="00000000" w14:paraId="0000016C">
      <w:pPr>
        <w:spacing w:after="80" w:line="360" w:lineRule="auto"/>
        <w:ind w:left="720" w:hanging="720"/>
        <w:rPr/>
      </w:pPr>
      <w:r w:rsidDel="00000000" w:rsidR="00000000" w:rsidRPr="00000000">
        <w:rPr>
          <w:rFonts w:ascii="Arial" w:cs="Arial" w:eastAsia="Arial" w:hAnsi="Arial"/>
          <w:sz w:val="24"/>
          <w:szCs w:val="24"/>
          <w:rtl w:val="0"/>
        </w:rPr>
        <w:t xml:space="preserve">Jensen, M.C. (1986) 'Agency costs of free cash flow, corporate finance, and takeovers', American Economic Review, 76(2), pp. 323-329. Available at: https://www.jstor.org/stable/1818789 (Accessed: 12 April 2026).</w:t>
      </w:r>
      <w:r w:rsidDel="00000000" w:rsidR="00000000" w:rsidRPr="00000000">
        <w:rPr>
          <w:rtl w:val="0"/>
        </w:rPr>
      </w:r>
    </w:p>
    <w:p w:rsidR="00000000" w:rsidDel="00000000" w:rsidP="00000000" w:rsidRDefault="00000000" w:rsidRPr="00000000" w14:paraId="0000016D">
      <w:pPr>
        <w:spacing w:after="80" w:line="360" w:lineRule="auto"/>
        <w:ind w:left="720" w:hanging="720"/>
        <w:rPr/>
      </w:pPr>
      <w:r w:rsidDel="00000000" w:rsidR="00000000" w:rsidRPr="00000000">
        <w:rPr>
          <w:rFonts w:ascii="Arial" w:cs="Arial" w:eastAsia="Arial" w:hAnsi="Arial"/>
          <w:sz w:val="24"/>
          <w:szCs w:val="24"/>
          <w:rtl w:val="0"/>
        </w:rPr>
        <w:t xml:space="preserve">Madura, J. (2018) International Financial Management. 13th edn. Boston: Cengage Learning. Available at: https://www.cengage.com/c/international-financial-management-13e-madura (Accessed: 12 April 2026).</w:t>
      </w:r>
      <w:r w:rsidDel="00000000" w:rsidR="00000000" w:rsidRPr="00000000">
        <w:rPr>
          <w:rtl w:val="0"/>
        </w:rPr>
      </w:r>
    </w:p>
    <w:p w:rsidR="00000000" w:rsidDel="00000000" w:rsidP="00000000" w:rsidRDefault="00000000" w:rsidRPr="00000000" w14:paraId="0000016E">
      <w:pPr>
        <w:spacing w:after="80" w:line="360" w:lineRule="auto"/>
        <w:ind w:left="720" w:hanging="720"/>
        <w:rPr/>
      </w:pPr>
      <w:r w:rsidDel="00000000" w:rsidR="00000000" w:rsidRPr="00000000">
        <w:rPr>
          <w:rFonts w:ascii="Arial" w:cs="Arial" w:eastAsia="Arial" w:hAnsi="Arial"/>
          <w:sz w:val="24"/>
          <w:szCs w:val="24"/>
          <w:rtl w:val="0"/>
        </w:rPr>
        <w:t xml:space="preserve">McLaney, E. (2017) Business Finance: Theory and Practice. 11th edn. Harlow: Pearson Education Limited. Available at: https://www.pearson.com/en-gb/subject-catalog/p/business-finance/P200000003742 (Accessed: 12 April 2026).</w:t>
      </w:r>
      <w:r w:rsidDel="00000000" w:rsidR="00000000" w:rsidRPr="00000000">
        <w:rPr>
          <w:rtl w:val="0"/>
        </w:rPr>
      </w:r>
    </w:p>
    <w:p w:rsidR="00000000" w:rsidDel="00000000" w:rsidP="00000000" w:rsidRDefault="00000000" w:rsidRPr="00000000" w14:paraId="0000016F">
      <w:pPr>
        <w:spacing w:after="80" w:line="360" w:lineRule="auto"/>
        <w:ind w:left="720" w:hanging="720"/>
        <w:rPr/>
      </w:pPr>
      <w:r w:rsidDel="00000000" w:rsidR="00000000" w:rsidRPr="00000000">
        <w:rPr>
          <w:rFonts w:ascii="Arial" w:cs="Arial" w:eastAsia="Arial" w:hAnsi="Arial"/>
          <w:sz w:val="24"/>
          <w:szCs w:val="24"/>
          <w:rtl w:val="0"/>
        </w:rPr>
        <w:t xml:space="preserve">Penman, S.H. (2013) Financial Statement Analysis and Security Valuation. 5th edn. New York: McGraw-Hill Education. Available at: https://www.mheducation.com/highered/product/financial-statement-analysis-security-valuation-penman/M9780078025310.html (Accessed: 12 April 2026).</w:t>
      </w:r>
      <w:r w:rsidDel="00000000" w:rsidR="00000000" w:rsidRPr="00000000">
        <w:rPr>
          <w:rtl w:val="0"/>
        </w:rPr>
      </w:r>
    </w:p>
    <w:p w:rsidR="00000000" w:rsidDel="00000000" w:rsidP="00000000" w:rsidRDefault="00000000" w:rsidRPr="00000000" w14:paraId="00000170">
      <w:pPr>
        <w:spacing w:after="80" w:line="360" w:lineRule="auto"/>
        <w:ind w:left="720" w:hanging="720"/>
        <w:rPr/>
      </w:pPr>
      <w:r w:rsidDel="00000000" w:rsidR="00000000" w:rsidRPr="00000000">
        <w:rPr>
          <w:rFonts w:ascii="Arial" w:cs="Arial" w:eastAsia="Arial" w:hAnsi="Arial"/>
          <w:sz w:val="24"/>
          <w:szCs w:val="24"/>
          <w:rtl w:val="0"/>
        </w:rPr>
        <w:t xml:space="preserve">Pike, R., Neale, B. and Linsley, P. (2018) Corporate Finance and Investment: Decisions and Strategies. 9th edn. Harlow: Pearson Education Limited. Available at: https://www.pearson.com/en-gb/subject-catalog/p/corporate-finance-and-investment/P200000003740 (Accessed: 12 April 2026).</w:t>
      </w:r>
      <w:r w:rsidDel="00000000" w:rsidR="00000000" w:rsidRPr="00000000">
        <w:rPr>
          <w:rtl w:val="0"/>
        </w:rPr>
      </w:r>
    </w:p>
    <w:p w:rsidR="00000000" w:rsidDel="00000000" w:rsidP="00000000" w:rsidRDefault="00000000" w:rsidRPr="00000000" w14:paraId="00000171">
      <w:pPr>
        <w:spacing w:after="80" w:line="360" w:lineRule="auto"/>
        <w:ind w:left="720" w:hanging="720"/>
        <w:rPr/>
      </w:pPr>
      <w:r w:rsidDel="00000000" w:rsidR="00000000" w:rsidRPr="00000000">
        <w:rPr>
          <w:rFonts w:ascii="Arial" w:cs="Arial" w:eastAsia="Arial" w:hAnsi="Arial"/>
          <w:sz w:val="24"/>
          <w:szCs w:val="24"/>
          <w:rtl w:val="0"/>
        </w:rPr>
        <w:t xml:space="preserve">Volkswagen AG (2026) Annual Report 2025. Wolfsburg: Volkswagen AG. Available at: https://www.volkswagen-group.com/en/annual-report-2025 (Accessed: 12 April 2026).</w:t>
      </w:r>
      <w:r w:rsidDel="00000000" w:rsidR="00000000" w:rsidRPr="00000000">
        <w:rPr>
          <w:rtl w:val="0"/>
        </w:rPr>
      </w:r>
    </w:p>
    <w:p w:rsidR="00000000" w:rsidDel="00000000" w:rsidP="00000000" w:rsidRDefault="00000000" w:rsidRPr="00000000" w14:paraId="00000172">
      <w:pPr>
        <w:spacing w:after="80" w:line="360" w:lineRule="auto"/>
        <w:ind w:left="720" w:hanging="720"/>
        <w:rPr/>
      </w:pPr>
      <w:r w:rsidDel="00000000" w:rsidR="00000000" w:rsidRPr="00000000">
        <w:rPr>
          <w:rFonts w:ascii="Arial" w:cs="Arial" w:eastAsia="Arial" w:hAnsi="Arial"/>
          <w:sz w:val="24"/>
          <w:szCs w:val="24"/>
          <w:rtl w:val="0"/>
        </w:rPr>
        <w:t xml:space="preserve">Watson, D. and Head, A. (2019) Corporate Finance: Principles and Practice. 8th edn. Harlow: Pearson Education Limited. Available at: https://www.pearson.com/en-gb/subject-catalog/p/corporate-finance-principles-and-practice/P200000003744 (Accessed: 12 April 2026).</w:t>
      </w:r>
      <w:r w:rsidDel="00000000" w:rsidR="00000000" w:rsidRPr="00000000">
        <w:rPr>
          <w:rtl w:val="0"/>
        </w:rPr>
      </w:r>
    </w:p>
    <w:p w:rsidR="00000000" w:rsidDel="00000000" w:rsidP="00000000" w:rsidRDefault="00000000" w:rsidRPr="00000000" w14:paraId="00000173">
      <w:pPr>
        <w:spacing w:after="80" w:line="360" w:lineRule="auto"/>
        <w:ind w:left="720" w:hanging="720"/>
        <w:rPr/>
      </w:pPr>
      <w:r w:rsidDel="00000000" w:rsidR="00000000" w:rsidRPr="00000000">
        <w:rPr>
          <w:rFonts w:ascii="Arial" w:cs="Arial" w:eastAsia="Arial" w:hAnsi="Arial"/>
          <w:sz w:val="24"/>
          <w:szCs w:val="24"/>
          <w:rtl w:val="0"/>
        </w:rPr>
        <w:t xml:space="preserve">Whittington, R., Angwin, D., Regner, P., Johnson, G. and Scholes, K. (2023) Exploring Strategy: Text and Cases. 13th edn. Harlow: Pearson Education Limited. Available at: https://www.pearson.com/en-gb/subject-catalog/p/exploring-strategy-text-and-cases/P200000005820 (Accessed: 12 April 2026).</w:t>
      </w:r>
      <w:r w:rsidDel="00000000" w:rsidR="00000000" w:rsidRPr="00000000">
        <w:rPr>
          <w:rtl w:val="0"/>
        </w:rPr>
      </w:r>
    </w:p>
    <w:p w:rsidR="00000000" w:rsidDel="00000000" w:rsidP="00000000" w:rsidRDefault="00000000" w:rsidRPr="00000000" w14:paraId="00000174">
      <w:pPr>
        <w:rPr/>
      </w:pPr>
      <w:r w:rsidDel="00000000" w:rsidR="00000000" w:rsidRPr="00000000">
        <w:br w:type="page"/>
      </w:r>
      <w:r w:rsidDel="00000000" w:rsidR="00000000" w:rsidRPr="00000000">
        <w:rPr>
          <w:rtl w:val="0"/>
        </w:rPr>
      </w:r>
    </w:p>
    <w:p w:rsidR="00000000" w:rsidDel="00000000" w:rsidP="00000000" w:rsidRDefault="00000000" w:rsidRPr="00000000" w14:paraId="00000175">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Appendices</w:t>
      </w:r>
      <w:r w:rsidDel="00000000" w:rsidR="00000000" w:rsidRPr="00000000">
        <w:rPr>
          <w:rtl w:val="0"/>
        </w:rPr>
      </w:r>
    </w:p>
    <w:p w:rsidR="00000000" w:rsidDel="00000000" w:rsidP="00000000" w:rsidRDefault="00000000" w:rsidRPr="00000000" w14:paraId="00000176">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Appendix A: Key Ratio Formulas</w:t>
      </w:r>
      <w:r w:rsidDel="00000000" w:rsidR="00000000" w:rsidRPr="00000000">
        <w:rPr>
          <w:rtl w:val="0"/>
        </w:rPr>
      </w:r>
    </w:p>
    <w:p w:rsidR="00000000" w:rsidDel="00000000" w:rsidP="00000000" w:rsidRDefault="00000000" w:rsidRPr="00000000" w14:paraId="00000177">
      <w:pPr>
        <w:spacing w:after="100" w:line="360" w:lineRule="auto"/>
        <w:jc w:val="both"/>
        <w:rPr/>
      </w:pPr>
      <w:r w:rsidDel="00000000" w:rsidR="00000000" w:rsidRPr="00000000">
        <w:rPr>
          <w:rFonts w:ascii="Arial" w:cs="Arial" w:eastAsia="Arial" w:hAnsi="Arial"/>
          <w:sz w:val="24"/>
          <w:szCs w:val="24"/>
          <w:rtl w:val="0"/>
        </w:rPr>
        <w:t xml:space="preserve">Gross Margin = (Revenue - Cost of Sales) / Revenue x 100</w:t>
      </w:r>
      <w:r w:rsidDel="00000000" w:rsidR="00000000" w:rsidRPr="00000000">
        <w:rPr>
          <w:rtl w:val="0"/>
        </w:rPr>
      </w:r>
    </w:p>
    <w:p w:rsidR="00000000" w:rsidDel="00000000" w:rsidP="00000000" w:rsidRDefault="00000000" w:rsidRPr="00000000" w14:paraId="00000178">
      <w:pPr>
        <w:spacing w:after="100" w:line="360" w:lineRule="auto"/>
        <w:jc w:val="both"/>
        <w:rPr/>
      </w:pPr>
      <w:r w:rsidDel="00000000" w:rsidR="00000000" w:rsidRPr="00000000">
        <w:rPr>
          <w:rFonts w:ascii="Arial" w:cs="Arial" w:eastAsia="Arial" w:hAnsi="Arial"/>
          <w:sz w:val="24"/>
          <w:szCs w:val="24"/>
          <w:rtl w:val="0"/>
        </w:rPr>
        <w:t xml:space="preserve">Operating Margin = Operating Result / Revenue x 100</w:t>
      </w:r>
      <w:r w:rsidDel="00000000" w:rsidR="00000000" w:rsidRPr="00000000">
        <w:rPr>
          <w:rtl w:val="0"/>
        </w:rPr>
      </w:r>
    </w:p>
    <w:p w:rsidR="00000000" w:rsidDel="00000000" w:rsidP="00000000" w:rsidRDefault="00000000" w:rsidRPr="00000000" w14:paraId="00000179">
      <w:pPr>
        <w:spacing w:after="100" w:line="360" w:lineRule="auto"/>
        <w:jc w:val="both"/>
        <w:rPr/>
      </w:pPr>
      <w:r w:rsidDel="00000000" w:rsidR="00000000" w:rsidRPr="00000000">
        <w:rPr>
          <w:rFonts w:ascii="Arial" w:cs="Arial" w:eastAsia="Arial" w:hAnsi="Arial"/>
          <w:sz w:val="24"/>
          <w:szCs w:val="24"/>
          <w:rtl w:val="0"/>
        </w:rPr>
        <w:t xml:space="preserve">ROE = Earnings After Tax / Total Equity x 100</w:t>
      </w:r>
      <w:r w:rsidDel="00000000" w:rsidR="00000000" w:rsidRPr="00000000">
        <w:rPr>
          <w:rtl w:val="0"/>
        </w:rPr>
      </w:r>
    </w:p>
    <w:p w:rsidR="00000000" w:rsidDel="00000000" w:rsidP="00000000" w:rsidRDefault="00000000" w:rsidRPr="00000000" w14:paraId="0000017A">
      <w:pPr>
        <w:spacing w:after="100" w:line="360" w:lineRule="auto"/>
        <w:jc w:val="both"/>
        <w:rPr/>
      </w:pPr>
      <w:r w:rsidDel="00000000" w:rsidR="00000000" w:rsidRPr="00000000">
        <w:rPr>
          <w:rFonts w:ascii="Arial" w:cs="Arial" w:eastAsia="Arial" w:hAnsi="Arial"/>
          <w:sz w:val="24"/>
          <w:szCs w:val="24"/>
          <w:rtl w:val="0"/>
        </w:rPr>
        <w:t xml:space="preserve">Current Ratio = Current Assets / Current Liabilities</w:t>
      </w:r>
      <w:r w:rsidDel="00000000" w:rsidR="00000000" w:rsidRPr="00000000">
        <w:rPr>
          <w:rtl w:val="0"/>
        </w:rPr>
      </w:r>
    </w:p>
    <w:p w:rsidR="00000000" w:rsidDel="00000000" w:rsidP="00000000" w:rsidRDefault="00000000" w:rsidRPr="00000000" w14:paraId="0000017B">
      <w:pPr>
        <w:spacing w:after="100" w:line="360" w:lineRule="auto"/>
        <w:jc w:val="both"/>
        <w:rPr/>
      </w:pPr>
      <w:r w:rsidDel="00000000" w:rsidR="00000000" w:rsidRPr="00000000">
        <w:rPr>
          <w:rFonts w:ascii="Arial" w:cs="Arial" w:eastAsia="Arial" w:hAnsi="Arial"/>
          <w:sz w:val="24"/>
          <w:szCs w:val="24"/>
          <w:rtl w:val="0"/>
        </w:rPr>
        <w:t xml:space="preserve">Debt-to-Equity = Total Liabilities / Total Equity</w:t>
      </w:r>
      <w:r w:rsidDel="00000000" w:rsidR="00000000" w:rsidRPr="00000000">
        <w:rPr>
          <w:rtl w:val="0"/>
        </w:rPr>
      </w:r>
    </w:p>
    <w:p w:rsidR="00000000" w:rsidDel="00000000" w:rsidP="00000000" w:rsidRDefault="00000000" w:rsidRPr="00000000" w14:paraId="0000017C">
      <w:pPr>
        <w:spacing w:after="100" w:line="360" w:lineRule="auto"/>
        <w:jc w:val="both"/>
        <w:rPr/>
      </w:pPr>
      <w:r w:rsidDel="00000000" w:rsidR="00000000" w:rsidRPr="00000000">
        <w:rPr>
          <w:rFonts w:ascii="Arial" w:cs="Arial" w:eastAsia="Arial" w:hAnsi="Arial"/>
          <w:sz w:val="24"/>
          <w:szCs w:val="24"/>
          <w:rtl w:val="0"/>
        </w:rPr>
        <w:t xml:space="preserve">Inventory Days = (Inventories / Cost of Sales) x 365</w:t>
      </w:r>
      <w:r w:rsidDel="00000000" w:rsidR="00000000" w:rsidRPr="00000000">
        <w:rPr>
          <w:rtl w:val="0"/>
        </w:rPr>
      </w:r>
    </w:p>
    <w:p w:rsidR="00000000" w:rsidDel="00000000" w:rsidP="00000000" w:rsidRDefault="00000000" w:rsidRPr="00000000" w14:paraId="0000017D">
      <w:pPr>
        <w:spacing w:after="100" w:line="360" w:lineRule="auto"/>
        <w:jc w:val="both"/>
        <w:rPr/>
      </w:pPr>
      <w:r w:rsidDel="00000000" w:rsidR="00000000" w:rsidRPr="00000000">
        <w:rPr>
          <w:rFonts w:ascii="Arial" w:cs="Arial" w:eastAsia="Arial" w:hAnsi="Arial"/>
          <w:sz w:val="24"/>
          <w:szCs w:val="24"/>
          <w:rtl w:val="0"/>
        </w:rPr>
        <w:t xml:space="preserve">Receivables Days = (Trade Receivables / Revenue) x 365</w:t>
      </w:r>
      <w:r w:rsidDel="00000000" w:rsidR="00000000" w:rsidRPr="00000000">
        <w:rPr>
          <w:rtl w:val="0"/>
        </w:rPr>
      </w:r>
    </w:p>
    <w:p w:rsidR="00000000" w:rsidDel="00000000" w:rsidP="00000000" w:rsidRDefault="00000000" w:rsidRPr="00000000" w14:paraId="0000017E">
      <w:pPr>
        <w:spacing w:after="100" w:line="360" w:lineRule="auto"/>
        <w:jc w:val="both"/>
        <w:rPr/>
      </w:pPr>
      <w:r w:rsidDel="00000000" w:rsidR="00000000" w:rsidRPr="00000000">
        <w:rPr>
          <w:rFonts w:ascii="Arial" w:cs="Arial" w:eastAsia="Arial" w:hAnsi="Arial"/>
          <w:sz w:val="24"/>
          <w:szCs w:val="24"/>
          <w:rtl w:val="0"/>
        </w:rPr>
        <w:t xml:space="preserve">Payables Days = (Trade Payables / Cost of Sales) x 365</w:t>
      </w:r>
      <w:r w:rsidDel="00000000" w:rsidR="00000000" w:rsidRPr="00000000">
        <w:rPr>
          <w:rtl w:val="0"/>
        </w:rPr>
      </w:r>
    </w:p>
    <w:p w:rsidR="00000000" w:rsidDel="00000000" w:rsidP="00000000" w:rsidRDefault="00000000" w:rsidRPr="00000000" w14:paraId="0000017F">
      <w:pPr>
        <w:spacing w:after="100" w:line="360" w:lineRule="auto"/>
        <w:jc w:val="both"/>
        <w:rPr/>
      </w:pPr>
      <w:r w:rsidDel="00000000" w:rsidR="00000000" w:rsidRPr="00000000">
        <w:rPr>
          <w:rFonts w:ascii="Arial" w:cs="Arial" w:eastAsia="Arial" w:hAnsi="Arial"/>
          <w:sz w:val="24"/>
          <w:szCs w:val="24"/>
          <w:rtl w:val="0"/>
        </w:rPr>
        <w:t xml:space="preserve">NPV = Sum of [Cash Flow / (1 + r)^t] - Initial Investment</w:t>
      </w:r>
      <w:r w:rsidDel="00000000" w:rsidR="00000000" w:rsidRPr="00000000">
        <w:rPr>
          <w:rtl w:val="0"/>
        </w:rPr>
      </w:r>
    </w:p>
    <w:p w:rsidR="00000000" w:rsidDel="00000000" w:rsidP="00000000" w:rsidRDefault="00000000" w:rsidRPr="00000000" w14:paraId="00000180">
      <w:pPr>
        <w:spacing w:after="100" w:line="360" w:lineRule="auto"/>
        <w:jc w:val="both"/>
        <w:rPr/>
      </w:pPr>
      <w:r w:rsidDel="00000000" w:rsidR="00000000" w:rsidRPr="00000000">
        <w:rPr>
          <w:rFonts w:ascii="Arial" w:cs="Arial" w:eastAsia="Arial" w:hAnsi="Arial"/>
          <w:sz w:val="24"/>
          <w:szCs w:val="24"/>
          <w:rtl w:val="0"/>
        </w:rPr>
        <w:t xml:space="preserve">PI = PV of Future Cash Flows / Initial Investment</w:t>
      </w:r>
      <w:r w:rsidDel="00000000" w:rsidR="00000000" w:rsidRPr="00000000">
        <w:rPr>
          <w:rtl w:val="0"/>
        </w:rPr>
      </w:r>
    </w:p>
    <w:p w:rsidR="00000000" w:rsidDel="00000000" w:rsidP="00000000" w:rsidRDefault="00000000" w:rsidRPr="00000000" w14:paraId="00000181">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Appendix B: Discount Factors at 10%</w:t>
      </w:r>
      <w:r w:rsidDel="00000000" w:rsidR="00000000" w:rsidRPr="00000000">
        <w:rPr>
          <w:rtl w:val="0"/>
        </w:rPr>
      </w:r>
    </w:p>
    <w:p w:rsidR="00000000" w:rsidDel="00000000" w:rsidP="00000000" w:rsidRDefault="00000000" w:rsidRPr="00000000" w14:paraId="00000182">
      <w:pPr>
        <w:spacing w:after="100" w:line="360" w:lineRule="auto"/>
        <w:jc w:val="both"/>
        <w:rPr/>
      </w:pPr>
      <w:r w:rsidDel="00000000" w:rsidR="00000000" w:rsidRPr="00000000">
        <w:rPr>
          <w:rFonts w:ascii="Arial" w:cs="Arial" w:eastAsia="Arial" w:hAnsi="Arial"/>
          <w:sz w:val="24"/>
          <w:szCs w:val="24"/>
          <w:rtl w:val="0"/>
        </w:rPr>
        <w:t xml:space="preserve">Year 1 = 0.9091, Year 2 = 0.8264, Year 3 = 0.7513, Year 4 = 0.6830, Year 5 = 0.6209. Cumulative annuity factor (5 years) = 3.7908.</w:t>
      </w:r>
      <w:r w:rsidDel="00000000" w:rsidR="00000000" w:rsidRPr="00000000">
        <w:rPr>
          <w:rtl w:val="0"/>
        </w:rPr>
      </w:r>
    </w:p>
    <w:sectPr>
      <w:headerReference r:id="rId12" w:type="default"/>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4">
    <w:pPr>
      <w:jc w:val="center"/>
      <w:rPr/>
    </w:pPr>
    <w:r w:rsidDel="00000000" w:rsidR="00000000" w:rsidRPr="00000000">
      <w:rPr>
        <w:rFonts w:ascii="Arial" w:cs="Arial" w:eastAsia="Arial" w:hAnsi="Arial"/>
        <w:sz w:val="18"/>
        <w:szCs w:val="18"/>
        <w:rtl w:val="0"/>
      </w:rPr>
      <w:t xml:space="preserve">Page </w:t>
    </w:r>
    <w:r w:rsidDel="00000000" w:rsidR="00000000" w:rsidRPr="00000000">
      <w:rPr>
        <w:rFonts w:ascii="Arial" w:cs="Arial" w:eastAsia="Arial" w:hAnsi="Arial"/>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3">
    <w:pPr>
      <w:jc w:val="right"/>
      <w:rPr/>
    </w:pPr>
    <w:r w:rsidDel="00000000" w:rsidR="00000000" w:rsidRPr="00000000">
      <w:rPr>
        <w:rFonts w:ascii="Arial" w:cs="Arial" w:eastAsia="Arial" w:hAnsi="Arial"/>
        <w:i w:val="1"/>
        <w:iCs w:val="1"/>
        <w:color w:val="999999"/>
        <w:sz w:val="18"/>
        <w:szCs w:val="18"/>
        <w:rtl w:val="0"/>
      </w:rPr>
      <w:t xml:space="preserve">LCMB7002 | Strategic CFO Challenge | Volkswagen Group</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00" w:line="240" w:lineRule="auto"/>
      <w:ind w:left="0" w:right="0" w:firstLine="0"/>
      <w:jc w:val="left"/>
    </w:pPr>
    <w:rPr>
      <w:rFonts w:ascii="Arial" w:cs="Arial" w:eastAsia="Arial" w:hAnsi="Arial"/>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4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00" w:line="240" w:lineRule="auto"/>
      <w:ind w:left="0" w:right="0" w:firstLine="0"/>
      <w:jc w:val="left"/>
    </w:pPr>
    <w:rPr>
      <w:rFonts w:ascii="Arial" w:cs="Arial" w:eastAsia="Arial" w:hAnsi="Arial"/>
      <w:b w:val="1"/>
      <w:bCs w:val="1"/>
      <w:i w:val="0"/>
      <w:iCs w:val="0"/>
      <w:smallCaps w:val="0"/>
      <w:strike w:val="0"/>
      <w:color w:val="000000"/>
      <w:sz w:val="26"/>
      <w:szCs w:val="26"/>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000000"/>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image" Target="media/image6.jpg"/><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image" Target="media/image5.jpg"/><Relationship Id="rId7" Type="http://schemas.openxmlformats.org/officeDocument/2006/relationships/image" Target="media/image4.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