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Pr="009E7CF8" w:rsidR="001F6F7E" w:rsidP="001F6F7E" w:rsidRDefault="001F6F7E" w14:paraId="672A6659" wp14:textId="77777777">
      <w:pPr>
        <w:jc w:val="center"/>
      </w:pPr>
      <w:r>
        <w:drawing>
          <wp:inline xmlns:wp14="http://schemas.microsoft.com/office/word/2010/wordprocessingDrawing" distT="0" distB="0" distL="0" distR="0" wp14:anchorId="5524E16C" wp14:editId="02E8D177">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xmlns:wp14="http://schemas.microsoft.com/office/word/2010/wordml" w:rsidRPr="009E7CF8" w:rsidR="001F6F7E" w:rsidTr="7C7D4041" w14:paraId="11AD2DA0"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382E3B85" wp14:textId="77777777">
            <w:pPr>
              <w:spacing w:after="160" w:line="259" w:lineRule="auto"/>
              <w:rPr>
                <w:b/>
                <w:bCs/>
                <w:sz w:val="36"/>
                <w:szCs w:val="36"/>
              </w:rPr>
            </w:pPr>
            <w:r w:rsidRPr="009E7CF8">
              <w:rPr>
                <w:b/>
                <w:bCs/>
                <w:sz w:val="36"/>
                <w:szCs w:val="36"/>
              </w:rPr>
              <w:t>Student Name:</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BA3DF1" w14:paraId="3D6ABA4C" wp14:textId="77777777">
            <w:pPr>
              <w:spacing w:after="160" w:line="259" w:lineRule="auto"/>
              <w:rPr>
                <w:sz w:val="36"/>
                <w:szCs w:val="36"/>
              </w:rPr>
            </w:pPr>
            <w:r w:rsidRPr="00BA3DF1">
              <w:rPr>
                <w:sz w:val="36"/>
                <w:szCs w:val="36"/>
              </w:rPr>
              <w:t>Astha Chabhadiya</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0E559CC5" wp14:textId="77777777">
            <w:pPr>
              <w:spacing w:after="160" w:line="259" w:lineRule="auto"/>
              <w:rPr>
                <w:b/>
                <w:bCs/>
                <w:sz w:val="36"/>
                <w:szCs w:val="36"/>
              </w:rPr>
            </w:pPr>
            <w:r w:rsidRPr="009E7CF8">
              <w:rPr>
                <w:b/>
                <w:bCs/>
                <w:sz w:val="36"/>
                <w:szCs w:val="36"/>
              </w:rPr>
              <w:t>Student ID:</w:t>
            </w:r>
          </w:p>
        </w:tc>
        <w:tc>
          <w:tcPr>
            <w:tcW w:w="2297"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BA3DF1" w14:paraId="1E6646D2" wp14:textId="77777777">
            <w:pPr>
              <w:spacing w:after="160" w:line="259" w:lineRule="auto"/>
              <w:rPr>
                <w:sz w:val="36"/>
                <w:szCs w:val="36"/>
              </w:rPr>
            </w:pPr>
            <w:r w:rsidRPr="00BA3DF1">
              <w:rPr>
                <w:sz w:val="36"/>
                <w:szCs w:val="36"/>
              </w:rPr>
              <w:t>2529402</w:t>
            </w:r>
          </w:p>
        </w:tc>
      </w:tr>
      <w:tr xmlns:wp14="http://schemas.microsoft.com/office/word/2010/wordml" w:rsidRPr="009E7CF8" w:rsidR="001F6F7E" w:rsidTr="7C7D4041" w14:paraId="2FE6B103" wp14:textId="77777777">
        <w:trPr>
          <w:trHeight w:val="928"/>
        </w:trPr>
        <w:tc>
          <w:tcPr>
            <w:tcW w:w="2295" w:type="dxa"/>
            <w:tcBorders>
              <w:top w:val="single" w:color="auto" w:sz="4" w:space="0"/>
              <w:left w:val="single" w:color="auto" w:sz="4" w:space="0"/>
              <w:bottom w:val="single" w:color="auto" w:sz="4" w:space="0"/>
              <w:right w:val="single" w:color="auto" w:sz="4" w:space="0"/>
            </w:tcBorders>
            <w:tcMar/>
            <w:hideMark/>
          </w:tcPr>
          <w:sdt>
            <w:sdtPr>
              <w:id w:val="141339371"/>
              <w15:appearance w15:val="hidden"/>
              <w:tag w:val="tii-similarity-SU5URVJORVRfd3d3LmNvdXJzZWhlcm8uY29t"/>
              <w:placeholder>
                <w:docPart w:val="DefaultPlaceholder_-1854013440"/>
              </w:placeholder>
            </w:sdtPr>
            <w:sdtContent>
              <w:p w:rsidRPr="009E7CF8" w:rsidR="001F6F7E" w:rsidP="0050342E" w:rsidRDefault="001F6F7E" w14:paraId="41F3D19D" wp14:textId="77777777">
                <w:pPr>
                  <w:spacing w:after="160" w:line="259" w:lineRule="auto"/>
                  <w:rPr>
                    <w:b w:val="1"/>
                    <w:bCs w:val="1"/>
                    <w:sz w:val="36"/>
                    <w:szCs w:val="36"/>
                  </w:rPr>
                </w:pPr>
                <w:r w:rsidRPr="57F47822" w:rsidR="001F6F7E">
                  <w:rPr>
                    <w:b w:val="1"/>
                    <w:bCs w:val="1"/>
                    <w:sz w:val="36"/>
                    <w:szCs w:val="36"/>
                  </w:rPr>
                  <w:t>Programme:</w:t>
                </w:r>
              </w:p>
            </w:sdtContent>
          </w:sdt>
        </w:tc>
        <w:tc>
          <w:tcPr>
            <w:tcW w:w="6887" w:type="dxa"/>
            <w:gridSpan w:val="3"/>
            <w:tcBorders>
              <w:top w:val="single" w:color="auto" w:sz="4" w:space="0"/>
              <w:left w:val="single" w:color="auto" w:sz="4" w:space="0"/>
              <w:bottom w:val="single" w:color="auto" w:sz="4" w:space="0"/>
              <w:right w:val="single" w:color="auto" w:sz="4" w:space="0"/>
            </w:tcBorders>
            <w:tcMar/>
            <w:hideMark/>
          </w:tcPr>
          <w:sdt>
            <w:sdtPr>
              <w:id w:val="1418262724"/>
              <w15:appearance w15:val="hidden"/>
              <w:tag w:val="tii-similarity-SU5URVJORVRfd3d3LmNvdXJzZWhlcm8uY29t"/>
              <w:placeholder>
                <w:docPart w:val="DefaultPlaceholder_-1854013440"/>
              </w:placeholder>
            </w:sdtPr>
            <w:sdtContent>
              <w:p w:rsidRPr="009E7CF8" w:rsidR="001F6F7E" w:rsidP="0050342E" w:rsidRDefault="001F6F7E" w14:paraId="72AC5E33" wp14:textId="77777777">
                <w:pPr>
                  <w:spacing w:after="160" w:line="259" w:lineRule="auto"/>
                  <w:rPr>
                    <w:sz w:val="36"/>
                    <w:szCs w:val="36"/>
                  </w:rPr>
                </w:pPr>
                <w:r w:rsidRPr="57F47822" w:rsidR="001F6F7E">
                  <w:rPr>
                    <w:sz w:val="36"/>
                    <w:szCs w:val="36"/>
                  </w:rPr>
                  <w:t>Master of Business Administration</w:t>
                </w:r>
              </w:p>
            </w:sdtContent>
          </w:sdt>
        </w:tc>
      </w:tr>
      <w:tr xmlns:wp14="http://schemas.microsoft.com/office/word/2010/wordml" w:rsidRPr="009E7CF8" w:rsidR="001F6F7E" w:rsidTr="7C7D4041" w14:paraId="3B11EF0E"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sdt>
            <w:sdtPr>
              <w:id w:val="1153709558"/>
              <w15:appearance w15:val="hidden"/>
              <w:tag w:val="tii-similarity-SU5URVJORVRfd3d3LmNvdXJzZWhlcm8uY29t"/>
              <w:placeholder>
                <w:docPart w:val="DefaultPlaceholder_-1854013440"/>
              </w:placeholder>
            </w:sdtPr>
            <w:sdtContent>
              <w:p w:rsidRPr="009E7CF8" w:rsidR="001F6F7E" w:rsidP="0050342E" w:rsidRDefault="001F6F7E" w14:paraId="4637B2E8" wp14:textId="77777777">
                <w:pPr>
                  <w:spacing w:after="160" w:line="259" w:lineRule="auto"/>
                  <w:rPr>
                    <w:b w:val="1"/>
                    <w:bCs w:val="1"/>
                    <w:sz w:val="36"/>
                    <w:szCs w:val="36"/>
                  </w:rPr>
                </w:pPr>
                <w:r w:rsidRPr="57F47822" w:rsidR="001F6F7E">
                  <w:rPr>
                    <w:b w:val="1"/>
                    <w:bCs w:val="1"/>
                    <w:sz w:val="36"/>
                    <w:szCs w:val="36"/>
                  </w:rPr>
                  <w:t>Module:</w:t>
                </w:r>
              </w:p>
            </w:sdtContent>
          </w:sdt>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32DFF352" wp14:textId="77777777">
            <w:pPr>
              <w:spacing w:after="160" w:line="259" w:lineRule="auto"/>
              <w:rPr>
                <w:sz w:val="36"/>
                <w:szCs w:val="36"/>
              </w:rPr>
            </w:pPr>
            <w:r w:rsidRPr="009E7CF8">
              <w:rPr>
                <w:sz w:val="36"/>
                <w:szCs w:val="36"/>
              </w:rPr>
              <w:t>Marketing Management</w:t>
            </w:r>
          </w:p>
        </w:tc>
      </w:tr>
      <w:tr xmlns:wp14="http://schemas.microsoft.com/office/word/2010/wordml" w:rsidRPr="009E7CF8" w:rsidR="001F6F7E" w:rsidTr="7C7D4041" w14:paraId="171B09C7"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5409D817" wp14:textId="77777777">
            <w:pPr>
              <w:spacing w:after="160" w:line="259" w:lineRule="auto"/>
              <w:rPr>
                <w:b w:val="1"/>
                <w:bCs w:val="1"/>
                <w:sz w:val="36"/>
                <w:szCs w:val="36"/>
              </w:rPr>
            </w:pPr>
            <w:sdt>
              <w:sdtPr>
                <w:id w:val="572314197"/>
                <w15:appearance w15:val="hidden"/>
                <w:tag w:val="tii-similarity-SU5URVJORVRfd3d3LmNvdXJzZWhlcm8uY29t"/>
                <w:placeholder>
                  <w:docPart w:val="DefaultPlaceholder_-1854013440"/>
                </w:placeholder>
              </w:sdtPr>
              <w:sdtContent>
                <w:r w:rsidRPr="57F47822" w:rsidR="001F6F7E">
                  <w:rPr>
                    <w:b w:val="1"/>
                    <w:bCs w:val="1"/>
                    <w:sz w:val="36"/>
                    <w:szCs w:val="36"/>
                  </w:rPr>
                  <w:t>Module Code</w:t>
                </w:r>
              </w:sdtContent>
            </w:sdt>
            <w:r w:rsidRPr="57F47822" w:rsidR="001F6F7E">
              <w:rPr>
                <w:b w:val="1"/>
                <w:bCs w:val="1"/>
                <w:sz w:val="36"/>
                <w:szCs w:val="36"/>
              </w:rPr>
              <w:t>:</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4575C2D5" wp14:textId="77777777">
            <w:pPr>
              <w:spacing w:after="160" w:line="259" w:lineRule="auto"/>
              <w:rPr>
                <w:sz w:val="36"/>
                <w:szCs w:val="36"/>
              </w:rPr>
            </w:pPr>
            <w:r w:rsidRPr="009E7CF8">
              <w:rPr>
                <w:sz w:val="36"/>
                <w:szCs w:val="36"/>
              </w:rPr>
              <w:t>LCMB7024</w:t>
            </w:r>
          </w:p>
        </w:tc>
      </w:tr>
      <w:tr xmlns:wp14="http://schemas.microsoft.com/office/word/2010/wordml" w:rsidRPr="009E7CF8" w:rsidR="001F6F7E" w:rsidTr="7C7D4041" w14:paraId="6612EB3A"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52A86BA1" wp14:textId="77777777">
            <w:pPr>
              <w:spacing w:after="160" w:line="259" w:lineRule="auto"/>
              <w:rPr>
                <w:b/>
                <w:bCs/>
                <w:sz w:val="36"/>
                <w:szCs w:val="36"/>
              </w:rPr>
            </w:pPr>
            <w:r w:rsidRPr="009E7CF8">
              <w:rPr>
                <w:b/>
                <w:bCs/>
                <w:sz w:val="36"/>
                <w:szCs w:val="36"/>
              </w:rPr>
              <w:t>Assignment Title: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58B10E3A" wp14:textId="77777777">
            <w:pPr>
              <w:spacing w:after="160" w:line="259" w:lineRule="auto"/>
              <w:rPr>
                <w:sz w:val="36"/>
                <w:szCs w:val="36"/>
              </w:rPr>
            </w:pPr>
            <w:r w:rsidRPr="005E1EE2">
              <w:rPr>
                <w:sz w:val="36"/>
                <w:szCs w:val="36"/>
              </w:rPr>
              <w:t>Assessment component 1: Marketing Environment Analysis</w:t>
            </w:r>
          </w:p>
        </w:tc>
      </w:tr>
      <w:tr xmlns:wp14="http://schemas.microsoft.com/office/word/2010/wordml" w:rsidRPr="009E7CF8" w:rsidR="001F6F7E" w:rsidTr="7C7D4041" w14:paraId="4505486E" wp14:textId="77777777">
        <w:trPr>
          <w:trHeight w:val="928"/>
        </w:trPr>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1C517DF8" wp14:textId="77777777">
            <w:pPr>
              <w:spacing w:after="160" w:line="259" w:lineRule="auto"/>
              <w:rPr>
                <w:b/>
                <w:bCs/>
                <w:sz w:val="36"/>
                <w:szCs w:val="36"/>
              </w:rPr>
            </w:pPr>
            <w:r w:rsidRPr="009E7CF8">
              <w:rPr>
                <w:b/>
                <w:bCs/>
                <w:sz w:val="36"/>
                <w:szCs w:val="36"/>
              </w:rPr>
              <w:t>Lecturer Name:</w:t>
            </w:r>
          </w:p>
        </w:tc>
        <w:tc>
          <w:tcPr>
            <w:tcW w:w="6887" w:type="dxa"/>
            <w:gridSpan w:val="3"/>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2964ED66" wp14:textId="77777777">
            <w:pPr>
              <w:spacing w:after="160" w:line="259" w:lineRule="auto"/>
              <w:rPr>
                <w:sz w:val="36"/>
                <w:szCs w:val="36"/>
              </w:rPr>
            </w:pPr>
            <w:r w:rsidRPr="005E1EE2">
              <w:rPr>
                <w:sz w:val="36"/>
                <w:szCs w:val="36"/>
              </w:rPr>
              <w:t>Laila Maazouz Dian Mayasar</w:t>
            </w:r>
            <w:r>
              <w:rPr>
                <w:sz w:val="36"/>
                <w:szCs w:val="36"/>
              </w:rPr>
              <w:t>i</w:t>
            </w:r>
          </w:p>
        </w:tc>
      </w:tr>
      <w:tr xmlns:wp14="http://schemas.microsoft.com/office/word/2010/wordml" w:rsidRPr="009E7CF8" w:rsidR="001F6F7E" w:rsidTr="7C7D4041" w14:paraId="6256348D" wp14:textId="77777777">
        <w:trPr>
          <w:trHeight w:val="990"/>
        </w:trPr>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4C5FAFF9" wp14:textId="77777777">
            <w:pPr>
              <w:spacing w:after="160" w:line="259" w:lineRule="auto"/>
              <w:rPr>
                <w:b/>
                <w:bCs/>
                <w:sz w:val="36"/>
                <w:szCs w:val="36"/>
              </w:rPr>
            </w:pPr>
            <w:r w:rsidRPr="009E7CF8">
              <w:rPr>
                <w:b/>
                <w:bCs/>
                <w:sz w:val="36"/>
                <w:szCs w:val="36"/>
              </w:rPr>
              <w:t>Word Count:</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3B98ACB2" wp14:textId="321831F9">
            <w:pPr>
              <w:spacing w:after="160" w:line="259" w:lineRule="auto"/>
              <w:rPr>
                <w:sz w:val="36"/>
                <w:szCs w:val="36"/>
              </w:rPr>
            </w:pPr>
            <w:r w:rsidRPr="7C7D4041" w:rsidR="001F6F7E">
              <w:rPr>
                <w:sz w:val="36"/>
                <w:szCs w:val="36"/>
              </w:rPr>
              <w:t>2</w:t>
            </w:r>
            <w:r w:rsidRPr="7C7D4041" w:rsidR="51AB88AF">
              <w:rPr>
                <w:sz w:val="36"/>
                <w:szCs w:val="36"/>
              </w:rPr>
              <w:t>51</w:t>
            </w:r>
            <w:r w:rsidRPr="7C7D4041" w:rsidR="3C9A8C38">
              <w:rPr>
                <w:sz w:val="36"/>
                <w:szCs w:val="36"/>
              </w:rPr>
              <w:t>8</w:t>
            </w:r>
            <w:r w:rsidRPr="7C7D4041" w:rsidR="001F6F7E">
              <w:rPr>
                <w:sz w:val="36"/>
                <w:szCs w:val="36"/>
              </w:rPr>
              <w:t>(Excluding Refernces)</w:t>
            </w:r>
          </w:p>
        </w:tc>
        <w:tc>
          <w:tcPr>
            <w:tcW w:w="2295"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192E30B4" wp14:textId="77777777">
            <w:pPr>
              <w:spacing w:after="160" w:line="259" w:lineRule="auto"/>
              <w:rPr>
                <w:b/>
                <w:bCs/>
                <w:sz w:val="36"/>
                <w:szCs w:val="36"/>
              </w:rPr>
            </w:pPr>
            <w:r w:rsidRPr="009E7CF8">
              <w:rPr>
                <w:b/>
                <w:bCs/>
                <w:sz w:val="36"/>
                <w:szCs w:val="36"/>
              </w:rPr>
              <w:t>Submission Date:</w:t>
            </w:r>
          </w:p>
        </w:tc>
        <w:tc>
          <w:tcPr>
            <w:tcW w:w="2297" w:type="dxa"/>
            <w:tcBorders>
              <w:top w:val="single" w:color="auto" w:sz="4" w:space="0"/>
              <w:left w:val="single" w:color="auto" w:sz="4" w:space="0"/>
              <w:bottom w:val="single" w:color="auto" w:sz="4" w:space="0"/>
              <w:right w:val="single" w:color="auto" w:sz="4" w:space="0"/>
            </w:tcBorders>
            <w:tcMar/>
            <w:hideMark/>
          </w:tcPr>
          <w:p w:rsidRPr="009E7CF8" w:rsidR="001F6F7E" w:rsidP="0050342E" w:rsidRDefault="001F6F7E" w14:paraId="131B8A6B" wp14:textId="77777777">
            <w:pPr>
              <w:spacing w:after="160" w:line="259" w:lineRule="auto"/>
              <w:rPr>
                <w:sz w:val="36"/>
                <w:szCs w:val="36"/>
              </w:rPr>
            </w:pPr>
            <w:r w:rsidRPr="009E7CF8">
              <w:rPr>
                <w:sz w:val="36"/>
                <w:szCs w:val="36"/>
              </w:rPr>
              <w:t>2</w:t>
            </w:r>
            <w:r>
              <w:rPr>
                <w:sz w:val="36"/>
                <w:szCs w:val="36"/>
              </w:rPr>
              <w:t>7</w:t>
            </w:r>
            <w:r w:rsidRPr="009E7CF8">
              <w:rPr>
                <w:sz w:val="36"/>
                <w:szCs w:val="36"/>
                <w:vertAlign w:val="superscript"/>
              </w:rPr>
              <w:t>th</w:t>
            </w:r>
            <w:r w:rsidRPr="009E7CF8">
              <w:rPr>
                <w:sz w:val="36"/>
                <w:szCs w:val="36"/>
              </w:rPr>
              <w:t xml:space="preserve"> March, 2026</w:t>
            </w:r>
          </w:p>
        </w:tc>
      </w:tr>
    </w:tbl>
    <w:p xmlns:wp14="http://schemas.microsoft.com/office/word/2010/wordml" w:rsidR="001F6F7E" w:rsidP="001F6F7E" w:rsidRDefault="001F6F7E" w14:paraId="0A37501D" wp14:textId="77777777"/>
    <w:p xmlns:wp14="http://schemas.microsoft.com/office/word/2010/wordml" w:rsidR="00A44DB5" w:rsidRDefault="00BA3DF1" w14:paraId="5DAB6C7B" wp14:textId="77777777">
      <w:r>
        <w:br w:type="page"/>
      </w:r>
    </w:p>
    <w:sdt>
      <w:sdtPr>
        <w:id w:val="959573242"/>
        <w15:appearance w15:val="hidden"/>
        <w:tag w:val="tii-similarity-U1VCTUlUVEVEX1dPUktfb2lkOjE6MzIyMDg2NDAwOA=="/>
        <w:placeholder>
          <w:docPart w:val="DefaultPlaceholder_-1854013440"/>
        </w:placeholder>
      </w:sdtPr>
      <w:sdtContent>
        <w:p xmlns:wp14="http://schemas.microsoft.com/office/word/2010/wordml" w:rsidRPr="00A44DB5" w:rsidR="00A44DB5" w:rsidP="00A44DB5" w:rsidRDefault="00A44DB5" w14:paraId="22E0FC93" wp14:textId="77777777">
          <w:pPr>
            <w:pStyle w:val="TOCHeading"/>
            <w:jc w:val="center"/>
            <w:rPr>
              <w:rFonts w:ascii="Arial" w:hAnsi="Arial" w:cs="Arial"/>
              <w:b w:val="1"/>
              <w:bCs w:val="1"/>
              <w:color w:val="000000" w:themeColor="text1"/>
            </w:rPr>
          </w:pPr>
          <w:r w:rsidRPr="7C7D4041" w:rsidR="06B95A65">
            <w:rPr>
              <w:rFonts w:ascii="Arial" w:hAnsi="Arial" w:cs="Arial"/>
              <w:b w:val="1"/>
              <w:bCs w:val="1"/>
              <w:color w:val="000000" w:themeColor="text1" w:themeTint="FF" w:themeShade="FF"/>
            </w:rPr>
            <w:t>Table of Contents</w:t>
          </w:r>
        </w:p>
      </w:sdtContent>
    </w:sdt>
    <w:p xmlns:wp14="http://schemas.microsoft.com/office/word/2010/wordml" w:rsidR="00A44DB5" w:rsidP="0EBBD1BE" w:rsidRDefault="00A44DB5" w14:paraId="703A146F" wp14:textId="1D5B016F">
      <w:pPr>
        <w:pStyle w:val="TOC1"/>
        <w:tabs>
          <w:tab w:val="right" w:leader="underscore" w:pos="9015"/>
        </w:tabs>
        <w:rPr>
          <w:rStyle w:val="Hyperlink"/>
          <w:lang w:eastAsia="en-IN"/>
        </w:rPr>
      </w:pPr>
      <w:r>
        <w:fldChar w:fldCharType="begin"/>
      </w:r>
      <w:r>
        <w:instrText xml:space="preserve">TOC \o "1-3" \z \u \h</w:instrText>
      </w:r>
      <w:r>
        <w:fldChar w:fldCharType="separate"/>
      </w:r>
      <w:hyperlink w:anchor="_Toc2076411531">
        <w:r w:rsidRPr="7C7D4041" w:rsidR="7C7D4041">
          <w:rPr>
            <w:rStyle w:val="Hyperlink"/>
          </w:rPr>
          <w:t>1. Introduction</w:t>
        </w:r>
        <w:r>
          <w:tab/>
        </w:r>
        <w:r>
          <w:fldChar w:fldCharType="begin"/>
        </w:r>
        <w:r>
          <w:instrText xml:space="preserve">PAGEREF _Toc2076411531 \h</w:instrText>
        </w:r>
        <w:r>
          <w:fldChar w:fldCharType="separate"/>
        </w:r>
        <w:r w:rsidRPr="7C7D4041" w:rsidR="7C7D4041">
          <w:rPr>
            <w:rStyle w:val="Hyperlink"/>
          </w:rPr>
          <w:t>3</w:t>
        </w:r>
        <w:r>
          <w:fldChar w:fldCharType="end"/>
        </w:r>
      </w:hyperlink>
    </w:p>
    <w:p xmlns:wp14="http://schemas.microsoft.com/office/word/2010/wordml" w:rsidR="00A44DB5" w:rsidP="0EBBD1BE" w:rsidRDefault="00A44DB5" w14:paraId="0FB825FE" wp14:textId="127B2F35">
      <w:pPr>
        <w:pStyle w:val="TOC1"/>
        <w:tabs>
          <w:tab w:val="right" w:leader="underscore" w:pos="9015"/>
        </w:tabs>
        <w:rPr>
          <w:rStyle w:val="Hyperlink"/>
          <w:lang w:eastAsia="en-IN"/>
        </w:rPr>
      </w:pPr>
      <w:hyperlink w:anchor="_Toc1845152829">
        <w:r w:rsidRPr="7C7D4041" w:rsidR="7C7D4041">
          <w:rPr>
            <w:rStyle w:val="Hyperlink"/>
          </w:rPr>
          <w:t>2. Overview of the Global Streaming Industry</w:t>
        </w:r>
        <w:r>
          <w:tab/>
        </w:r>
        <w:r>
          <w:fldChar w:fldCharType="begin"/>
        </w:r>
        <w:r>
          <w:instrText xml:space="preserve">PAGEREF _Toc1845152829 \h</w:instrText>
        </w:r>
        <w:r>
          <w:fldChar w:fldCharType="separate"/>
        </w:r>
        <w:r w:rsidRPr="7C7D4041" w:rsidR="7C7D4041">
          <w:rPr>
            <w:rStyle w:val="Hyperlink"/>
          </w:rPr>
          <w:t>3</w:t>
        </w:r>
        <w:r>
          <w:fldChar w:fldCharType="end"/>
        </w:r>
      </w:hyperlink>
    </w:p>
    <w:p xmlns:wp14="http://schemas.microsoft.com/office/word/2010/wordml" w:rsidR="00A44DB5" w:rsidP="0EBBD1BE" w:rsidRDefault="00A44DB5" w14:paraId="1BBCA2C4" wp14:textId="6BF954E1">
      <w:pPr>
        <w:pStyle w:val="TOC1"/>
        <w:tabs>
          <w:tab w:val="right" w:leader="underscore" w:pos="9015"/>
        </w:tabs>
        <w:rPr>
          <w:rStyle w:val="Hyperlink"/>
          <w:lang w:eastAsia="en-IN"/>
        </w:rPr>
      </w:pPr>
      <w:hyperlink w:anchor="_Toc1844122136">
        <w:r w:rsidRPr="7C7D4041" w:rsidR="7C7D4041">
          <w:rPr>
            <w:rStyle w:val="Hyperlink"/>
          </w:rPr>
          <w:t>3. Macro-Environment Analysis</w:t>
        </w:r>
        <w:r>
          <w:tab/>
        </w:r>
        <w:r>
          <w:fldChar w:fldCharType="begin"/>
        </w:r>
        <w:r>
          <w:instrText xml:space="preserve">PAGEREF _Toc1844122136 \h</w:instrText>
        </w:r>
        <w:r>
          <w:fldChar w:fldCharType="separate"/>
        </w:r>
        <w:r w:rsidRPr="7C7D4041" w:rsidR="7C7D4041">
          <w:rPr>
            <w:rStyle w:val="Hyperlink"/>
          </w:rPr>
          <w:t>4</w:t>
        </w:r>
        <w:r>
          <w:fldChar w:fldCharType="end"/>
        </w:r>
      </w:hyperlink>
    </w:p>
    <w:p xmlns:wp14="http://schemas.microsoft.com/office/word/2010/wordml" w:rsidR="00A44DB5" w:rsidP="0EBBD1BE" w:rsidRDefault="00A44DB5" w14:paraId="5C83D3C5" wp14:textId="0020D27B">
      <w:pPr>
        <w:pStyle w:val="TOC2"/>
        <w:tabs>
          <w:tab w:val="right" w:leader="underscore" w:pos="9015"/>
        </w:tabs>
        <w:rPr>
          <w:rStyle w:val="Hyperlink"/>
          <w:lang w:eastAsia="en-IN"/>
        </w:rPr>
      </w:pPr>
      <w:hyperlink w:anchor="_Toc1612798487">
        <w:r w:rsidRPr="7C7D4041" w:rsidR="7C7D4041">
          <w:rPr>
            <w:rStyle w:val="Hyperlink"/>
          </w:rPr>
          <w:t>3.1 Technological Environment</w:t>
        </w:r>
        <w:r>
          <w:tab/>
        </w:r>
        <w:r>
          <w:fldChar w:fldCharType="begin"/>
        </w:r>
        <w:r>
          <w:instrText xml:space="preserve">PAGEREF _Toc1612798487 \h</w:instrText>
        </w:r>
        <w:r>
          <w:fldChar w:fldCharType="separate"/>
        </w:r>
        <w:r w:rsidRPr="7C7D4041" w:rsidR="7C7D4041">
          <w:rPr>
            <w:rStyle w:val="Hyperlink"/>
          </w:rPr>
          <w:t>4</w:t>
        </w:r>
        <w:r>
          <w:fldChar w:fldCharType="end"/>
        </w:r>
      </w:hyperlink>
    </w:p>
    <w:p xmlns:wp14="http://schemas.microsoft.com/office/word/2010/wordml" w:rsidR="00A44DB5" w:rsidP="0EBBD1BE" w:rsidRDefault="00A44DB5" w14:paraId="6B516F47" wp14:textId="655FFB0F">
      <w:pPr>
        <w:pStyle w:val="TOC2"/>
        <w:tabs>
          <w:tab w:val="right" w:leader="underscore" w:pos="9015"/>
        </w:tabs>
        <w:rPr>
          <w:rStyle w:val="Hyperlink"/>
          <w:lang w:eastAsia="en-IN"/>
        </w:rPr>
      </w:pPr>
      <w:hyperlink w:anchor="_Toc1387838893">
        <w:r w:rsidRPr="7C7D4041" w:rsidR="7C7D4041">
          <w:rPr>
            <w:rStyle w:val="Hyperlink"/>
          </w:rPr>
          <w:t>3.2 Social Behaviour and Consumer Behaviour Environment</w:t>
        </w:r>
        <w:r>
          <w:tab/>
        </w:r>
        <w:r>
          <w:fldChar w:fldCharType="begin"/>
        </w:r>
        <w:r>
          <w:instrText xml:space="preserve">PAGEREF _Toc1387838893 \h</w:instrText>
        </w:r>
        <w:r>
          <w:fldChar w:fldCharType="separate"/>
        </w:r>
        <w:r w:rsidRPr="7C7D4041" w:rsidR="7C7D4041">
          <w:rPr>
            <w:rStyle w:val="Hyperlink"/>
          </w:rPr>
          <w:t>5</w:t>
        </w:r>
        <w:r>
          <w:fldChar w:fldCharType="end"/>
        </w:r>
      </w:hyperlink>
    </w:p>
    <w:p xmlns:wp14="http://schemas.microsoft.com/office/word/2010/wordml" w:rsidR="00A44DB5" w:rsidP="0EBBD1BE" w:rsidRDefault="00A44DB5" w14:paraId="394FAC9E" wp14:textId="2B12139D">
      <w:pPr>
        <w:pStyle w:val="TOC1"/>
        <w:tabs>
          <w:tab w:val="right" w:leader="underscore" w:pos="9015"/>
        </w:tabs>
        <w:rPr>
          <w:rStyle w:val="Hyperlink"/>
          <w:lang w:eastAsia="en-IN"/>
        </w:rPr>
      </w:pPr>
      <w:hyperlink w:anchor="_Toc1156333885">
        <w:r w:rsidRPr="7C7D4041" w:rsidR="7C7D4041">
          <w:rPr>
            <w:rStyle w:val="Hyperlink"/>
          </w:rPr>
          <w:t>4. Impact on Competitive Position</w:t>
        </w:r>
        <w:r>
          <w:tab/>
        </w:r>
        <w:r>
          <w:fldChar w:fldCharType="begin"/>
        </w:r>
        <w:r>
          <w:instrText xml:space="preserve">PAGEREF _Toc1156333885 \h</w:instrText>
        </w:r>
        <w:r>
          <w:fldChar w:fldCharType="separate"/>
        </w:r>
        <w:r w:rsidRPr="7C7D4041" w:rsidR="7C7D4041">
          <w:rPr>
            <w:rStyle w:val="Hyperlink"/>
          </w:rPr>
          <w:t>6</w:t>
        </w:r>
        <w:r>
          <w:fldChar w:fldCharType="end"/>
        </w:r>
      </w:hyperlink>
    </w:p>
    <w:p xmlns:wp14="http://schemas.microsoft.com/office/word/2010/wordml" w:rsidR="00A44DB5" w:rsidP="0EBBD1BE" w:rsidRDefault="00A44DB5" w14:paraId="3081C333" wp14:textId="3BD1DDAC">
      <w:pPr>
        <w:pStyle w:val="TOC1"/>
        <w:tabs>
          <w:tab w:val="right" w:leader="underscore" w:pos="9015"/>
        </w:tabs>
        <w:rPr>
          <w:rStyle w:val="Hyperlink"/>
          <w:lang w:eastAsia="en-IN"/>
        </w:rPr>
      </w:pPr>
      <w:hyperlink w:anchor="_Toc1622530255">
        <w:r w:rsidRPr="7C7D4041" w:rsidR="7C7D4041">
          <w:rPr>
            <w:rStyle w:val="Hyperlink"/>
          </w:rPr>
          <w:t>5. Strategic Responses</w:t>
        </w:r>
        <w:r>
          <w:tab/>
        </w:r>
        <w:r>
          <w:fldChar w:fldCharType="begin"/>
        </w:r>
        <w:r>
          <w:instrText xml:space="preserve">PAGEREF _Toc1622530255 \h</w:instrText>
        </w:r>
        <w:r>
          <w:fldChar w:fldCharType="separate"/>
        </w:r>
        <w:r w:rsidRPr="7C7D4041" w:rsidR="7C7D4041">
          <w:rPr>
            <w:rStyle w:val="Hyperlink"/>
          </w:rPr>
          <w:t>6</w:t>
        </w:r>
        <w:r>
          <w:fldChar w:fldCharType="end"/>
        </w:r>
      </w:hyperlink>
    </w:p>
    <w:p xmlns:wp14="http://schemas.microsoft.com/office/word/2010/wordml" w:rsidR="00A44DB5" w:rsidP="31564936" w:rsidRDefault="00A44DB5" w14:paraId="2BA10544" wp14:textId="7E7F8998">
      <w:pPr>
        <w:pStyle w:val="TOC1"/>
        <w:tabs>
          <w:tab w:val="right" w:leader="underscore" w:pos="9015"/>
        </w:tabs>
        <w:rPr>
          <w:rStyle w:val="Hyperlink"/>
          <w:lang w:eastAsia="en-IN"/>
        </w:rPr>
      </w:pPr>
      <w:hyperlink w:anchor="_Toc1356258642">
        <w:r w:rsidRPr="7C7D4041" w:rsidR="7C7D4041">
          <w:rPr>
            <w:rStyle w:val="Hyperlink"/>
          </w:rPr>
          <w:t>6. Critical Evaluation</w:t>
        </w:r>
        <w:r>
          <w:tab/>
        </w:r>
        <w:r>
          <w:fldChar w:fldCharType="begin"/>
        </w:r>
        <w:r>
          <w:instrText xml:space="preserve">PAGEREF _Toc1356258642 \h</w:instrText>
        </w:r>
        <w:r>
          <w:fldChar w:fldCharType="separate"/>
        </w:r>
        <w:r w:rsidRPr="7C7D4041" w:rsidR="7C7D4041">
          <w:rPr>
            <w:rStyle w:val="Hyperlink"/>
          </w:rPr>
          <w:t>8</w:t>
        </w:r>
        <w:r>
          <w:fldChar w:fldCharType="end"/>
        </w:r>
      </w:hyperlink>
    </w:p>
    <w:p xmlns:wp14="http://schemas.microsoft.com/office/word/2010/wordml" w:rsidR="00A44DB5" w:rsidP="31564936" w:rsidRDefault="00A44DB5" w14:paraId="1AECA2DD" wp14:textId="6305C62E">
      <w:pPr>
        <w:pStyle w:val="TOC1"/>
        <w:tabs>
          <w:tab w:val="right" w:leader="underscore" w:pos="9015"/>
        </w:tabs>
        <w:rPr>
          <w:rStyle w:val="Hyperlink"/>
          <w:lang w:eastAsia="en-IN"/>
        </w:rPr>
      </w:pPr>
      <w:hyperlink w:anchor="_Toc1807618670">
        <w:r w:rsidRPr="7C7D4041" w:rsidR="7C7D4041">
          <w:rPr>
            <w:rStyle w:val="Hyperlink"/>
          </w:rPr>
          <w:t>7. Conclusion</w:t>
        </w:r>
        <w:r>
          <w:tab/>
        </w:r>
        <w:r>
          <w:fldChar w:fldCharType="begin"/>
        </w:r>
        <w:r>
          <w:instrText xml:space="preserve">PAGEREF _Toc1807618670 \h</w:instrText>
        </w:r>
        <w:r>
          <w:fldChar w:fldCharType="separate"/>
        </w:r>
        <w:r w:rsidRPr="7C7D4041" w:rsidR="7C7D4041">
          <w:rPr>
            <w:rStyle w:val="Hyperlink"/>
          </w:rPr>
          <w:t>9</w:t>
        </w:r>
        <w:r>
          <w:fldChar w:fldCharType="end"/>
        </w:r>
      </w:hyperlink>
    </w:p>
    <w:p xmlns:wp14="http://schemas.microsoft.com/office/word/2010/wordml" w:rsidR="00A44DB5" w:rsidP="0EBBD1BE" w:rsidRDefault="00A44DB5" w14:paraId="4EB04B6F" wp14:textId="0226BE48">
      <w:pPr>
        <w:pStyle w:val="TOC1"/>
        <w:tabs>
          <w:tab w:val="right" w:leader="underscore" w:pos="9015"/>
        </w:tabs>
        <w:rPr>
          <w:rStyle w:val="Hyperlink"/>
          <w:lang w:eastAsia="en-IN"/>
        </w:rPr>
      </w:pPr>
      <w:hyperlink w:anchor="_Toc1658149239">
        <w:r w:rsidRPr="7C7D4041" w:rsidR="7C7D4041">
          <w:rPr>
            <w:rStyle w:val="Hyperlink"/>
          </w:rPr>
          <w:t>References</w:t>
        </w:r>
        <w:r>
          <w:tab/>
        </w:r>
        <w:r>
          <w:fldChar w:fldCharType="begin"/>
        </w:r>
        <w:r>
          <w:instrText xml:space="preserve">PAGEREF _Toc1658149239 \h</w:instrText>
        </w:r>
        <w:r>
          <w:fldChar w:fldCharType="separate"/>
        </w:r>
        <w:r w:rsidRPr="7C7D4041" w:rsidR="7C7D4041">
          <w:rPr>
            <w:rStyle w:val="Hyperlink"/>
          </w:rPr>
          <w:t>9</w:t>
        </w:r>
        <w:r>
          <w:fldChar w:fldCharType="end"/>
        </w:r>
      </w:hyperlink>
      <w:r>
        <w:fldChar w:fldCharType="end"/>
      </w:r>
    </w:p>
    <w:p xmlns:wp14="http://schemas.microsoft.com/office/word/2010/wordml" w:rsidR="00A44DB5" w:rsidRDefault="00A44DB5" w14:paraId="02EB378F" wp14:textId="77777777"/>
    <w:p xmlns:wp14="http://schemas.microsoft.com/office/word/2010/wordml" w:rsidR="00BA3DF1" w:rsidRDefault="00BA3DF1" w14:paraId="6A05A809" wp14:textId="77777777"/>
    <w:p xmlns:wp14="http://schemas.microsoft.com/office/word/2010/wordml" w:rsidR="00A44DB5" w:rsidRDefault="00A44DB5" w14:paraId="5A39BBE3" wp14:textId="77777777">
      <w:pPr>
        <w:rPr>
          <w:b/>
          <w:bCs/>
          <w:sz w:val="32"/>
          <w:szCs w:val="32"/>
        </w:rPr>
      </w:pPr>
      <w:r>
        <w:rPr>
          <w:b/>
          <w:bCs/>
          <w:sz w:val="32"/>
          <w:szCs w:val="32"/>
        </w:rPr>
        <w:br w:type="page"/>
      </w:r>
    </w:p>
    <w:p xmlns:wp14="http://schemas.microsoft.com/office/word/2010/wordml" w:rsidR="00A44DB5" w:rsidP="001F6F7E" w:rsidRDefault="00A44DB5" w14:paraId="41C8F396" wp14:textId="77777777">
      <w:pPr>
        <w:rPr>
          <w:b/>
          <w:bCs/>
          <w:sz w:val="32"/>
          <w:szCs w:val="32"/>
        </w:rPr>
        <w:sectPr w:rsidR="00A44DB5" w:rsidSect="00A44DB5">
          <w:pgSz w:w="11906" w:h="16838" w:orient="portrait"/>
          <w:pgMar w:top="1440" w:right="1440" w:bottom="1440" w:left="1440" w:header="708" w:footer="708" w:gutter="0"/>
          <w:pgBorders w:offsetFrom="page">
            <w:top w:val="double" w:color="auto" w:sz="4" w:space="24"/>
            <w:left w:val="double" w:color="auto" w:sz="4" w:space="24"/>
            <w:bottom w:val="double" w:color="auto" w:sz="4" w:space="24"/>
            <w:right w:val="double" w:color="auto" w:sz="4" w:space="24"/>
          </w:pgBorders>
          <w:cols w:space="708"/>
          <w:docGrid w:linePitch="360"/>
          <w:titlePg w:val="0"/>
          <w:headerReference w:type="default" r:id="R66f2bfebe50c41ce"/>
        </w:sectPr>
      </w:pPr>
    </w:p>
    <w:p xmlns:wp14="http://schemas.microsoft.com/office/word/2010/wordml" w:rsidRPr="00AD5FCE" w:rsidR="001F6F7E" w:rsidP="31564936" w:rsidRDefault="001F6F7E" w14:paraId="6CBCD8CA" wp14:textId="77777777">
      <w:pPr>
        <w:jc w:val="both"/>
        <w:rPr>
          <w:rFonts w:ascii="Arial" w:hAnsi="Arial" w:eastAsia="Arial" w:cs="Arial"/>
          <w:b w:val="1"/>
          <w:bCs w:val="1"/>
          <w:sz w:val="32"/>
          <w:szCs w:val="32"/>
        </w:rPr>
      </w:pPr>
      <w:r w:rsidRPr="31564936" w:rsidR="15692FB3">
        <w:rPr>
          <w:rFonts w:ascii="Arial" w:hAnsi="Arial" w:eastAsia="Arial" w:cs="Arial"/>
          <w:b w:val="1"/>
          <w:bCs w:val="1"/>
          <w:sz w:val="32"/>
          <w:szCs w:val="32"/>
        </w:rPr>
        <w:t>Marketing Environment Analysis: Netflix and Disney+</w:t>
      </w:r>
    </w:p>
    <w:p xmlns:wp14="http://schemas.microsoft.com/office/word/2010/wordml" w:rsidRPr="001F6F7E" w:rsidR="00AD5FCE" w:rsidP="31564936" w:rsidRDefault="00AD5FCE" w14:paraId="32A36C38" wp14:textId="77777777">
      <w:pPr>
        <w:pStyle w:val="Heading1"/>
        <w:jc w:val="both"/>
        <w:rPr>
          <w:rFonts w:ascii="Arial" w:hAnsi="Arial" w:eastAsia="Arial" w:cs="Arial"/>
        </w:rPr>
      </w:pPr>
      <w:bookmarkStart w:name="_Toc2076411531" w:id="810803585"/>
      <w:r w:rsidRPr="7C7D4041" w:rsidR="498B17D7">
        <w:rPr>
          <w:rFonts w:ascii="Arial" w:hAnsi="Arial" w:eastAsia="Arial" w:cs="Arial"/>
        </w:rPr>
        <w:t>1. Introduction</w:t>
      </w:r>
      <w:bookmarkEnd w:id="810803585"/>
    </w:p>
    <w:p xmlns:wp14="http://schemas.microsoft.com/office/word/2010/wordml" w:rsidR="00BA3DF1" w:rsidP="31564936" w:rsidRDefault="00BA3DF1" w14:paraId="33D18106" wp14:textId="0FFBEDC5">
      <w:pPr>
        <w:pStyle w:val="Normal"/>
        <w:jc w:val="both"/>
        <w:rPr>
          <w:rFonts w:ascii="Arial" w:hAnsi="Arial" w:eastAsia="Arial" w:cs="Arial"/>
        </w:rPr>
      </w:pPr>
      <w:r w:rsidRPr="57F47822" w:rsidR="18CB4E90">
        <w:rPr>
          <w:rFonts w:ascii="Arial" w:hAnsi="Arial" w:eastAsia="Arial" w:cs="Arial"/>
        </w:rPr>
        <w:t xml:space="preserve">The marketing environment is a set of external forces and players that determine </w:t>
      </w:r>
      <w:sdt>
        <w:sdtPr>
          <w:id w:val="732962151"/>
          <w15:appearance w15:val="hidden"/>
          <w:tag w:val="tii-similarity-UFVCTElDQVRJT05fTWF5ZWR3YSwgS2hheWEuICJBbiBFbnF1aXJ5IGludG8gdGhlIE5leHVzIEJldHdlZW4gVHJhbnNmb3JtYXRpb24gYW5kIEZpbmFuY2lhbCBTdXN0YWluYWJpbGl0eSBvZiBTcG9ydGluZyBPcmdhbmlzYXRpb25zIGluIFNvdXRoIEFmcmljYSIsIFVuaXZlcnNpdHkgb2YgU291dGggQWZyaWNhIChTb3V0aCBBZnJpY2EpLCAyMDI1"/>
          <w:placeholder>
            <w:docPart w:val="DefaultPlaceholder_-1854013440"/>
          </w:placeholder>
        </w:sdtPr>
        <w:sdtContent>
          <w:r w:rsidRPr="57F47822" w:rsidR="18CB4E90">
            <w:rPr>
              <w:rFonts w:ascii="Arial" w:hAnsi="Arial" w:eastAsia="Arial" w:cs="Arial"/>
            </w:rPr>
            <w:t>the capacity of an organisation to</w:t>
          </w:r>
        </w:sdtContent>
      </w:sdt>
      <w:r w:rsidRPr="57F47822" w:rsidR="18CB4E90">
        <w:rPr>
          <w:rFonts w:ascii="Arial" w:hAnsi="Arial" w:eastAsia="Arial" w:cs="Arial"/>
        </w:rPr>
        <w:t xml:space="preserve"> develop and maintain relationships with its customers (Kotler and Keller, 2022). These forces contribute greatly to the strategic decision-making, competitiveness and performance in the long term. In the modern digital world, whereby technology changes within a short period and the consumer demands keep on changing, macro-environment analysis is critical towards attaining sustainable competitive advantage (Johnson et al., 2023).</w:t>
      </w:r>
    </w:p>
    <w:p xmlns:wp14="http://schemas.microsoft.com/office/word/2010/wordml" w:rsidR="00BA3DF1" w:rsidP="31564936" w:rsidRDefault="00BA3DF1" w14:paraId="5529B3F1" wp14:textId="49674959">
      <w:pPr>
        <w:pStyle w:val="Normal"/>
        <w:jc w:val="both"/>
      </w:pPr>
      <w:r w:rsidRPr="31564936" w:rsidR="18CB4E90">
        <w:rPr>
          <w:rFonts w:ascii="Arial" w:hAnsi="Arial" w:eastAsia="Arial" w:cs="Arial"/>
        </w:rPr>
        <w:t>The entertainment industry in the world has experienced a significant shift over the last decade due to the technological advancement, the growth of internet penetration and consumer shift (PwC, 2024). The conventional TV broadcasting has been facing slow losses as people are migrating to digital streaming platforms where they have the flexibility, convenience and access to the personalised viewing options. This has accelerated the competition in the industry and several organisations are fighting to capture the world audience and to increase subscribers.</w:t>
      </w:r>
    </w:p>
    <w:p xmlns:wp14="http://schemas.microsoft.com/office/word/2010/wordml" w:rsidR="00BA3DF1" w:rsidP="31564936" w:rsidRDefault="00BA3DF1" w14:paraId="3080340D" wp14:textId="1742E4F9">
      <w:pPr>
        <w:pStyle w:val="Normal"/>
        <w:jc w:val="both"/>
      </w:pPr>
      <w:r w:rsidRPr="31564936" w:rsidR="18CB4E90">
        <w:rPr>
          <w:rFonts w:ascii="Arial" w:hAnsi="Arial" w:eastAsia="Arial" w:cs="Arial"/>
        </w:rPr>
        <w:t>In this context, Netflix is globally recognised as a trailblazer organisation that changed the content distribution and consumption. Initially a DVD renting company, Netflix shifted online streaming in 2007 but became overly concerned with developing original content. Netflix has become a leading figure in the streaming market through the combination of unrelenting technological advances, data-driven decision-making, and international growth (Lobato, 2019).</w:t>
      </w:r>
    </w:p>
    <w:p xmlns:wp14="http://schemas.microsoft.com/office/word/2010/wordml" w:rsidR="00BA3DF1" w:rsidP="31564936" w:rsidRDefault="00BA3DF1" w14:paraId="00BB9ECA" wp14:textId="289CD5D8">
      <w:pPr>
        <w:pStyle w:val="Normal"/>
        <w:jc w:val="both"/>
      </w:pPr>
      <w:r w:rsidRPr="31564936" w:rsidR="18CB4E90">
        <w:rPr>
          <w:rFonts w:ascii="Arial" w:hAnsi="Arial" w:eastAsia="Arial" w:cs="Arial"/>
        </w:rPr>
        <w:t>On the contrary, Disney+ can be viewed as a late early follower organisation, which rapidly has gained a high level of competitiveness. Disney+ was a product of The Walt Disney Company, launched in 2019 and capitalized on its vast intellectual property base, including globally known franchises like Marvel, Star Wars and Pixar, to reach a massive global customer base (Grant, 2022).</w:t>
      </w:r>
    </w:p>
    <w:p xmlns:wp14="http://schemas.microsoft.com/office/word/2010/wordml" w:rsidR="00BA3DF1" w:rsidP="31564936" w:rsidRDefault="00BA3DF1" w14:paraId="72A3D3EC" wp14:textId="694929D3">
      <w:pPr>
        <w:pStyle w:val="Normal"/>
        <w:jc w:val="both"/>
      </w:pPr>
      <w:r w:rsidRPr="57F47822" w:rsidR="18CB4E90">
        <w:rPr>
          <w:rFonts w:ascii="Arial" w:hAnsi="Arial" w:eastAsia="Arial" w:cs="Arial"/>
        </w:rPr>
        <w:t xml:space="preserve">This report examines the macro-marketing environment that influences the streaming industry in terms of the technological and social consumer behaviour aspects. It also analyzes the strategy responds of Netflix and Disney+ through the framework of Porters Generic Strategies, </w:t>
      </w:r>
      <w:sdt>
        <w:sdtPr>
          <w:id w:val="1011457067"/>
          <w15:appearance w15:val="hidden"/>
          <w:tag w:val="tii-similarity-U1VCTUlUVEVEX1dPUktfb2lkOjE6MzQ0NzUxNDcxNA=="/>
          <w:placeholder>
            <w:docPart w:val="DefaultPlaceholder_-1854013440"/>
          </w:placeholder>
        </w:sdtPr>
        <w:sdtContent>
          <w:r w:rsidRPr="57F47822" w:rsidR="18CB4E90">
            <w:rPr>
              <w:rFonts w:ascii="Arial" w:hAnsi="Arial" w:eastAsia="Arial" w:cs="Arial"/>
            </w:rPr>
            <w:t>Porters Five</w:t>
          </w:r>
        </w:sdtContent>
      </w:sdt>
      <w:r w:rsidRPr="57F47822" w:rsidR="18CB4E90">
        <w:rPr>
          <w:rFonts w:ascii="Arial" w:hAnsi="Arial" w:eastAsia="Arial" w:cs="Arial"/>
        </w:rPr>
        <w:t xml:space="preserve"> Forces, the </w:t>
      </w:r>
      <w:sdt>
        <w:sdtPr>
          <w:id w:val="1773140422"/>
          <w15:appearance w15:val="hidden"/>
          <w:tag w:val="tii-similarity-U1VCTUlUVEVEX1dPUktfb2lkOjE6MzQ0NzUxNDcxNA=="/>
          <w:placeholder>
            <w:docPart w:val="DefaultPlaceholder_-1854013440"/>
          </w:placeholder>
        </w:sdtPr>
        <w:sdtContent>
          <w:r w:rsidRPr="57F47822" w:rsidR="18CB4E90">
            <w:rPr>
              <w:rFonts w:ascii="Arial" w:hAnsi="Arial" w:eastAsia="Arial" w:cs="Arial"/>
            </w:rPr>
            <w:t>Resource-Based View (RBV) and the</w:t>
          </w:r>
        </w:sdtContent>
      </w:sdt>
      <w:r w:rsidRPr="57F47822" w:rsidR="18CB4E90">
        <w:rPr>
          <w:rFonts w:ascii="Arial" w:hAnsi="Arial" w:eastAsia="Arial" w:cs="Arial"/>
        </w:rPr>
        <w:t xml:space="preserve"> Ansoff Growth Matrix.</w:t>
      </w:r>
    </w:p>
    <w:p xmlns:wp14="http://schemas.microsoft.com/office/word/2010/wordml" w:rsidR="00BA3DF1" w:rsidP="31564936" w:rsidRDefault="00BA3DF1" w14:paraId="299356D9" wp14:textId="77777777">
      <w:pPr>
        <w:pStyle w:val="Heading1"/>
        <w:jc w:val="both"/>
        <w:rPr>
          <w:rFonts w:ascii="Arial" w:hAnsi="Arial" w:eastAsia="Arial" w:cs="Arial"/>
        </w:rPr>
      </w:pPr>
      <w:bookmarkStart w:name="_Toc1845152829" w:id="2121203541"/>
      <w:r w:rsidRPr="7C7D4041" w:rsidR="2B13DA78">
        <w:rPr>
          <w:rFonts w:ascii="Arial" w:hAnsi="Arial" w:eastAsia="Arial" w:cs="Arial"/>
        </w:rPr>
        <w:t>2.</w:t>
      </w:r>
      <w:r w:rsidRPr="7C7D4041" w:rsidR="498B17D7">
        <w:rPr>
          <w:rFonts w:ascii="Arial" w:hAnsi="Arial" w:eastAsia="Arial" w:cs="Arial"/>
        </w:rPr>
        <w:t xml:space="preserve"> </w:t>
      </w:r>
      <w:r w:rsidRPr="7C7D4041" w:rsidR="498B17D7">
        <w:rPr>
          <w:rFonts w:ascii="Arial" w:hAnsi="Arial" w:eastAsia="Arial" w:cs="Arial"/>
        </w:rPr>
        <w:t>Overview of the Global Streaming Industry</w:t>
      </w:r>
      <w:bookmarkEnd w:id="2121203541"/>
    </w:p>
    <w:p w:rsidR="5A2C4D86" w:rsidP="31564936" w:rsidRDefault="5A2C4D86" w14:paraId="17F75578" w14:textId="3DF4C3BF">
      <w:pPr>
        <w:pStyle w:val="Normal"/>
        <w:jc w:val="both"/>
        <w:rPr>
          <w:rFonts w:ascii="Arial" w:hAnsi="Arial" w:eastAsia="Arial" w:cs="Arial"/>
        </w:rPr>
      </w:pPr>
      <w:r w:rsidRPr="31564936" w:rsidR="70431E23">
        <w:rPr>
          <w:rFonts w:ascii="Arial" w:hAnsi="Arial" w:eastAsia="Arial" w:cs="Arial"/>
        </w:rPr>
        <w:t>The streaming business can be defined as the delivery of video content via online systems that allow consumers to stream movies, television shows and other media on a pay-as-you drive basis. It is one of the most rapidly evolving branches of the world entertainment industry, which is strongly changing outdated trends of using media (Deloitte, 2024).</w:t>
      </w:r>
    </w:p>
    <w:p w:rsidR="5A2C4D86" w:rsidP="3000B2BD" w:rsidRDefault="5A2C4D86" w14:paraId="22CC53AD" w14:textId="236293F2">
      <w:pPr>
        <w:pStyle w:val="Normal"/>
        <w:jc w:val="both"/>
      </w:pPr>
      <w:r w:rsidRPr="31564936" w:rsidR="70431E23">
        <w:rPr>
          <w:rFonts w:ascii="Arial" w:hAnsi="Arial" w:eastAsia="Arial" w:cs="Arial"/>
        </w:rPr>
        <w:t>The streaming industry has developed rather quickly, but this can be attributed to a number of causes. To begin with improvements in the broadband infrastructure and cloud computing systems have allowed delivery of high-quality and reliable content in various regions. Second, the prevalence of smartphones, tablets and smart televisions has made access more available, meaning that users can now consume content anywhere and at any time (Statista, 2025). Thirdly, the demand has changed because of evolving consumer preferences whereby viewers do not prefer to watch scheduled programming but instead favor flexible, on-demand viewing experiences (Ofcom, 2024).</w:t>
      </w:r>
    </w:p>
    <w:p w:rsidR="5A2C4D86" w:rsidP="31564936" w:rsidRDefault="5A2C4D86" w14:paraId="435DD3CD" w14:textId="46357976">
      <w:pPr>
        <w:pStyle w:val="Normal"/>
        <w:jc w:val="both"/>
        <w:rPr>
          <w:rFonts w:ascii="Arial" w:hAnsi="Arial" w:eastAsia="Arial" w:cs="Arial"/>
        </w:rPr>
      </w:pPr>
      <w:r w:rsidR="70431E23">
        <w:drawing>
          <wp:anchor distT="0" distB="0" distL="114300" distR="114300" simplePos="0" relativeHeight="251658240" behindDoc="0" locked="0" layoutInCell="1" allowOverlap="1" wp14:editId="0E1B3C5C" wp14:anchorId="0B9BBD6A">
            <wp:simplePos x="0" y="0"/>
            <wp:positionH relativeFrom="column">
              <wp:align>left</wp:align>
            </wp:positionH>
            <wp:positionV relativeFrom="paragraph">
              <wp:posOffset>0</wp:posOffset>
            </wp:positionV>
            <wp:extent cx="3652509" cy="2430806"/>
            <wp:effectExtent l="0" t="0" r="0" b="0"/>
            <wp:wrapSquare wrapText="bothSides"/>
            <wp:docPr id="849207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738357" name="Picture 1590738357"/>
                    <pic:cNvPicPr/>
                  </pic:nvPicPr>
                  <pic:blipFill>
                    <a:blip xmlns:r="http://schemas.openxmlformats.org/officeDocument/2006/relationships" r:embed="rId564659883">
                      <a:extLst>
                        <a:ext uri="{28A0092B-C50C-407E-A947-70E740481C1C}">
                          <a14:useLocalDpi xmlns:a14="http://schemas.microsoft.com/office/drawing/2010/main"/>
                        </a:ext>
                      </a:extLst>
                    </a:blip>
                    <a:stretch>
                      <a:fillRect/>
                    </a:stretch>
                  </pic:blipFill>
                  <pic:spPr>
                    <a:xfrm rot="0">
                      <a:off x="0" y="0"/>
                      <a:ext cx="3652509" cy="2430806"/>
                    </a:xfrm>
                    <a:prstGeom prst="rect">
                      <a:avLst/>
                    </a:prstGeom>
                  </pic:spPr>
                </pic:pic>
              </a:graphicData>
            </a:graphic>
            <wp14:sizeRelH relativeFrom="page">
              <wp14:pctWidth>0</wp14:pctWidth>
            </wp14:sizeRelH>
            <wp14:sizeRelV relativeFrom="page">
              <wp14:pctHeight>0</wp14:pctHeight>
            </wp14:sizeRelV>
          </wp:anchor>
        </w:drawing>
      </w:r>
      <w:r w:rsidRPr="31564936" w:rsidR="70431E23">
        <w:rPr>
          <w:rFonts w:ascii="Arial" w:hAnsi="Arial" w:eastAsia="Arial" w:cs="Arial"/>
        </w:rPr>
        <w:t>The sector is very competitive, and the leading platforms like Netflix, Disney+, Amazon Prime Video and HBO Max fight with international viewers. By 2025, Netflix will have more than 260 million subscribers across the globe, whereas Disney+ will have more than 150 million subscribers, which reflects the level of competition (Statista, 2025).</w:t>
      </w:r>
    </w:p>
    <w:p w:rsidR="5A2C4D86" w:rsidP="3000B2BD" w:rsidRDefault="5A2C4D86" w14:paraId="4BDC9AE0" w14:textId="4ABC8A58">
      <w:pPr>
        <w:pStyle w:val="Normal"/>
        <w:jc w:val="both"/>
      </w:pPr>
      <w:r w:rsidRPr="31564936" w:rsidR="70431E23">
        <w:rPr>
          <w:rFonts w:ascii="Arial" w:hAnsi="Arial" w:eastAsia="Arial" w:cs="Arial"/>
        </w:rPr>
        <w:t xml:space="preserve"> </w:t>
      </w:r>
    </w:p>
    <w:p w:rsidR="5A2C4D86" w:rsidP="31564936" w:rsidRDefault="5A2C4D86" w14:paraId="0D1CEF60" w14:textId="769C24DE">
      <w:pPr>
        <w:pStyle w:val="Normal"/>
        <w:jc w:val="both"/>
        <w:rPr>
          <w:rFonts w:ascii="Arial" w:hAnsi="Arial" w:eastAsia="Arial" w:cs="Arial"/>
        </w:rPr>
      </w:pPr>
      <w:r w:rsidRPr="31564936" w:rsidR="70431E23">
        <w:rPr>
          <w:rFonts w:ascii="Arial" w:hAnsi="Arial" w:eastAsia="Arial" w:cs="Arial"/>
        </w:rPr>
        <w:t>The streaming business is characterised by the technological innovation that is constant, high intensity of international rivalry, large expenditures on authentic information and promptly evolving customer conduct. These forces ensure that there are opportunities and challenges and organisations must keep on changing their strategies to stay at par.</w:t>
      </w:r>
      <w:r w:rsidRPr="31564936" w:rsidR="41E896B5">
        <w:rPr>
          <w:rFonts w:ascii="Arial" w:hAnsi="Arial" w:eastAsia="Arial" w:cs="Arial"/>
        </w:rPr>
        <w:t xml:space="preserve"> </w:t>
      </w:r>
    </w:p>
    <w:p xmlns:wp14="http://schemas.microsoft.com/office/word/2010/wordml" w:rsidR="00BA3DF1" w:rsidP="31564936" w:rsidRDefault="00BA3DF1" w14:paraId="4BE14FB6" wp14:textId="77777777">
      <w:pPr>
        <w:pStyle w:val="Heading1"/>
        <w:jc w:val="both"/>
        <w:rPr>
          <w:rFonts w:ascii="Arial" w:hAnsi="Arial" w:eastAsia="Arial" w:cs="Arial"/>
        </w:rPr>
      </w:pPr>
      <w:bookmarkStart w:name="_Toc1844122136" w:id="1219182000"/>
      <w:r w:rsidRPr="7C7D4041" w:rsidR="71A3D260">
        <w:rPr>
          <w:rFonts w:ascii="Arial" w:hAnsi="Arial" w:eastAsia="Arial" w:cs="Arial"/>
        </w:rPr>
        <w:t>3.</w:t>
      </w:r>
      <w:r w:rsidRPr="7C7D4041" w:rsidR="52959616">
        <w:rPr>
          <w:rFonts w:ascii="Arial" w:hAnsi="Arial" w:eastAsia="Arial" w:cs="Arial"/>
        </w:rPr>
        <w:t xml:space="preserve"> </w:t>
      </w:r>
      <w:r w:rsidRPr="7C7D4041" w:rsidR="71A3D260">
        <w:rPr>
          <w:rFonts w:ascii="Arial" w:hAnsi="Arial" w:eastAsia="Arial" w:cs="Arial"/>
        </w:rPr>
        <w:t>Macro-Environment Analysis</w:t>
      </w:r>
      <w:bookmarkEnd w:id="1219182000"/>
    </w:p>
    <w:p w:rsidR="1887A86D" w:rsidP="2B2EF052" w:rsidRDefault="1887A86D" w14:paraId="52C3CB1E" w14:textId="7D6BAD8E">
      <w:pPr>
        <w:jc w:val="both"/>
        <w:rPr>
          <w:rFonts w:ascii="Arial" w:hAnsi="Arial" w:eastAsia="Arial" w:cs="Arial"/>
        </w:rPr>
      </w:pPr>
      <w:r w:rsidRPr="2B2EF052" w:rsidR="1887A86D">
        <w:rPr>
          <w:rFonts w:ascii="Arial" w:hAnsi="Arial" w:eastAsia="Arial" w:cs="Arial"/>
        </w:rPr>
        <w:t>The performance of organisations is determined by the macro-environmental forces, which are beyond the control of managers. These forces can be analysed using the PESTLE framework (Johnson et al., 2023). In the streaming sector, technical and social aspects are very influential, which directly influence competition and interaction with consumers.</w:t>
      </w:r>
    </w:p>
    <w:p xmlns:wp14="http://schemas.microsoft.com/office/word/2010/wordml" w:rsidR="00BA3DF1" w:rsidP="31564936" w:rsidRDefault="00BA3DF1" w14:paraId="3C8BA86D" wp14:textId="77777777">
      <w:pPr>
        <w:pStyle w:val="Heading2"/>
        <w:jc w:val="both"/>
        <w:rPr>
          <w:rFonts w:ascii="Arial" w:hAnsi="Arial" w:eastAsia="Arial" w:cs="Arial"/>
        </w:rPr>
      </w:pPr>
      <w:bookmarkStart w:name="_Toc1612798487" w:id="1064202877"/>
      <w:r w:rsidRPr="7C7D4041" w:rsidR="71A3D260">
        <w:rPr>
          <w:rFonts w:ascii="Arial" w:hAnsi="Arial" w:eastAsia="Arial" w:cs="Arial"/>
        </w:rPr>
        <w:t>3.1</w:t>
      </w:r>
      <w:r w:rsidRPr="7C7D4041" w:rsidR="52959616">
        <w:rPr>
          <w:rFonts w:ascii="Arial" w:hAnsi="Arial" w:eastAsia="Arial" w:cs="Arial"/>
        </w:rPr>
        <w:t xml:space="preserve"> </w:t>
      </w:r>
      <w:r w:rsidRPr="7C7D4041" w:rsidR="71A3D260">
        <w:rPr>
          <w:rFonts w:ascii="Arial" w:hAnsi="Arial" w:eastAsia="Arial" w:cs="Arial"/>
        </w:rPr>
        <w:t>Technological Environment</w:t>
      </w:r>
      <w:bookmarkEnd w:id="1064202877"/>
    </w:p>
    <w:p w:rsidR="0CF6375D" w:rsidP="2B2EF052" w:rsidRDefault="0CF6375D" w14:paraId="546ADDF7" w14:textId="5ECF7447">
      <w:pPr>
        <w:pStyle w:val="Normal"/>
        <w:jc w:val="both"/>
        <w:rPr>
          <w:rFonts w:ascii="Arial" w:hAnsi="Arial" w:eastAsia="Arial" w:cs="Arial"/>
        </w:rPr>
      </w:pPr>
      <w:r w:rsidRPr="2B2EF052" w:rsidR="0CF6375D">
        <w:rPr>
          <w:rFonts w:ascii="Arial" w:hAnsi="Arial" w:eastAsia="Arial" w:cs="Arial"/>
        </w:rPr>
        <w:t>The streaming industry has experienced a lot of growth and change due to technological innovation. The advances in artificial intelligence, cloud computing, and data analytics and content delivery networks have facilitated platforms to offer a high-quality and personalised streaming service (McKinsey &amp; Company, 2024).</w:t>
      </w:r>
    </w:p>
    <w:p w:rsidR="0CF6375D" w:rsidP="2B2EF052" w:rsidRDefault="0CF6375D" w14:paraId="656F3372" w14:textId="50A321C0">
      <w:pPr>
        <w:pStyle w:val="Normal"/>
        <w:jc w:val="both"/>
        <w:rPr>
          <w:rFonts w:ascii="Arial" w:hAnsi="Arial" w:eastAsia="Arial" w:cs="Arial"/>
          <w:b w:val="1"/>
          <w:bCs w:val="1"/>
        </w:rPr>
      </w:pPr>
      <w:r w:rsidRPr="2B2EF052" w:rsidR="0CF6375D">
        <w:rPr>
          <w:rFonts w:ascii="Arial" w:hAnsi="Arial" w:eastAsia="Arial" w:cs="Arial"/>
          <w:b w:val="1"/>
          <w:bCs w:val="1"/>
        </w:rPr>
        <w:t>Impact on Netflix</w:t>
      </w:r>
    </w:p>
    <w:p w:rsidR="0CF6375D" w:rsidP="2B2EF052" w:rsidRDefault="0CF6375D" w14:paraId="5217CE8B" w14:textId="3A7A7A4D">
      <w:pPr>
        <w:pStyle w:val="Normal"/>
        <w:jc w:val="both"/>
      </w:pPr>
      <w:r w:rsidRPr="2B2EF052" w:rsidR="0CF6375D">
        <w:rPr>
          <w:rFonts w:ascii="Arial" w:hAnsi="Arial" w:eastAsia="Arial" w:cs="Arial"/>
        </w:rPr>
        <w:t>Netflix has developed its competitive edge based on the developed technological opportunities. The artificial intelligence-based recommendation systems enable it to study user behaviour and offer personalised suggestions related to the content, which improves user engagement and retention (Smith, 2023). Moreover, Netflix implements cloud-based systems to provide content to customers across the world and the adaptive streaming technology to provide customers with a high-quality viewing experience.</w:t>
      </w:r>
    </w:p>
    <w:p w:rsidR="0CF6375D" w:rsidP="2B2EF052" w:rsidRDefault="0CF6375D" w14:paraId="5FE6408E" w14:textId="3AB4AA50">
      <w:pPr>
        <w:pStyle w:val="Normal"/>
        <w:jc w:val="both"/>
      </w:pPr>
      <w:r w:rsidRPr="2B2EF052" w:rsidR="0CF6375D">
        <w:rPr>
          <w:rFonts w:ascii="Arial" w:hAnsi="Arial" w:eastAsia="Arial" w:cs="Arial"/>
        </w:rPr>
        <w:t>Nevertheless, there is also a challenge on the technological benefits. Constant investment in infrastructure raises the cost of doing business and impacts on profitability (PwC, 2024). In addition, competitors are easily replicating technological capability and diminishing their strategic value in the long term (Barney, 1991). It is also possible that the recommendation based on algorithms can reduce the variety of content because it will introduce filter bubbles (Pariser, 2011).</w:t>
      </w:r>
    </w:p>
    <w:p w:rsidR="0CF6375D" w:rsidP="2B2EF052" w:rsidRDefault="0CF6375D" w14:paraId="666A176B" w14:textId="10852478">
      <w:pPr>
        <w:pStyle w:val="Normal"/>
        <w:jc w:val="both"/>
        <w:rPr>
          <w:rFonts w:ascii="Arial" w:hAnsi="Arial" w:eastAsia="Arial" w:cs="Arial"/>
          <w:b w:val="1"/>
          <w:bCs w:val="1"/>
        </w:rPr>
      </w:pPr>
      <w:r w:rsidRPr="2B2EF052" w:rsidR="0CF6375D">
        <w:rPr>
          <w:rFonts w:ascii="Arial" w:hAnsi="Arial" w:eastAsia="Arial" w:cs="Arial"/>
          <w:b w:val="1"/>
          <w:bCs w:val="1"/>
        </w:rPr>
        <w:t>Impact on Disney+</w:t>
      </w:r>
    </w:p>
    <w:p w:rsidR="0CF6375D" w:rsidP="2B2EF052" w:rsidRDefault="0CF6375D" w14:paraId="554B1540" w14:textId="528BAAE0">
      <w:pPr>
        <w:pStyle w:val="Normal"/>
        <w:jc w:val="both"/>
      </w:pPr>
      <w:r w:rsidRPr="2B2EF052" w:rsidR="0CF6375D">
        <w:rPr>
          <w:rFonts w:ascii="Arial" w:hAnsi="Arial" w:eastAsia="Arial" w:cs="Arial"/>
        </w:rPr>
        <w:t>Disney+ entered the streaming market with access to modern technologies, however, did not prioritize technological innovations as its major strategy. Rather, it used the technologies that were available to provide high-quality streaming platforms, such as customized recalls and multi-platform support.</w:t>
      </w:r>
    </w:p>
    <w:p w:rsidR="0CF6375D" w:rsidP="2B2EF052" w:rsidRDefault="0CF6375D" w14:paraId="03829BAA" w14:textId="0C43AB68">
      <w:pPr>
        <w:pStyle w:val="Normal"/>
        <w:jc w:val="both"/>
      </w:pPr>
      <w:r w:rsidRPr="57F47822" w:rsidR="0CF6375D">
        <w:rPr>
          <w:rFonts w:ascii="Arial" w:hAnsi="Arial" w:eastAsia="Arial" w:cs="Arial"/>
        </w:rPr>
        <w:t xml:space="preserve">This will enable Disney+ to reduce the technological expenditure and concentrate on its strength, which is content. Disney+ is using the digital technology with the power of the entertainment assets of The Walt Disney Company. </w:t>
      </w:r>
      <w:sdt>
        <w:sdtPr>
          <w:id w:val="1791279276"/>
          <w15:appearance w15:val="hidden"/>
          <w:tag w:val="tii-similarity-SU5URVJORVRfd3d3Lmptc3JyLmNvbQ=="/>
          <w:placeholder>
            <w:docPart w:val="DefaultPlaceholder_-1854013440"/>
          </w:placeholder>
        </w:sdtPr>
        <w:sdtContent>
          <w:r w:rsidRPr="57F47822" w:rsidR="0CF6375D">
            <w:rPr>
              <w:rFonts w:ascii="Arial" w:hAnsi="Arial" w:eastAsia="Arial" w:cs="Arial"/>
            </w:rPr>
            <w:t>This is in line with the</w:t>
          </w:r>
        </w:sdtContent>
      </w:sdt>
      <w:r w:rsidRPr="57F47822" w:rsidR="0CF6375D">
        <w:rPr>
          <w:rFonts w:ascii="Arial" w:hAnsi="Arial" w:eastAsia="Arial" w:cs="Arial"/>
        </w:rPr>
        <w:t xml:space="preserve"> Resource-Based View, which proposes that the sustained competitive advantage is based on very special internal sources like intellectual property and brand equity (Barney, 1991).</w:t>
      </w:r>
    </w:p>
    <w:p xmlns:wp14="http://schemas.microsoft.com/office/word/2010/wordml" w:rsidR="00BA3DF1" w:rsidP="31564936" w:rsidRDefault="00BA3DF1" w14:paraId="3656B9AB" wp14:textId="77777777">
      <w:pPr>
        <w:jc w:val="both"/>
        <w:rPr>
          <w:rFonts w:ascii="Arial" w:hAnsi="Arial" w:eastAsia="Arial" w:cs="Arial"/>
        </w:rPr>
      </w:pPr>
    </w:p>
    <w:p xmlns:wp14="http://schemas.microsoft.com/office/word/2010/wordml" w:rsidR="00BA3DF1" w:rsidP="31564936" w:rsidRDefault="00BA3DF1" w14:paraId="2D1F6123" wp14:textId="77777777">
      <w:pPr>
        <w:pStyle w:val="Heading2"/>
        <w:jc w:val="both"/>
        <w:rPr>
          <w:rFonts w:ascii="Arial" w:hAnsi="Arial" w:eastAsia="Arial" w:cs="Arial"/>
        </w:rPr>
      </w:pPr>
      <w:bookmarkStart w:name="_Toc1387838893" w:id="1366629009"/>
      <w:r w:rsidRPr="7C7D4041" w:rsidR="71A3D260">
        <w:rPr>
          <w:rFonts w:ascii="Arial" w:hAnsi="Arial" w:eastAsia="Arial" w:cs="Arial"/>
        </w:rPr>
        <w:t>3.2</w:t>
      </w:r>
      <w:r w:rsidRPr="7C7D4041" w:rsidR="71A3D260">
        <w:rPr>
          <w:rFonts w:ascii="Arial" w:hAnsi="Arial" w:eastAsia="Arial" w:cs="Arial"/>
        </w:rPr>
        <w:t xml:space="preserve"> </w:t>
      </w:r>
      <w:r w:rsidRPr="7C7D4041" w:rsidR="71A3D260">
        <w:rPr>
          <w:rFonts w:ascii="Arial" w:hAnsi="Arial" w:eastAsia="Arial" w:cs="Arial"/>
        </w:rPr>
        <w:t>Social Behaviour and Consumer Behaviour Environment</w:t>
      </w:r>
      <w:bookmarkEnd w:id="1366629009"/>
    </w:p>
    <w:p w:rsidR="60E42C6F" w:rsidP="2B2EF052" w:rsidRDefault="60E42C6F" w14:paraId="18A02BB7" w14:textId="58ADA1B0">
      <w:pPr>
        <w:pStyle w:val="Normal"/>
        <w:jc w:val="both"/>
        <w:rPr>
          <w:rFonts w:ascii="Arial" w:hAnsi="Arial" w:eastAsia="Arial" w:cs="Arial"/>
        </w:rPr>
      </w:pPr>
      <w:r w:rsidRPr="2B2EF052" w:rsidR="60E42C6F">
        <w:rPr>
          <w:rFonts w:ascii="Arial" w:hAnsi="Arial" w:eastAsia="Arial" w:cs="Arial"/>
        </w:rPr>
        <w:t>The streaming industry has evolved as a result of consumer behaviour. Convenience, flexibility and personalised viewing experience is increasingly becoming a preference among consumers, therefore, moving past the traditional television broadcasting (Ofcom, 2024).</w:t>
      </w:r>
    </w:p>
    <w:p w:rsidR="60E42C6F" w:rsidP="2B2EF052" w:rsidRDefault="60E42C6F" w14:paraId="6711BE7F" w14:textId="5FA6D2AB">
      <w:pPr>
        <w:pStyle w:val="Normal"/>
        <w:jc w:val="both"/>
        <w:rPr>
          <w:rFonts w:ascii="Arial" w:hAnsi="Arial" w:eastAsia="Arial" w:cs="Arial"/>
          <w:b w:val="1"/>
          <w:bCs w:val="1"/>
        </w:rPr>
      </w:pPr>
      <w:r w:rsidRPr="2B2EF052" w:rsidR="60E42C6F">
        <w:rPr>
          <w:rFonts w:ascii="Arial" w:hAnsi="Arial" w:eastAsia="Arial" w:cs="Arial"/>
          <w:b w:val="1"/>
          <w:bCs w:val="1"/>
        </w:rPr>
        <w:t>Impact on Netflix</w:t>
      </w:r>
    </w:p>
    <w:p w:rsidR="60E42C6F" w:rsidP="2B2EF052" w:rsidRDefault="60E42C6F" w14:paraId="443FF3F5" w14:textId="3F05F216">
      <w:pPr>
        <w:pStyle w:val="Normal"/>
        <w:jc w:val="both"/>
      </w:pPr>
      <w:r w:rsidRPr="2B2EF052" w:rsidR="60E42C6F">
        <w:rPr>
          <w:rFonts w:ascii="Arial" w:hAnsi="Arial" w:eastAsia="Arial" w:cs="Arial"/>
        </w:rPr>
        <w:t>Netflix has been able to react to these trends by embracing ad free subscription whereby users can watch content without advertisements. This enhances user experience and it is in tandem with the consumer preferences (Kotler and Keller, 2022).</w:t>
      </w:r>
    </w:p>
    <w:p w:rsidR="60E42C6F" w:rsidP="2B2EF052" w:rsidRDefault="60E42C6F" w14:paraId="6A331422" w14:textId="3527F43F">
      <w:pPr>
        <w:pStyle w:val="Normal"/>
        <w:jc w:val="both"/>
      </w:pPr>
      <w:r w:rsidRPr="2B2EF052" w:rsidR="60E42C6F">
        <w:rPr>
          <w:rFonts w:ascii="Arial" w:hAnsi="Arial" w:eastAsia="Arial" w:cs="Arial"/>
        </w:rPr>
        <w:t>Also, Netflix launched the option of releasing complete seasons simultaneously, which facilitated binge-watch. This tactic made it more interactive and a characteristic of the platform (Lobato, 2019). Moreover, Netflix spends a lot of money on foreign productions, which enables it to attract different audiences and dominate the world.</w:t>
      </w:r>
    </w:p>
    <w:p w:rsidR="60E42C6F" w:rsidP="2B2EF052" w:rsidRDefault="60E42C6F" w14:paraId="27A047F1" w14:textId="729C2287">
      <w:pPr>
        <w:pStyle w:val="Normal"/>
        <w:jc w:val="both"/>
      </w:pPr>
      <w:r w:rsidRPr="2B2EF052" w:rsidR="60E42C6F">
        <w:rPr>
          <w:rFonts w:ascii="Arial" w:hAnsi="Arial" w:eastAsia="Arial" w:cs="Arial"/>
        </w:rPr>
        <w:t>These strategies however raise the cost of producing content and pressure to keep on producing new content which could affect the profitability.</w:t>
      </w:r>
    </w:p>
    <w:p w:rsidR="60E42C6F" w:rsidP="2B2EF052" w:rsidRDefault="60E42C6F" w14:paraId="0282A3C2" w14:textId="360E7C1B">
      <w:pPr>
        <w:pStyle w:val="Normal"/>
        <w:jc w:val="both"/>
        <w:rPr>
          <w:rFonts w:ascii="Arial" w:hAnsi="Arial" w:eastAsia="Arial" w:cs="Arial"/>
          <w:b w:val="1"/>
          <w:bCs w:val="1"/>
        </w:rPr>
      </w:pPr>
      <w:r w:rsidRPr="2B2EF052" w:rsidR="60E42C6F">
        <w:rPr>
          <w:rFonts w:ascii="Arial" w:hAnsi="Arial" w:eastAsia="Arial" w:cs="Arial"/>
          <w:b w:val="1"/>
          <w:bCs w:val="1"/>
        </w:rPr>
        <w:t>Impact on Disney+</w:t>
      </w:r>
    </w:p>
    <w:p w:rsidR="60E42C6F" w:rsidP="2B2EF052" w:rsidRDefault="60E42C6F" w14:paraId="11E56C48" w14:textId="0C7F4639">
      <w:pPr>
        <w:pStyle w:val="Normal"/>
        <w:jc w:val="both"/>
      </w:pPr>
      <w:r w:rsidRPr="2B2EF052" w:rsidR="60E42C6F">
        <w:rPr>
          <w:rFonts w:ascii="Arial" w:hAnsi="Arial" w:eastAsia="Arial" w:cs="Arial"/>
        </w:rPr>
        <w:t>Disney plus is reacting to the evolving consumer behaviour with the help of its robust intellectual property portfolio. The platform hosts the content that is framed around the established franchises like Marvel, Star Wars and Pixar that have developed a strong following and evoke a close emotional bond.</w:t>
      </w:r>
    </w:p>
    <w:p w:rsidR="60E42C6F" w:rsidP="2B2EF052" w:rsidRDefault="60E42C6F" w14:paraId="16722BB2" w14:textId="665E41A2">
      <w:pPr>
        <w:pStyle w:val="Normal"/>
        <w:jc w:val="both"/>
      </w:pPr>
      <w:r w:rsidRPr="2B2EF052" w:rsidR="60E42C6F">
        <w:rPr>
          <w:rFonts w:ascii="Arial" w:hAnsi="Arial" w:eastAsia="Arial" w:cs="Arial"/>
        </w:rPr>
        <w:t>Although this approach will minimize the risk of creating new content, this will decrease the diversity of content and limit the capability of the platform to serve more audiences. Also, there is the issue of subscription fatigue since customers will often alternate between platforms due to the content on the offered platforms (Deloitte, 2024).</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575"/>
        <w:gridCol w:w="2640"/>
        <w:gridCol w:w="2775"/>
        <w:gridCol w:w="2130"/>
      </w:tblGrid>
      <w:tr w:rsidR="0EBBD1BE" w:rsidTr="31564936" w14:paraId="364C0712">
        <w:trPr>
          <w:trHeight w:val="300"/>
        </w:trPr>
        <w:tc>
          <w:tcPr>
            <w:tcW w:w="1575" w:type="dxa"/>
            <w:tcMar/>
            <w:vAlign w:val="center"/>
          </w:tcPr>
          <w:p w:rsidR="0EBBD1BE" w:rsidP="31564936" w:rsidRDefault="0EBBD1BE" w14:paraId="37329B76" w14:textId="75910CF7">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Factor</w:t>
            </w:r>
          </w:p>
        </w:tc>
        <w:tc>
          <w:tcPr>
            <w:tcW w:w="2640" w:type="dxa"/>
            <w:tcMar/>
            <w:vAlign w:val="center"/>
          </w:tcPr>
          <w:p w:rsidR="0EBBD1BE" w:rsidP="31564936" w:rsidRDefault="0EBBD1BE" w14:paraId="7B06011F" w14:textId="17FD6211">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Key Issues</w:t>
            </w:r>
          </w:p>
        </w:tc>
        <w:tc>
          <w:tcPr>
            <w:tcW w:w="2775" w:type="dxa"/>
            <w:tcMar/>
            <w:vAlign w:val="center"/>
          </w:tcPr>
          <w:p w:rsidR="0EBBD1BE" w:rsidP="31564936" w:rsidRDefault="0EBBD1BE" w14:paraId="2776E28A" w14:textId="5DCF1CDF">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Impact on Netflix</w:t>
            </w:r>
          </w:p>
        </w:tc>
        <w:tc>
          <w:tcPr>
            <w:tcW w:w="2130" w:type="dxa"/>
            <w:tcMar/>
            <w:vAlign w:val="center"/>
          </w:tcPr>
          <w:p w:rsidR="0EBBD1BE" w:rsidP="31564936" w:rsidRDefault="0EBBD1BE" w14:paraId="4C5CD749" w14:textId="0F9E1314">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Impact on Disney+</w:t>
            </w:r>
          </w:p>
        </w:tc>
      </w:tr>
      <w:tr w:rsidR="0EBBD1BE" w:rsidTr="31564936" w14:paraId="1B219118">
        <w:trPr>
          <w:trHeight w:val="300"/>
        </w:trPr>
        <w:tc>
          <w:tcPr>
            <w:tcW w:w="1575" w:type="dxa"/>
            <w:tcMar/>
            <w:vAlign w:val="center"/>
          </w:tcPr>
          <w:p w:rsidR="0EBBD1BE" w:rsidP="31564936" w:rsidRDefault="0EBBD1BE" w14:paraId="4803CA1D" w14:textId="353E7E79">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Technological</w:t>
            </w:r>
          </w:p>
        </w:tc>
        <w:tc>
          <w:tcPr>
            <w:tcW w:w="2640" w:type="dxa"/>
            <w:tcMar/>
            <w:vAlign w:val="center"/>
          </w:tcPr>
          <w:p w:rsidR="0EBBD1BE" w:rsidP="31564936" w:rsidRDefault="0EBBD1BE" w14:paraId="06337D97" w14:textId="455754D9">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AI, cloud computing, streaming infrastructure</w:t>
            </w:r>
          </w:p>
        </w:tc>
        <w:tc>
          <w:tcPr>
            <w:tcW w:w="2775" w:type="dxa"/>
            <w:tcMar/>
            <w:vAlign w:val="center"/>
          </w:tcPr>
          <w:p w:rsidR="0EBBD1BE" w:rsidP="31564936" w:rsidRDefault="0EBBD1BE" w14:paraId="40D9E02A" w14:textId="72E66EAE">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Strong advantage through data analytics and recommendation systems</w:t>
            </w:r>
          </w:p>
        </w:tc>
        <w:tc>
          <w:tcPr>
            <w:tcW w:w="2130" w:type="dxa"/>
            <w:tcMar/>
            <w:vAlign w:val="center"/>
          </w:tcPr>
          <w:p w:rsidR="0EBBD1BE" w:rsidP="31564936" w:rsidRDefault="0EBBD1BE" w14:paraId="0680147F" w14:textId="6DAD78AB">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Uses existing technology, less innovation focus</w:t>
            </w:r>
          </w:p>
        </w:tc>
      </w:tr>
      <w:tr w:rsidR="0EBBD1BE" w:rsidTr="31564936" w14:paraId="5C509BD2">
        <w:trPr>
          <w:trHeight w:val="300"/>
        </w:trPr>
        <w:tc>
          <w:tcPr>
            <w:tcW w:w="1575" w:type="dxa"/>
            <w:tcMar/>
            <w:vAlign w:val="center"/>
          </w:tcPr>
          <w:p w:rsidR="0EBBD1BE" w:rsidP="31564936" w:rsidRDefault="0EBBD1BE" w14:paraId="24BF1886" w14:textId="64ECC07F">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Social</w:t>
            </w:r>
          </w:p>
        </w:tc>
        <w:tc>
          <w:tcPr>
            <w:tcW w:w="2640" w:type="dxa"/>
            <w:tcMar/>
            <w:vAlign w:val="center"/>
          </w:tcPr>
          <w:p w:rsidR="0EBBD1BE" w:rsidP="31564936" w:rsidRDefault="0EBBD1BE" w14:paraId="0CCBD6DA" w14:textId="6D32F511">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Binge-watching, on-demand viewing, mobile usage</w:t>
            </w:r>
          </w:p>
        </w:tc>
        <w:tc>
          <w:tcPr>
            <w:tcW w:w="2775" w:type="dxa"/>
            <w:tcMar/>
            <w:vAlign w:val="center"/>
          </w:tcPr>
          <w:p w:rsidR="0EBBD1BE" w:rsidP="31564936" w:rsidRDefault="0EBBD1BE" w14:paraId="0ECD61D4" w14:textId="77C95B74">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Ad-free model and global content strategy</w:t>
            </w:r>
          </w:p>
        </w:tc>
        <w:tc>
          <w:tcPr>
            <w:tcW w:w="2130" w:type="dxa"/>
            <w:tcMar/>
            <w:vAlign w:val="center"/>
          </w:tcPr>
          <w:p w:rsidR="0EBBD1BE" w:rsidP="31564936" w:rsidRDefault="0EBBD1BE" w14:paraId="6AFC1484" w14:textId="4D501DDE">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Family-focused content and franchise appeal</w:t>
            </w:r>
          </w:p>
        </w:tc>
      </w:tr>
      <w:tr w:rsidR="0EBBD1BE" w:rsidTr="31564936" w14:paraId="35F0997D">
        <w:trPr>
          <w:trHeight w:val="300"/>
        </w:trPr>
        <w:tc>
          <w:tcPr>
            <w:tcW w:w="1575" w:type="dxa"/>
            <w:tcMar/>
            <w:vAlign w:val="center"/>
          </w:tcPr>
          <w:p w:rsidR="0EBBD1BE" w:rsidP="31564936" w:rsidRDefault="0EBBD1BE" w14:paraId="3967175F" w14:textId="28782E7B">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Economic</w:t>
            </w:r>
          </w:p>
        </w:tc>
        <w:tc>
          <w:tcPr>
            <w:tcW w:w="2640" w:type="dxa"/>
            <w:tcMar/>
            <w:vAlign w:val="center"/>
          </w:tcPr>
          <w:p w:rsidR="0EBBD1BE" w:rsidP="31564936" w:rsidRDefault="0EBBD1BE" w14:paraId="716F050F" w14:textId="5A371295">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Subscription pricing, content costs</w:t>
            </w:r>
          </w:p>
        </w:tc>
        <w:tc>
          <w:tcPr>
            <w:tcW w:w="2775" w:type="dxa"/>
            <w:tcMar/>
            <w:vAlign w:val="center"/>
          </w:tcPr>
          <w:p w:rsidR="0EBBD1BE" w:rsidP="31564936" w:rsidRDefault="0EBBD1BE" w14:paraId="18ADC374" w14:textId="75B2A375">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High production costs affect profitability</w:t>
            </w:r>
          </w:p>
        </w:tc>
        <w:tc>
          <w:tcPr>
            <w:tcW w:w="2130" w:type="dxa"/>
            <w:tcMar/>
            <w:vAlign w:val="center"/>
          </w:tcPr>
          <w:p w:rsidR="0EBBD1BE" w:rsidP="31564936" w:rsidRDefault="0EBBD1BE" w14:paraId="5DA82B7C" w14:textId="3999F0D8">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Bundling strategy improves value</w:t>
            </w:r>
          </w:p>
        </w:tc>
      </w:tr>
      <w:tr w:rsidR="0EBBD1BE" w:rsidTr="31564936" w14:paraId="00BF0579">
        <w:trPr>
          <w:trHeight w:val="300"/>
        </w:trPr>
        <w:tc>
          <w:tcPr>
            <w:tcW w:w="1575" w:type="dxa"/>
            <w:tcMar/>
            <w:vAlign w:val="center"/>
          </w:tcPr>
          <w:p w:rsidR="0EBBD1BE" w:rsidP="31564936" w:rsidRDefault="0EBBD1BE" w14:paraId="4B3ABF0B" w14:textId="3C1660E2">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Legal</w:t>
            </w:r>
          </w:p>
        </w:tc>
        <w:tc>
          <w:tcPr>
            <w:tcW w:w="2640" w:type="dxa"/>
            <w:tcMar/>
            <w:vAlign w:val="center"/>
          </w:tcPr>
          <w:p w:rsidR="0EBBD1BE" w:rsidP="31564936" w:rsidRDefault="0EBBD1BE" w14:paraId="4B05C3F4" w14:textId="17FE4822">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Licensing, copyright issues</w:t>
            </w:r>
          </w:p>
        </w:tc>
        <w:tc>
          <w:tcPr>
            <w:tcW w:w="2775" w:type="dxa"/>
            <w:tcMar/>
            <w:vAlign w:val="center"/>
          </w:tcPr>
          <w:p w:rsidR="0EBBD1BE" w:rsidP="31564936" w:rsidRDefault="0EBBD1BE" w14:paraId="79E7B8F5" w14:textId="11732247">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Needs global licensing agreements</w:t>
            </w:r>
          </w:p>
        </w:tc>
        <w:tc>
          <w:tcPr>
            <w:tcW w:w="2130" w:type="dxa"/>
            <w:tcMar/>
            <w:vAlign w:val="center"/>
          </w:tcPr>
          <w:p w:rsidR="0EBBD1BE" w:rsidP="31564936" w:rsidRDefault="0EBBD1BE" w14:paraId="0E31DD8C" w14:textId="0C96203D">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Strong IP ownership reduces risk</w:t>
            </w:r>
          </w:p>
        </w:tc>
      </w:tr>
      <w:tr w:rsidR="0EBBD1BE" w:rsidTr="31564936" w14:paraId="0C54F7BA">
        <w:trPr>
          <w:trHeight w:val="300"/>
        </w:trPr>
        <w:tc>
          <w:tcPr>
            <w:tcW w:w="1575" w:type="dxa"/>
            <w:tcMar/>
            <w:vAlign w:val="center"/>
          </w:tcPr>
          <w:p w:rsidR="0EBBD1BE" w:rsidP="31564936" w:rsidRDefault="0EBBD1BE" w14:paraId="330BCB2A" w14:textId="1909E6E4">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Competitive</w:t>
            </w:r>
          </w:p>
        </w:tc>
        <w:tc>
          <w:tcPr>
            <w:tcW w:w="2640" w:type="dxa"/>
            <w:tcMar/>
            <w:vAlign w:val="center"/>
          </w:tcPr>
          <w:p w:rsidR="0EBBD1BE" w:rsidP="31564936" w:rsidRDefault="0EBBD1BE" w14:paraId="4C5F7A3C" w14:textId="6857A5DE">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High rivalry in streaming market</w:t>
            </w:r>
          </w:p>
        </w:tc>
        <w:tc>
          <w:tcPr>
            <w:tcW w:w="2775" w:type="dxa"/>
            <w:tcMar/>
            <w:vAlign w:val="center"/>
          </w:tcPr>
          <w:p w:rsidR="0EBBD1BE" w:rsidP="31564936" w:rsidRDefault="0EBBD1BE" w14:paraId="1300A9D9" w14:textId="71E9EE5A">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Faces pressure from multiple platforms</w:t>
            </w:r>
          </w:p>
        </w:tc>
        <w:tc>
          <w:tcPr>
            <w:tcW w:w="2130" w:type="dxa"/>
            <w:tcMar/>
            <w:vAlign w:val="center"/>
          </w:tcPr>
          <w:p w:rsidR="0EBBD1BE" w:rsidP="31564936" w:rsidRDefault="0EBBD1BE" w14:paraId="1D8C64D9" w14:textId="75DE49D3">
            <w:pPr>
              <w:spacing w:before="0" w:beforeAutospacing="off" w:after="0" w:afterAutospacing="off"/>
              <w:jc w:val="both"/>
              <w:rPr>
                <w:rFonts w:ascii="Arial" w:hAnsi="Arial" w:eastAsia="Arial" w:cs="Arial"/>
                <w:color w:val="000000" w:themeColor="text1" w:themeTint="FF" w:themeShade="FF"/>
                <w:sz w:val="20"/>
                <w:szCs w:val="20"/>
              </w:rPr>
            </w:pPr>
            <w:r w:rsidRPr="31564936" w:rsidR="7371332E">
              <w:rPr>
                <w:rFonts w:ascii="Arial" w:hAnsi="Arial" w:eastAsia="Arial" w:cs="Arial"/>
                <w:color w:val="000000" w:themeColor="text1" w:themeTint="FF" w:themeShade="FF"/>
                <w:sz w:val="22"/>
                <w:szCs w:val="22"/>
              </w:rPr>
              <w:t>Competes through exclusive content</w:t>
            </w:r>
          </w:p>
        </w:tc>
      </w:tr>
    </w:tbl>
    <w:p w:rsidR="0EBBD1BE" w:rsidP="31564936" w:rsidRDefault="0EBBD1BE" w14:paraId="7136668B" w14:textId="57C05B06">
      <w:pPr>
        <w:pStyle w:val="Normal"/>
        <w:jc w:val="both"/>
        <w:rPr>
          <w:rFonts w:ascii="Arial" w:hAnsi="Arial" w:eastAsia="Arial" w:cs="Arial"/>
        </w:rPr>
      </w:pPr>
    </w:p>
    <w:p xmlns:wp14="http://schemas.microsoft.com/office/word/2010/wordml" w:rsidR="008B6697" w:rsidP="31564936" w:rsidRDefault="008B6697" w14:paraId="47F96B26" wp14:textId="77777777">
      <w:pPr>
        <w:pStyle w:val="Heading1"/>
        <w:jc w:val="both"/>
        <w:rPr>
          <w:rFonts w:ascii="Arial" w:hAnsi="Arial" w:eastAsia="Arial" w:cs="Arial"/>
        </w:rPr>
      </w:pPr>
      <w:bookmarkStart w:name="_Toc1156333885" w:id="1011465909"/>
      <w:r w:rsidRPr="7C7D4041" w:rsidR="2B122B8D">
        <w:rPr>
          <w:rFonts w:ascii="Arial" w:hAnsi="Arial" w:eastAsia="Arial" w:cs="Arial"/>
        </w:rPr>
        <w:t>4.</w:t>
      </w:r>
      <w:r w:rsidRPr="7C7D4041" w:rsidR="52959616">
        <w:rPr>
          <w:rFonts w:ascii="Arial" w:hAnsi="Arial" w:eastAsia="Arial" w:cs="Arial"/>
        </w:rPr>
        <w:t xml:space="preserve"> </w:t>
      </w:r>
      <w:r w:rsidRPr="7C7D4041" w:rsidR="2B122B8D">
        <w:rPr>
          <w:rFonts w:ascii="Arial" w:hAnsi="Arial" w:eastAsia="Arial" w:cs="Arial"/>
        </w:rPr>
        <w:t>Impact on Competitive Position</w:t>
      </w:r>
      <w:bookmarkEnd w:id="1011465909"/>
    </w:p>
    <w:p w:rsidR="04132222" w:rsidP="2B2EF052" w:rsidRDefault="04132222" w14:paraId="7EB63BDC" w14:textId="639A51C2">
      <w:pPr>
        <w:pStyle w:val="Normal"/>
        <w:spacing w:before="240" w:beforeAutospacing="off" w:after="240" w:afterAutospacing="off"/>
        <w:ind w:left="0"/>
        <w:jc w:val="both"/>
        <w:rPr>
          <w:rFonts w:ascii="Arial" w:hAnsi="Arial" w:eastAsia="Arial" w:cs="Arial"/>
          <w:noProof/>
          <w:lang w:val="en-IN"/>
        </w:rPr>
      </w:pPr>
      <w:r w:rsidRPr="2B2EF052" w:rsidR="04132222">
        <w:rPr>
          <w:rFonts w:ascii="Arial" w:hAnsi="Arial" w:eastAsia="Arial" w:cs="Arial"/>
          <w:noProof/>
          <w:lang w:val="en-IN"/>
        </w:rPr>
        <w:t>Netflix and Disney+ competitiveness depend on the macro-environment to a great extent. Netflix enjoys the first-mover advantage, technological potential and global content strategy, whereas Disney+ has to rely on the brand recognition and exclusive intellectual property.</w:t>
      </w:r>
    </w:p>
    <w:p w:rsidR="04132222" w:rsidP="2B2EF052" w:rsidRDefault="04132222" w14:paraId="189400D9" w14:textId="2A7A2E63">
      <w:pPr>
        <w:pStyle w:val="Normal"/>
        <w:spacing w:before="240" w:beforeAutospacing="off" w:after="240" w:afterAutospacing="off"/>
        <w:ind w:left="0"/>
        <w:jc w:val="both"/>
      </w:pPr>
      <w:r w:rsidRPr="57F47822" w:rsidR="04132222">
        <w:rPr>
          <w:rFonts w:ascii="Arial" w:hAnsi="Arial" w:eastAsia="Arial" w:cs="Arial"/>
          <w:noProof/>
          <w:lang w:val="en-IN"/>
        </w:rPr>
        <w:t xml:space="preserve">The main advantages of Netflix are the technological innovation, personalisation, which is </w:t>
      </w:r>
      <w:sdt>
        <w:sdtPr>
          <w:id w:val="189918021"/>
          <w15:appearance w15:val="hidden"/>
          <w:tag w:val="tii-similarity-UFVCTElDQVRJT05fTWFja2F5LCBEYXZpZCwgQXJldnVvLCBNaWtrbywgTWVhZG93cywgTWF1cmVlbi4gIlN0cmF0ZWd5IiwgU3RyYXRlZ3ksIDIwMjM="/>
          <w:placeholder>
            <w:docPart w:val="DefaultPlaceholder_-1854013440"/>
          </w:placeholder>
        </w:sdtPr>
        <w:sdtContent>
          <w:r w:rsidRPr="57F47822" w:rsidR="04132222">
            <w:rPr>
              <w:rFonts w:ascii="Arial" w:hAnsi="Arial" w:eastAsia="Arial" w:cs="Arial"/>
              <w:noProof/>
              <w:lang w:val="en-IN"/>
            </w:rPr>
            <w:t>based on data</w:t>
          </w:r>
        </w:sdtContent>
      </w:sdt>
      <w:r w:rsidRPr="57F47822" w:rsidR="04132222">
        <w:rPr>
          <w:rFonts w:ascii="Arial" w:hAnsi="Arial" w:eastAsia="Arial" w:cs="Arial"/>
          <w:noProof/>
          <w:lang w:val="en-IN"/>
        </w:rPr>
        <w:t xml:space="preserve">, and a wide </w:t>
      </w:r>
      <w:sdt>
        <w:sdtPr>
          <w:id w:val="355231299"/>
          <w15:appearance w15:val="hidden"/>
          <w:tag w:val="tii-similarity-UFVCTElDQVRJT05fTWFja2F5LCBEYXZpZCwgQXJldnVvLCBNaWtrbywgTWVhZG93cywgTWF1cmVlbi4gIlN0cmF0ZWd5IiwgU3RyYXRlZ3ksIDIwMjM="/>
          <w:placeholder>
            <w:docPart w:val="DefaultPlaceholder_-1854013440"/>
          </w:placeholder>
        </w:sdtPr>
        <w:sdtContent>
          <w:r w:rsidRPr="57F47822" w:rsidR="04132222">
            <w:rPr>
              <w:rFonts w:ascii="Arial" w:hAnsi="Arial" w:eastAsia="Arial" w:cs="Arial"/>
              <w:noProof/>
              <w:lang w:val="en-IN"/>
            </w:rPr>
            <w:t>range of</w:t>
          </w:r>
        </w:sdtContent>
      </w:sdt>
      <w:r w:rsidRPr="57F47822" w:rsidR="04132222">
        <w:rPr>
          <w:rFonts w:ascii="Arial" w:hAnsi="Arial" w:eastAsia="Arial" w:cs="Arial"/>
          <w:noProof/>
          <w:lang w:val="en-IN"/>
        </w:rPr>
        <w:t xml:space="preserve"> content in the global library. The problem however is that high content production cost and easily imitated technology make the short-term sustainability hard.</w:t>
      </w:r>
    </w:p>
    <w:p w:rsidR="04132222" w:rsidP="2B2EF052" w:rsidRDefault="04132222" w14:paraId="6B3C9973" w14:textId="17F60991">
      <w:pPr>
        <w:pStyle w:val="Normal"/>
        <w:spacing w:before="240" w:beforeAutospacing="off" w:after="240" w:afterAutospacing="off"/>
        <w:ind w:left="0"/>
        <w:jc w:val="both"/>
      </w:pPr>
      <w:r w:rsidRPr="2B2EF052" w:rsidR="04132222">
        <w:rPr>
          <w:rFonts w:ascii="Arial" w:hAnsi="Arial" w:eastAsia="Arial" w:cs="Arial"/>
          <w:noProof/>
          <w:lang w:val="en-IN"/>
        </w:rPr>
        <w:t>Disney+ on the other hand enjoys exclusiveness in intellectual property, strong brand identity and definite family positioning. Nevertheless, the fact that it is dependent on content provided by franchisees can restrict flexibility and content variety.</w:t>
      </w:r>
    </w:p>
    <w:p w:rsidR="04132222" w:rsidP="2B2EF052" w:rsidRDefault="04132222" w14:paraId="0465A0AF" w14:textId="5C012DC6">
      <w:pPr>
        <w:pStyle w:val="Normal"/>
        <w:spacing w:before="240" w:beforeAutospacing="off" w:after="240" w:afterAutospacing="off"/>
        <w:ind w:left="0"/>
        <w:jc w:val="both"/>
      </w:pPr>
      <w:r w:rsidRPr="2B2EF052" w:rsidR="04132222">
        <w:rPr>
          <w:rFonts w:ascii="Arial" w:hAnsi="Arial" w:eastAsia="Arial" w:cs="Arial"/>
          <w:noProof/>
          <w:lang w:val="en-IN"/>
        </w:rPr>
        <w:t>In general, Netflix is an innovative and worldwide company, whereas Disney+ is an established brand and content that is not available elsewhere.</w:t>
      </w:r>
    </w:p>
    <w:tbl>
      <w:tblPr>
        <w:tblStyle w:val="TableNormal"/>
        <w:bidiVisual w:val="0"/>
        <w:tblW w:w="0" w:type="auto"/>
        <w:jc w:val="left"/>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940"/>
        <w:gridCol w:w="2745"/>
        <w:gridCol w:w="3420"/>
      </w:tblGrid>
      <w:tr w:rsidR="0EBBD1BE" w:rsidTr="2B2EF052" w14:paraId="32B3125A">
        <w:trPr>
          <w:trHeight w:val="300"/>
        </w:trPr>
        <w:tc>
          <w:tcPr>
            <w:tcW w:w="2940" w:type="dxa"/>
            <w:tcMar/>
            <w:vAlign w:val="center"/>
          </w:tcPr>
          <w:p w:rsidR="0EBBD1BE" w:rsidP="31564936" w:rsidRDefault="0EBBD1BE" w14:paraId="0B92C335" w14:textId="5C42BC34">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Factor</w:t>
            </w:r>
          </w:p>
        </w:tc>
        <w:tc>
          <w:tcPr>
            <w:tcW w:w="2745" w:type="dxa"/>
            <w:tcMar/>
            <w:vAlign w:val="center"/>
          </w:tcPr>
          <w:p w:rsidR="0EBBD1BE" w:rsidP="31564936" w:rsidRDefault="0EBBD1BE" w14:paraId="24895DD4" w14:textId="23525876">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Netflix</w:t>
            </w:r>
          </w:p>
        </w:tc>
        <w:tc>
          <w:tcPr>
            <w:tcW w:w="3420" w:type="dxa"/>
            <w:tcMar/>
            <w:vAlign w:val="center"/>
          </w:tcPr>
          <w:p w:rsidR="0EBBD1BE" w:rsidP="31564936" w:rsidRDefault="0EBBD1BE" w14:paraId="49331F10" w14:textId="21484618">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Disney+</w:t>
            </w:r>
          </w:p>
        </w:tc>
      </w:tr>
      <w:tr w:rsidR="0EBBD1BE" w:rsidTr="2B2EF052" w14:paraId="727BF120">
        <w:trPr>
          <w:trHeight w:val="300"/>
        </w:trPr>
        <w:tc>
          <w:tcPr>
            <w:tcW w:w="2940" w:type="dxa"/>
            <w:tcMar/>
            <w:vAlign w:val="center"/>
          </w:tcPr>
          <w:p w:rsidR="0EBBD1BE" w:rsidP="31564936" w:rsidRDefault="0EBBD1BE" w14:paraId="23930DDB" w14:textId="15765C8F">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Market Entry</w:t>
            </w:r>
          </w:p>
        </w:tc>
        <w:tc>
          <w:tcPr>
            <w:tcW w:w="2745" w:type="dxa"/>
            <w:tcMar/>
            <w:vAlign w:val="center"/>
          </w:tcPr>
          <w:p w:rsidR="0EBBD1BE" w:rsidP="31564936" w:rsidRDefault="0EBBD1BE" w14:paraId="18D9D5C2" w14:textId="4AE7F104">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Pioneer</w:t>
            </w:r>
          </w:p>
        </w:tc>
        <w:tc>
          <w:tcPr>
            <w:tcW w:w="3420" w:type="dxa"/>
            <w:tcMar/>
            <w:vAlign w:val="center"/>
          </w:tcPr>
          <w:p w:rsidR="0EBBD1BE" w:rsidP="31564936" w:rsidRDefault="0EBBD1BE" w14:paraId="4F5677E7" w14:textId="48D6C747">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Follower</w:t>
            </w:r>
          </w:p>
        </w:tc>
      </w:tr>
      <w:tr w:rsidR="0EBBD1BE" w:rsidTr="2B2EF052" w14:paraId="538D6914">
        <w:trPr>
          <w:trHeight w:val="300"/>
        </w:trPr>
        <w:tc>
          <w:tcPr>
            <w:tcW w:w="2940" w:type="dxa"/>
            <w:tcMar/>
            <w:vAlign w:val="center"/>
          </w:tcPr>
          <w:p w:rsidR="0EBBD1BE" w:rsidP="31564936" w:rsidRDefault="0EBBD1BE" w14:paraId="53C10E1F" w14:textId="3C89D0F8">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Core Strength</w:t>
            </w:r>
          </w:p>
        </w:tc>
        <w:tc>
          <w:tcPr>
            <w:tcW w:w="2745" w:type="dxa"/>
            <w:tcMar/>
            <w:vAlign w:val="center"/>
          </w:tcPr>
          <w:p w:rsidR="0EBBD1BE" w:rsidP="31564936" w:rsidRDefault="0EBBD1BE" w14:paraId="5F81C730" w14:textId="0524582C">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Technology &amp; Data</w:t>
            </w:r>
          </w:p>
        </w:tc>
        <w:tc>
          <w:tcPr>
            <w:tcW w:w="3420" w:type="dxa"/>
            <w:tcMar/>
            <w:vAlign w:val="center"/>
          </w:tcPr>
          <w:p w:rsidR="0EBBD1BE" w:rsidP="31564936" w:rsidRDefault="0EBBD1BE" w14:paraId="65F763D0" w14:textId="739C81EB">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Brand &amp; Intellectual Property</w:t>
            </w:r>
          </w:p>
        </w:tc>
      </w:tr>
      <w:tr w:rsidR="0EBBD1BE" w:rsidTr="2B2EF052" w14:paraId="71370F6D">
        <w:trPr>
          <w:trHeight w:val="300"/>
        </w:trPr>
        <w:tc>
          <w:tcPr>
            <w:tcW w:w="2940" w:type="dxa"/>
            <w:tcMar/>
            <w:vAlign w:val="center"/>
          </w:tcPr>
          <w:p w:rsidR="0EBBD1BE" w:rsidP="31564936" w:rsidRDefault="0EBBD1BE" w14:paraId="23CD9836" w14:textId="4D96B578">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Content Strategy</w:t>
            </w:r>
          </w:p>
        </w:tc>
        <w:tc>
          <w:tcPr>
            <w:tcW w:w="2745" w:type="dxa"/>
            <w:tcMar/>
            <w:vAlign w:val="center"/>
          </w:tcPr>
          <w:p w:rsidR="0EBBD1BE" w:rsidP="31564936" w:rsidRDefault="0EBBD1BE" w14:paraId="63E0D9AB" w14:textId="77F420D0">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Diverse global content</w:t>
            </w:r>
          </w:p>
        </w:tc>
        <w:tc>
          <w:tcPr>
            <w:tcW w:w="3420" w:type="dxa"/>
            <w:tcMar/>
            <w:vAlign w:val="center"/>
          </w:tcPr>
          <w:p w:rsidR="0EBBD1BE" w:rsidP="31564936" w:rsidRDefault="0EBBD1BE" w14:paraId="03D86282" w14:textId="6585C873">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Franchise-based content</w:t>
            </w:r>
          </w:p>
        </w:tc>
      </w:tr>
      <w:tr w:rsidR="0EBBD1BE" w:rsidTr="2B2EF052" w14:paraId="3448994F">
        <w:trPr>
          <w:trHeight w:val="300"/>
        </w:trPr>
        <w:tc>
          <w:tcPr>
            <w:tcW w:w="2940" w:type="dxa"/>
            <w:tcMar/>
            <w:vAlign w:val="center"/>
          </w:tcPr>
          <w:p w:rsidR="0EBBD1BE" w:rsidP="31564936" w:rsidRDefault="0EBBD1BE" w14:paraId="453E4160" w14:textId="161CE124">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Target Audience</w:t>
            </w:r>
          </w:p>
        </w:tc>
        <w:tc>
          <w:tcPr>
            <w:tcW w:w="2745" w:type="dxa"/>
            <w:tcMar/>
            <w:vAlign w:val="center"/>
          </w:tcPr>
          <w:p w:rsidR="0EBBD1BE" w:rsidP="31564936" w:rsidRDefault="0EBBD1BE" w14:paraId="6801AAEE" w14:textId="1F3C1FD9">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Global audience</w:t>
            </w:r>
          </w:p>
        </w:tc>
        <w:tc>
          <w:tcPr>
            <w:tcW w:w="3420" w:type="dxa"/>
            <w:tcMar/>
            <w:vAlign w:val="center"/>
          </w:tcPr>
          <w:p w:rsidR="0EBBD1BE" w:rsidP="31564936" w:rsidRDefault="0EBBD1BE" w14:paraId="07254466" w14:textId="58FAA8E1">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Family-oriented</w:t>
            </w:r>
          </w:p>
        </w:tc>
      </w:tr>
      <w:tr w:rsidR="0EBBD1BE" w:rsidTr="2B2EF052" w14:paraId="6EC4E8FC">
        <w:trPr>
          <w:trHeight w:val="300"/>
        </w:trPr>
        <w:tc>
          <w:tcPr>
            <w:tcW w:w="2940" w:type="dxa"/>
            <w:tcMar/>
            <w:vAlign w:val="center"/>
          </w:tcPr>
          <w:p w:rsidR="0EBBD1BE" w:rsidP="31564936" w:rsidRDefault="0EBBD1BE" w14:paraId="5E90E706" w14:textId="372A3305">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Competitive Advantage</w:t>
            </w:r>
          </w:p>
        </w:tc>
        <w:tc>
          <w:tcPr>
            <w:tcW w:w="2745" w:type="dxa"/>
            <w:tcMar/>
            <w:vAlign w:val="center"/>
          </w:tcPr>
          <w:p w:rsidR="0EBBD1BE" w:rsidP="31564936" w:rsidRDefault="0EBBD1BE" w14:paraId="16FABD15" w14:textId="33C52E07">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Innovation &amp; analytics</w:t>
            </w:r>
          </w:p>
        </w:tc>
        <w:tc>
          <w:tcPr>
            <w:tcW w:w="3420" w:type="dxa"/>
            <w:tcMar/>
            <w:vAlign w:val="center"/>
          </w:tcPr>
          <w:p w:rsidR="0EBBD1BE" w:rsidP="31564936" w:rsidRDefault="0EBBD1BE" w14:paraId="513F8586" w14:textId="1F8BFC4C">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Exclusive IP &amp; brand loyalty</w:t>
            </w:r>
          </w:p>
        </w:tc>
      </w:tr>
      <w:tr w:rsidR="0EBBD1BE" w:rsidTr="2B2EF052" w14:paraId="62AF2BFE">
        <w:trPr>
          <w:trHeight w:val="300"/>
        </w:trPr>
        <w:tc>
          <w:tcPr>
            <w:tcW w:w="2940" w:type="dxa"/>
            <w:tcMar/>
            <w:vAlign w:val="center"/>
          </w:tcPr>
          <w:p w:rsidR="0EBBD1BE" w:rsidP="31564936" w:rsidRDefault="0EBBD1BE" w14:paraId="22B31287" w14:textId="00EB4E6C">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Main Weakness</w:t>
            </w:r>
          </w:p>
        </w:tc>
        <w:tc>
          <w:tcPr>
            <w:tcW w:w="2745" w:type="dxa"/>
            <w:tcMar/>
            <w:vAlign w:val="center"/>
          </w:tcPr>
          <w:p w:rsidR="0EBBD1BE" w:rsidP="31564936" w:rsidRDefault="0EBBD1BE" w14:paraId="2B4530E5" w14:textId="1C117666">
            <w:pPr>
              <w:spacing w:before="0" w:beforeAutospacing="off" w:after="0" w:afterAutospacing="off"/>
              <w:jc w:val="both"/>
              <w:rPr>
                <w:rFonts w:ascii="Arial" w:hAnsi="Arial" w:eastAsia="Arial" w:cs="Arial"/>
                <w:b w:val="0"/>
                <w:bCs w:val="0"/>
                <w:color w:val="000000" w:themeColor="text1" w:themeTint="FF" w:themeShade="FF"/>
                <w:sz w:val="22"/>
                <w:szCs w:val="22"/>
              </w:rPr>
            </w:pPr>
            <w:r w:rsidRPr="31564936" w:rsidR="7371332E">
              <w:rPr>
                <w:rFonts w:ascii="Arial" w:hAnsi="Arial" w:eastAsia="Arial" w:cs="Arial"/>
                <w:b w:val="0"/>
                <w:bCs w:val="0"/>
                <w:color w:val="000000" w:themeColor="text1" w:themeTint="FF" w:themeShade="FF"/>
                <w:sz w:val="22"/>
                <w:szCs w:val="22"/>
              </w:rPr>
              <w:t>High content cost</w:t>
            </w:r>
          </w:p>
        </w:tc>
        <w:tc>
          <w:tcPr>
            <w:tcW w:w="3420" w:type="dxa"/>
            <w:tcMar/>
            <w:vAlign w:val="center"/>
          </w:tcPr>
          <w:p w:rsidR="0EBBD1BE" w:rsidP="31564936" w:rsidRDefault="0EBBD1BE" w14:paraId="600CB3A3" w14:textId="6845A41C">
            <w:pPr>
              <w:spacing w:before="0" w:beforeAutospacing="off" w:after="0" w:afterAutospacing="off"/>
              <w:jc w:val="both"/>
              <w:rPr>
                <w:rFonts w:ascii="Arial" w:hAnsi="Arial" w:eastAsia="Arial" w:cs="Arial"/>
                <w:b w:val="0"/>
                <w:bCs w:val="0"/>
                <w:noProof/>
                <w:sz w:val="22"/>
                <w:szCs w:val="22"/>
                <w:lang w:val="en-IN"/>
              </w:rPr>
            </w:pPr>
            <w:r w:rsidRPr="31564936" w:rsidR="7371332E">
              <w:rPr>
                <w:rFonts w:ascii="Arial" w:hAnsi="Arial" w:eastAsia="Arial" w:cs="Arial"/>
                <w:b w:val="0"/>
                <w:bCs w:val="0"/>
                <w:color w:val="000000" w:themeColor="text1" w:themeTint="FF" w:themeShade="FF"/>
                <w:sz w:val="22"/>
                <w:szCs w:val="22"/>
              </w:rPr>
              <w:t>Limited content diversity</w:t>
            </w:r>
            <w:r w:rsidRPr="31564936" w:rsidR="7371332E">
              <w:rPr>
                <w:rFonts w:ascii="Arial" w:hAnsi="Arial" w:eastAsia="Arial" w:cs="Arial"/>
                <w:b w:val="0"/>
                <w:bCs w:val="0"/>
                <w:noProof/>
                <w:sz w:val="22"/>
                <w:szCs w:val="22"/>
                <w:lang w:val="en-IN"/>
              </w:rPr>
              <w:t xml:space="preserve"> </w:t>
            </w:r>
          </w:p>
        </w:tc>
      </w:tr>
    </w:tbl>
    <w:p xmlns:wp14="http://schemas.microsoft.com/office/word/2010/wordml" w:rsidR="008B6697" w:rsidP="31564936" w:rsidRDefault="008B6697" w14:paraId="3702BEDE" wp14:textId="711C124F">
      <w:pPr>
        <w:pStyle w:val="Heading1"/>
        <w:jc w:val="both"/>
        <w:rPr>
          <w:rFonts w:ascii="Arial" w:hAnsi="Arial" w:eastAsia="Arial" w:cs="Arial"/>
        </w:rPr>
      </w:pPr>
      <w:bookmarkStart w:name="_Toc1622530255" w:id="1228176413"/>
      <w:r w:rsidRPr="7C7D4041" w:rsidR="5859CC28">
        <w:rPr>
          <w:rFonts w:ascii="Arial" w:hAnsi="Arial" w:eastAsia="Arial" w:cs="Arial"/>
        </w:rPr>
        <w:t>5.</w:t>
      </w:r>
      <w:r w:rsidRPr="7C7D4041" w:rsidR="498B17D7">
        <w:rPr>
          <w:rFonts w:ascii="Arial" w:hAnsi="Arial" w:eastAsia="Arial" w:cs="Arial"/>
        </w:rPr>
        <w:t xml:space="preserve"> </w:t>
      </w:r>
      <w:r w:rsidRPr="7C7D4041" w:rsidR="5859CC28">
        <w:rPr>
          <w:rFonts w:ascii="Arial" w:hAnsi="Arial" w:eastAsia="Arial" w:cs="Arial"/>
        </w:rPr>
        <w:t>Strategic Responses</w:t>
      </w:r>
      <w:bookmarkEnd w:id="1228176413"/>
    </w:p>
    <w:p w:rsidR="437540E4" w:rsidP="7C7D4041" w:rsidRDefault="437540E4" w14:paraId="3EBB8727" w14:textId="1F78512B">
      <w:pPr>
        <w:pStyle w:val="Normal"/>
        <w:jc w:val="both"/>
        <w:rPr>
          <w:rFonts w:ascii="Arial" w:hAnsi="Arial" w:eastAsia="Arial" w:cs="Arial"/>
        </w:rPr>
      </w:pPr>
      <w:r w:rsidRPr="7C7D4041" w:rsidR="437540E4">
        <w:rPr>
          <w:rFonts w:ascii="Arial" w:hAnsi="Arial" w:eastAsia="Arial" w:cs="Arial"/>
        </w:rPr>
        <w:t>In the highly dynamic and competitive business models, organisations are forced to embrace efficient strategies to keep the growth and stay afloat in the market. Strategic decision-making is especially significant in the streaming industry where competition is stiff and consumer demands are constantly changing. Porter generic Strategies, the Ansoff Growth Matrix and other frameworks are useful in the aspect of appreciating how organisations react to the forces and pressure of their external environment as well as to their competitors (Porter, 2008).</w:t>
      </w:r>
    </w:p>
    <w:p xmlns:wp14="http://schemas.microsoft.com/office/word/2010/wordml" w:rsidR="008B6697" w:rsidP="7C7D4041" w:rsidRDefault="008B6697" w14:paraId="63B2FBD5" wp14:textId="215D1E7F">
      <w:pPr>
        <w:pStyle w:val="Normal"/>
        <w:ind w:left="0" w:firstLine="0"/>
        <w:jc w:val="both"/>
        <w:rPr>
          <w:rFonts w:ascii="Arial" w:hAnsi="Arial" w:eastAsia="Arial" w:cs="Arial"/>
          <w:b w:val="1"/>
          <w:bCs w:val="1"/>
        </w:rPr>
      </w:pPr>
      <w:r w:rsidRPr="7C7D4041" w:rsidR="62434D94">
        <w:rPr>
          <w:rFonts w:ascii="Arial" w:hAnsi="Arial" w:eastAsia="Arial" w:cs="Arial"/>
          <w:b w:val="1"/>
          <w:bCs w:val="1"/>
        </w:rPr>
        <w:t>5.1 Porter’s Generic Strategies</w:t>
      </w:r>
    </w:p>
    <w:p w:rsidR="60C31D89" w:rsidP="7C7D4041" w:rsidRDefault="60C31D89" w14:paraId="19C203F1" w14:textId="6EF49383">
      <w:pPr>
        <w:pStyle w:val="Normal"/>
        <w:jc w:val="both"/>
        <w:rPr>
          <w:rFonts w:ascii="Arial" w:hAnsi="Arial" w:eastAsia="Arial" w:cs="Arial"/>
          <w:b w:val="1"/>
          <w:bCs w:val="1"/>
        </w:rPr>
      </w:pPr>
      <w:r w:rsidR="60C31D89">
        <w:drawing>
          <wp:anchor distT="0" distB="0" distL="114300" distR="114300" simplePos="0" relativeHeight="251658240" behindDoc="0" locked="0" layoutInCell="1" allowOverlap="1" wp14:anchorId="767DAD85" wp14:editId="08B14B47">
            <wp:simplePos x="0" y="0"/>
            <wp:positionH relativeFrom="column">
              <wp:align>left</wp:align>
            </wp:positionH>
            <wp:positionV relativeFrom="paragraph">
              <wp:posOffset>0</wp:posOffset>
            </wp:positionV>
            <wp:extent cx="2201014" cy="1893881"/>
            <wp:effectExtent l="9525" t="9525" r="9525" b="9525"/>
            <wp:wrapSquare wrapText="bothSides"/>
            <wp:docPr id="1302573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7972967" name="Picture 2127972967"/>
                    <pic:cNvPicPr/>
                  </pic:nvPicPr>
                  <pic:blipFill>
                    <a:blip xmlns:r="http://schemas.openxmlformats.org/officeDocument/2006/relationships" r:embed="rId597615012">
                      <a:extLst>
                        <a:ext uri="{28A0092B-C50C-407E-A947-70E740481C1C}">
                          <a14:useLocalDpi xmlns:a14="http://schemas.microsoft.com/office/drawing/2010/main"/>
                        </a:ext>
                      </a:extLst>
                    </a:blip>
                    <a:stretch>
                      <a:fillRect/>
                    </a:stretch>
                  </pic:blipFill>
                  <pic:spPr>
                    <a:xfrm rot="0">
                      <a:off x="0" y="0"/>
                      <a:ext cx="2201014" cy="1893881"/>
                    </a:xfrm>
                    <a:prstGeom prst="rect">
                      <a:avLst/>
                    </a:prstGeom>
                    <a:ln w="9525">
                      <a:solidFill>
                        <a:schemeClr val="tx1"/>
                      </a:solidFill>
                      <a:prstDash val="solid"/>
                    </a:ln>
                  </pic:spPr>
                </pic:pic>
              </a:graphicData>
            </a:graphic>
            <wp14:sizeRelH relativeFrom="page">
              <wp14:pctWidth>0</wp14:pctWidth>
            </wp14:sizeRelH>
            <wp14:sizeRelV relativeFrom="page">
              <wp14:pctHeight>0</wp14:pctHeight>
            </wp14:sizeRelV>
          </wp:anchor>
        </w:drawing>
      </w:r>
      <w:r w:rsidRPr="7C7D4041" w:rsidR="14809C19">
        <w:rPr>
          <w:rFonts w:ascii="Arial" w:hAnsi="Arial" w:eastAsia="Arial" w:cs="Arial"/>
        </w:rPr>
        <w:t>The Generic Strategies of Porter point out three primary ways of achieving a competitive advantage including cost leadership, differentiation and focus (Porter, 2008). Netflix and Disney+ are the leading differentiating companies in the streaming industry, and their differentiating strategies vary.</w:t>
      </w:r>
    </w:p>
    <w:p w:rsidR="60C31D89" w:rsidP="2B2EF052" w:rsidRDefault="60C31D89" w14:paraId="7F666756" w14:textId="1356BEDB">
      <w:pPr>
        <w:pStyle w:val="Normal"/>
        <w:jc w:val="both"/>
      </w:pPr>
      <w:r w:rsidRPr="7C7D4041" w:rsidR="14809C19">
        <w:rPr>
          <w:rFonts w:ascii="Arial" w:hAnsi="Arial" w:eastAsia="Arial" w:cs="Arial"/>
        </w:rPr>
        <w:t>Netflix pursues a differentiation approach which means that it provides its one-of-a-kind value by way of original content, technological innovation and customised user experience. The company also spends a lot of money in creating its own unique movies, shows and documentaries that cannot be found on the rival platforms. This will enable Netflix to emerge in a very competitive market and get subscribers of all ages. Moreover, Netflix applies data analytics and artificial intelligence to customise content suggestions, which improves customer satisfaction and interaction. Its global content strategy, which involves the creation of region specific content, also makes it stronger in terms of competition as it attracts various audiences.</w:t>
      </w:r>
    </w:p>
    <w:p w:rsidR="60C31D89" w:rsidP="7C7D4041" w:rsidRDefault="60C31D89" w14:paraId="508B47B5" w14:textId="49CC1BBA">
      <w:pPr>
        <w:pStyle w:val="Normal"/>
        <w:jc w:val="both"/>
        <w:rPr>
          <w:rFonts w:ascii="Arial" w:hAnsi="Arial" w:eastAsia="Arial" w:cs="Arial"/>
        </w:rPr>
      </w:pPr>
      <w:r w:rsidRPr="7C7D4041" w:rsidR="14809C19">
        <w:rPr>
          <w:rFonts w:ascii="Arial" w:hAnsi="Arial" w:eastAsia="Arial" w:cs="Arial"/>
        </w:rPr>
        <w:t>Disney+, in its turn, uses a brand-based differentiation strategy as it has strong intellectual property that it uses. The platform allows only famous franchises to be accessed like Marvel, Star Wars and Pixar that are recognized widely in the whole world and have their fanbases. This practice establishes a good emotional relationship with the consumers and customer loyalty increases. Moreover, Disney Plus has the advantage of being intertwined with the rest of Disney ecosystem, which contributes extra value of the service and supports the overall market position.</w:t>
      </w:r>
    </w:p>
    <w:p xmlns:wp14="http://schemas.microsoft.com/office/word/2010/wordml" w:rsidR="008B6697" w:rsidP="31564936" w:rsidRDefault="008B6697" w14:paraId="2976E647" wp14:textId="0AA98C5A">
      <w:pPr>
        <w:pStyle w:val="Normal"/>
        <w:jc w:val="both"/>
        <w:rPr>
          <w:rFonts w:ascii="Arial" w:hAnsi="Arial" w:eastAsia="Arial" w:cs="Arial"/>
          <w:b w:val="1"/>
          <w:bCs w:val="1"/>
        </w:rPr>
      </w:pPr>
      <w:r w:rsidRPr="234E4EAF" w:rsidR="62434D94">
        <w:rPr>
          <w:rFonts w:ascii="Arial" w:hAnsi="Arial" w:eastAsia="Arial" w:cs="Arial"/>
        </w:rPr>
        <w:t xml:space="preserve"> </w:t>
      </w:r>
    </w:p>
    <w:p w:rsidR="234E4EAF" w:rsidP="234E4EAF" w:rsidRDefault="234E4EAF" w14:paraId="3FC34038" w14:textId="6D2E09C7">
      <w:pPr>
        <w:pStyle w:val="Normal"/>
        <w:jc w:val="both"/>
        <w:rPr>
          <w:rFonts w:ascii="Arial" w:hAnsi="Arial" w:eastAsia="Arial" w:cs="Arial"/>
          <w:b w:val="1"/>
          <w:bCs w:val="1"/>
        </w:rPr>
      </w:pPr>
    </w:p>
    <w:p w:rsidR="234E4EAF" w:rsidP="234E4EAF" w:rsidRDefault="234E4EAF" w14:paraId="445773D5" w14:textId="148A44E7">
      <w:pPr>
        <w:pStyle w:val="Normal"/>
        <w:jc w:val="both"/>
        <w:rPr>
          <w:rFonts w:ascii="Arial" w:hAnsi="Arial" w:eastAsia="Arial" w:cs="Arial"/>
          <w:b w:val="1"/>
          <w:bCs w:val="1"/>
        </w:rPr>
      </w:pPr>
    </w:p>
    <w:p w:rsidR="1D23089D" w:rsidP="234E4EAF" w:rsidRDefault="1D23089D" w14:textId="0CA1649B" w14:paraId="20746DB1">
      <w:pPr>
        <w:pStyle w:val="Normal"/>
        <w:jc w:val="both"/>
        <w:rPr>
          <w:rFonts w:ascii="Arial" w:hAnsi="Arial" w:eastAsia="Arial" w:cs="Arial"/>
          <w:b w:val="1"/>
          <w:bCs w:val="1"/>
        </w:rPr>
      </w:pPr>
      <w:r w:rsidRPr="7C7D4041" w:rsidR="598B8AAE">
        <w:rPr>
          <w:rFonts w:ascii="Arial" w:hAnsi="Arial" w:eastAsia="Arial" w:cs="Arial"/>
          <w:b w:val="1"/>
          <w:bCs w:val="1"/>
        </w:rPr>
        <w:t>5.2 Ansoff Growth Matrix</w:t>
      </w:r>
    </w:p>
    <w:p w:rsidR="1D23089D" w:rsidP="234E4EAF" w:rsidRDefault="1D23089D" w14:paraId="3E3D316F" w14:textId="663178F0">
      <w:pPr>
        <w:pStyle w:val="Normal"/>
        <w:jc w:val="both"/>
        <w:rPr>
          <w:rFonts w:ascii="Arial" w:hAnsi="Arial" w:eastAsia="Arial" w:cs="Arial"/>
          <w:b w:val="1"/>
          <w:bCs w:val="1"/>
        </w:rPr>
      </w:pPr>
      <w:r w:rsidRPr="234E4EAF" w:rsidR="0B4EEDE9">
        <w:rPr>
          <w:rFonts w:ascii="Arial" w:hAnsi="Arial" w:eastAsia="Arial" w:cs="Arial"/>
        </w:rPr>
        <w:t xml:space="preserve">Ansoff Growth Matrix describes four alternatives of strategic growth: </w:t>
      </w:r>
    </w:p>
    <w:p w:rsidR="1D23089D" w:rsidP="234E4EAF" w:rsidRDefault="1D23089D" w14:paraId="2672E0F9" w14:textId="5125FC48">
      <w:pPr>
        <w:pStyle w:val="Normal"/>
        <w:jc w:val="both"/>
        <w:rPr>
          <w:rFonts w:ascii="Arial" w:hAnsi="Arial" w:eastAsia="Arial" w:cs="Arial"/>
          <w:b w:val="1"/>
          <w:bCs w:val="1"/>
        </w:rPr>
      </w:pPr>
      <w:r w:rsidRPr="234E4EAF" w:rsidR="0B4EEDE9">
        <w:rPr>
          <w:rFonts w:ascii="Arial" w:hAnsi="Arial" w:eastAsia="Arial" w:cs="Arial"/>
        </w:rPr>
        <w:t>market penetration, market development, product development and diversification (Ansoff, 1988). Netflix and Disney+ use many of the strategies of this model to facilitate their development.</w:t>
      </w:r>
    </w:p>
    <w:p w:rsidR="1D23089D" w:rsidP="7C7D4041" w:rsidRDefault="1D23089D" w14:paraId="2EAF6CF1" w14:textId="5E331E51">
      <w:pPr>
        <w:pStyle w:val="Normal"/>
        <w:jc w:val="both"/>
        <w:rPr>
          <w:rFonts w:ascii="Arial" w:hAnsi="Arial" w:eastAsia="Arial" w:cs="Arial"/>
          <w:b w:val="1"/>
          <w:bCs w:val="1"/>
        </w:rPr>
      </w:pPr>
      <w:r w:rsidRPr="234E4EAF" w:rsidR="0B4EEDE9">
        <w:rPr>
          <w:rFonts w:ascii="Arial" w:hAnsi="Arial" w:eastAsia="Arial" w:cs="Arial"/>
        </w:rPr>
        <w:t>The main strategies adopted by Netflix include market development and product development strategies. The firm has also ventured into international markets and hence can attract a significant international market and subscriber base. Meanwhile, Netflix is ever-creating original work to reach and keep customers and guarantee a high rate of engagement.</w:t>
      </w:r>
      <w:r w:rsidR="234E4EAF">
        <w:drawing>
          <wp:anchor distT="0" distB="0" distL="114300" distR="114300" simplePos="0" relativeHeight="251658240" behindDoc="0" locked="0" layoutInCell="1" allowOverlap="1" wp14:editId="035E53FF" wp14:anchorId="55B9924F">
            <wp:simplePos x="0" y="0"/>
            <wp:positionH relativeFrom="column">
              <wp:align>right</wp:align>
            </wp:positionH>
            <wp:positionV relativeFrom="paragraph">
              <wp:posOffset>0</wp:posOffset>
            </wp:positionV>
            <wp:extent cx="2488984" cy="1559008"/>
            <wp:effectExtent l="0" t="0" r="0" b="0"/>
            <wp:wrapSquare wrapText="bothSides"/>
            <wp:docPr id="6386193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871" name="Picture 972871"/>
                    <pic:cNvPicPr/>
                  </pic:nvPicPr>
                  <pic:blipFill>
                    <a:blip xmlns:r="http://schemas.openxmlformats.org/officeDocument/2006/relationships" r:embed="rId843877986">
                      <a:extLst>
                        <a:ext uri="{28A0092B-C50C-407E-A947-70E740481C1C}">
                          <a14:useLocalDpi xmlns:a14="http://schemas.microsoft.com/office/drawing/2010/main"/>
                        </a:ext>
                      </a:extLst>
                    </a:blip>
                    <a:stretch>
                      <a:fillRect/>
                    </a:stretch>
                  </pic:blipFill>
                  <pic:spPr>
                    <a:xfrm rot="0">
                      <a:off x="0" y="0"/>
                      <a:ext cx="2488984" cy="1559008"/>
                    </a:xfrm>
                    <a:prstGeom prst="rect">
                      <a:avLst/>
                    </a:prstGeom>
                  </pic:spPr>
                </pic:pic>
              </a:graphicData>
            </a:graphic>
            <wp14:sizeRelH relativeFrom="page">
              <wp14:pctWidth>0</wp14:pctWidth>
            </wp14:sizeRelH>
            <wp14:sizeRelV relativeFrom="page">
              <wp14:pctHeight>0</wp14:pctHeight>
            </wp14:sizeRelV>
          </wp:anchor>
        </w:drawing>
      </w:r>
    </w:p>
    <w:p w:rsidR="1D23089D" w:rsidP="2F9263F2" w:rsidRDefault="1D23089D" w14:paraId="27F32F3E" w14:textId="40938595">
      <w:pPr>
        <w:pStyle w:val="Normal"/>
        <w:jc w:val="both"/>
      </w:pPr>
      <w:r w:rsidRPr="7C7D4041" w:rsidR="0B4EEDE9">
        <w:rPr>
          <w:rFonts w:ascii="Arial" w:hAnsi="Arial" w:eastAsia="Arial" w:cs="Arial"/>
        </w:rPr>
        <w:t>Disney+ has concentrated largely on penetrating the market and product development strategies. It will serve a current Disney audience with competitive prices and bundle subscriptions, generating customer value and retention. Moreover, Disney+ is increasing its content by creating new series along with the already existing franchise, thus minimizing the risk and guaranteeing the audience attention.</w:t>
      </w:r>
    </w:p>
    <w:p xmlns:wp14="http://schemas.microsoft.com/office/word/2010/wordml" w:rsidR="008B6697" w:rsidP="31564936" w:rsidRDefault="008B6697" w14:paraId="4C634E56" wp14:textId="77777777">
      <w:pPr>
        <w:pStyle w:val="Heading1"/>
        <w:jc w:val="both"/>
        <w:rPr>
          <w:rFonts w:ascii="Arial" w:hAnsi="Arial" w:eastAsia="Arial" w:cs="Arial"/>
        </w:rPr>
      </w:pPr>
      <w:bookmarkStart w:name="_Toc1356258642" w:id="388260295"/>
      <w:r w:rsidRPr="7C7D4041" w:rsidR="5859CC28">
        <w:rPr>
          <w:rFonts w:ascii="Arial" w:hAnsi="Arial" w:eastAsia="Arial" w:cs="Arial"/>
        </w:rPr>
        <w:t>6.</w:t>
      </w:r>
      <w:r w:rsidRPr="7C7D4041" w:rsidR="498B17D7">
        <w:rPr>
          <w:rFonts w:ascii="Arial" w:hAnsi="Arial" w:eastAsia="Arial" w:cs="Arial"/>
        </w:rPr>
        <w:t xml:space="preserve"> </w:t>
      </w:r>
      <w:r w:rsidRPr="7C7D4041" w:rsidR="5859CC28">
        <w:rPr>
          <w:rFonts w:ascii="Arial" w:hAnsi="Arial" w:eastAsia="Arial" w:cs="Arial"/>
        </w:rPr>
        <w:t>Critical Evaluation</w:t>
      </w:r>
      <w:bookmarkEnd w:id="388260295"/>
    </w:p>
    <w:p w:rsidR="24CBF2FC" w:rsidP="7C7D4041" w:rsidRDefault="24CBF2FC" w14:paraId="2A070BE5" w14:textId="4D252254">
      <w:pPr>
        <w:pStyle w:val="Normal"/>
        <w:jc w:val="both"/>
      </w:pPr>
      <w:r w:rsidRPr="7C7D4041" w:rsidR="24CBF2FC">
        <w:rPr>
          <w:rFonts w:ascii="Arial" w:hAnsi="Arial" w:eastAsia="Arial" w:cs="Arial"/>
        </w:rPr>
        <w:t>The comparison of Netflix and Disney+ can yield valuable information on how organisations react to macro-environmental changes and competition. In as much as Netflix used to have the first-mover advantage, the sustainability of this advantage in the long term has become as uncertain as ever.</w:t>
      </w:r>
    </w:p>
    <w:p w:rsidR="24CBF2FC" w:rsidP="7C7D4041" w:rsidRDefault="24CBF2FC" w14:paraId="030C58D7" w14:textId="2D4AA59A">
      <w:pPr>
        <w:pStyle w:val="Normal"/>
        <w:jc w:val="both"/>
      </w:pPr>
      <w:r w:rsidRPr="7C7D4041" w:rsidR="24CBF2FC">
        <w:rPr>
          <w:rFonts w:ascii="Arial" w:hAnsi="Arial" w:eastAsia="Arial" w:cs="Arial"/>
        </w:rPr>
        <w:t>The technological ability of Netflix that previously formed a major competitive edge is currently mainstream in the industry. Other streaming services and recommendation systems have evolved and made the services Netflix offers less unique (Barney, 1991). Moreover, the heavy dependence on original content creation that the company has experienced has increased expenses that might adversely affect profit performance in the future (PwC, 2024). That is one of the limitations of the strategy of Netflix, which needs constant investment to sustain its status in the competition.</w:t>
      </w:r>
    </w:p>
    <w:p w:rsidR="24CBF2FC" w:rsidP="7C7D4041" w:rsidRDefault="24CBF2FC" w14:paraId="44B5E494" w14:textId="655E6A51">
      <w:pPr>
        <w:pStyle w:val="Normal"/>
        <w:jc w:val="both"/>
      </w:pPr>
      <w:r w:rsidRPr="7C7D4041" w:rsidR="24CBF2FC">
        <w:rPr>
          <w:rFonts w:ascii="Arial" w:hAnsi="Arial" w:eastAsia="Arial" w:cs="Arial"/>
        </w:rPr>
        <w:t>On the contrary, Disney+ shows how follower organisations can prove to be competitive through good internal resources. It has a wide range of intellectual property, and its assets are worth a lot of money and hard to duplicate by other counterparts. Based on the Resource-Based View, these resources are critical in the attainment of sustainable competitive advantage (Grant, 2022). This is an indicator that Disney+ can be said to be better placed regarding the long-term strategic position as opposed to Netflix.</w:t>
      </w:r>
    </w:p>
    <w:p w:rsidR="24CBF2FC" w:rsidP="7C7D4041" w:rsidRDefault="24CBF2FC" w14:paraId="57E92C1E" w14:textId="0AF9DBA1">
      <w:pPr>
        <w:pStyle w:val="Normal"/>
        <w:jc w:val="both"/>
      </w:pPr>
      <w:r w:rsidRPr="7C7D4041" w:rsidR="24CBF2FC">
        <w:rPr>
          <w:rFonts w:ascii="Arial" w:hAnsi="Arial" w:eastAsia="Arial" w:cs="Arial"/>
        </w:rPr>
        <w:t>Nevertheless, Disney+ has some drawbacks as well. Its franchise based content can limit innovation and limit its capability to adapt to varying world markets. Although this is a good strategy in getting loyal audiences, it can restrict the platform to the broader consumer groups. Comparatively, the investing in international and diversified content by Netflix gives it more flexibility and wider international opportunities.</w:t>
      </w:r>
    </w:p>
    <w:p w:rsidR="24CBF2FC" w:rsidP="7C7D4041" w:rsidRDefault="24CBF2FC" w14:paraId="5022FF0B" w14:textId="5B4B36F0">
      <w:pPr>
        <w:pStyle w:val="Normal"/>
        <w:jc w:val="both"/>
      </w:pPr>
      <w:r w:rsidRPr="7C7D4041" w:rsidR="24CBF2FC">
        <w:rPr>
          <w:rFonts w:ascii="Arial" w:hAnsi="Arial" w:eastAsia="Arial" w:cs="Arial"/>
        </w:rPr>
        <w:t xml:space="preserve"> </w:t>
      </w:r>
    </w:p>
    <w:p w:rsidR="24CBF2FC" w:rsidP="7C7D4041" w:rsidRDefault="24CBF2FC" w14:paraId="03A27620" w14:textId="6382C4BC">
      <w:pPr>
        <w:pStyle w:val="Normal"/>
        <w:jc w:val="both"/>
      </w:pPr>
      <w:r w:rsidRPr="7C7D4041" w:rsidR="24CBF2FC">
        <w:rPr>
          <w:rFonts w:ascii="Arial" w:hAnsi="Arial" w:eastAsia="Arial" w:cs="Arial"/>
        </w:rPr>
        <w:t>Subscription fatigue is another major issue that the two organisations have experienced. Consumers are subscribing to multiple streaming services more and more and often cancel subscriptions based on the content available. The behaviour leads to unpredictability in earnings and more competition on the aspect of capturing attention (Deloitte, 2024).</w:t>
      </w:r>
    </w:p>
    <w:p w:rsidR="24CBF2FC" w:rsidP="7C7D4041" w:rsidRDefault="24CBF2FC" w14:paraId="4CE352C9" w14:textId="32286C09">
      <w:pPr>
        <w:pStyle w:val="Normal"/>
        <w:jc w:val="both"/>
      </w:pPr>
      <w:r w:rsidRPr="7C7D4041" w:rsidR="24CBF2FC">
        <w:rPr>
          <w:rFonts w:ascii="Arial" w:hAnsi="Arial" w:eastAsia="Arial" w:cs="Arial"/>
        </w:rPr>
        <w:t>To counter this obstacle, Netflix concentrates on the creation of large amounts of various content to keep the audience engaged, whereas Disney+ depends on the releases of major franchises to get high numbers of audiences. Both methods are effective but they are associated with trade-offs. The approach to operations by Netflix is more expensive to the company operations, and the one by Disney+ can leave the company without large content releases.</w:t>
      </w:r>
    </w:p>
    <w:p w:rsidR="24CBF2FC" w:rsidP="7C7D4041" w:rsidRDefault="24CBF2FC" w14:paraId="01060789" w14:textId="0BBA9925">
      <w:pPr>
        <w:pStyle w:val="Normal"/>
        <w:jc w:val="both"/>
      </w:pPr>
      <w:r w:rsidRPr="7C7D4041" w:rsidR="24CBF2FC">
        <w:rPr>
          <w:rFonts w:ascii="Arial" w:hAnsi="Arial" w:eastAsia="Arial" w:cs="Arial"/>
        </w:rPr>
        <w:t>Comprehensively, this discussion indicates that the various aspects of technological innovation and the brand are not enough to ensure long-term success. Rather, organisations have to keep on changing, balancing the cost and innovation and execute the response to the changing consumer behaviour to stay competitive.</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620"/>
        <w:gridCol w:w="4185"/>
        <w:gridCol w:w="3308"/>
      </w:tblGrid>
      <w:tr w:rsidR="0EBBD1BE" w:rsidTr="31564936" w14:paraId="338554A9">
        <w:trPr>
          <w:trHeight w:val="300"/>
        </w:trPr>
        <w:tc>
          <w:tcPr>
            <w:tcW w:w="1620" w:type="dxa"/>
            <w:tcMar/>
            <w:vAlign w:val="center"/>
          </w:tcPr>
          <w:p w:rsidR="0EBBD1BE" w:rsidP="31564936" w:rsidRDefault="0EBBD1BE" w14:paraId="5A5E53E5" w14:textId="0504C37C">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 xml:space="preserve"> Category</w:t>
            </w:r>
          </w:p>
        </w:tc>
        <w:tc>
          <w:tcPr>
            <w:tcW w:w="4185" w:type="dxa"/>
            <w:tcMar/>
            <w:vAlign w:val="center"/>
          </w:tcPr>
          <w:p w:rsidR="0EBBD1BE" w:rsidP="31564936" w:rsidRDefault="0EBBD1BE" w14:paraId="111B010C" w14:textId="56F704CE">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Netflix</w:t>
            </w:r>
          </w:p>
        </w:tc>
        <w:tc>
          <w:tcPr>
            <w:tcW w:w="3308" w:type="dxa"/>
            <w:tcMar/>
            <w:vAlign w:val="center"/>
          </w:tcPr>
          <w:p w:rsidR="0EBBD1BE" w:rsidP="31564936" w:rsidRDefault="0EBBD1BE" w14:paraId="4227C39C" w14:textId="7306DD58">
            <w:pPr>
              <w:spacing w:before="0" w:beforeAutospacing="off" w:after="0" w:afterAutospacing="off"/>
              <w:jc w:val="both"/>
              <w:rPr>
                <w:rFonts w:ascii="Arial" w:hAnsi="Arial" w:eastAsia="Arial" w:cs="Arial"/>
                <w:b w:val="1"/>
                <w:bCs w:val="1"/>
                <w:color w:val="000000" w:themeColor="text1" w:themeTint="FF" w:themeShade="FF"/>
              </w:rPr>
            </w:pPr>
            <w:r w:rsidRPr="31564936" w:rsidR="7371332E">
              <w:rPr>
                <w:rFonts w:ascii="Arial" w:hAnsi="Arial" w:eastAsia="Arial" w:cs="Arial"/>
                <w:b w:val="1"/>
                <w:bCs w:val="1"/>
                <w:color w:val="000000" w:themeColor="text1" w:themeTint="FF" w:themeShade="FF"/>
              </w:rPr>
              <w:t>Disney+</w:t>
            </w:r>
          </w:p>
        </w:tc>
      </w:tr>
      <w:tr w:rsidR="0EBBD1BE" w:rsidTr="31564936" w14:paraId="77F26AB9">
        <w:trPr>
          <w:trHeight w:val="300"/>
        </w:trPr>
        <w:tc>
          <w:tcPr>
            <w:tcW w:w="1620" w:type="dxa"/>
            <w:tcMar/>
            <w:vAlign w:val="center"/>
          </w:tcPr>
          <w:p w:rsidR="0EBBD1BE" w:rsidP="31564936" w:rsidRDefault="0EBBD1BE" w14:paraId="733A16A6" w14:textId="3F8EDFA2">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Strengths</w:t>
            </w:r>
          </w:p>
        </w:tc>
        <w:tc>
          <w:tcPr>
            <w:tcW w:w="4185" w:type="dxa"/>
            <w:tcMar/>
            <w:vAlign w:val="center"/>
          </w:tcPr>
          <w:p w:rsidR="0EBBD1BE" w:rsidP="31564936" w:rsidRDefault="0EBBD1BE" w14:paraId="48EF5F18" w14:textId="0B02484E">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Technology, global content</w:t>
            </w:r>
          </w:p>
        </w:tc>
        <w:tc>
          <w:tcPr>
            <w:tcW w:w="3308" w:type="dxa"/>
            <w:tcMar/>
            <w:vAlign w:val="center"/>
          </w:tcPr>
          <w:p w:rsidR="0EBBD1BE" w:rsidP="31564936" w:rsidRDefault="0EBBD1BE" w14:paraId="72ACCBC7" w14:textId="69206C69">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Strong brand, exclusive IP</w:t>
            </w:r>
          </w:p>
        </w:tc>
      </w:tr>
      <w:tr w:rsidR="0EBBD1BE" w:rsidTr="31564936" w14:paraId="7151C12B">
        <w:trPr>
          <w:trHeight w:val="300"/>
        </w:trPr>
        <w:tc>
          <w:tcPr>
            <w:tcW w:w="1620" w:type="dxa"/>
            <w:tcMar/>
            <w:vAlign w:val="center"/>
          </w:tcPr>
          <w:p w:rsidR="0EBBD1BE" w:rsidP="31564936" w:rsidRDefault="0EBBD1BE" w14:paraId="10F97F20" w14:textId="387ED359">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Weaknesses</w:t>
            </w:r>
          </w:p>
        </w:tc>
        <w:tc>
          <w:tcPr>
            <w:tcW w:w="4185" w:type="dxa"/>
            <w:tcMar/>
            <w:vAlign w:val="center"/>
          </w:tcPr>
          <w:p w:rsidR="0EBBD1BE" w:rsidP="31564936" w:rsidRDefault="0EBBD1BE" w14:paraId="41839AB8" w14:textId="19A25695">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High costs, competition</w:t>
            </w:r>
          </w:p>
        </w:tc>
        <w:tc>
          <w:tcPr>
            <w:tcW w:w="3308" w:type="dxa"/>
            <w:tcMar/>
            <w:vAlign w:val="center"/>
          </w:tcPr>
          <w:p w:rsidR="0EBBD1BE" w:rsidP="31564936" w:rsidRDefault="0EBBD1BE" w14:paraId="1CA97FE0" w14:textId="0F491AAA">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Limited content diversity</w:t>
            </w:r>
          </w:p>
        </w:tc>
      </w:tr>
      <w:tr w:rsidR="0EBBD1BE" w:rsidTr="31564936" w14:paraId="3D407712">
        <w:trPr>
          <w:trHeight w:val="300"/>
        </w:trPr>
        <w:tc>
          <w:tcPr>
            <w:tcW w:w="1620" w:type="dxa"/>
            <w:tcMar/>
            <w:vAlign w:val="center"/>
          </w:tcPr>
          <w:p w:rsidR="0EBBD1BE" w:rsidP="31564936" w:rsidRDefault="0EBBD1BE" w14:paraId="7CD71058" w14:textId="22326205">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Opportunities</w:t>
            </w:r>
          </w:p>
        </w:tc>
        <w:tc>
          <w:tcPr>
            <w:tcW w:w="4185" w:type="dxa"/>
            <w:tcMar/>
            <w:vAlign w:val="center"/>
          </w:tcPr>
          <w:p w:rsidR="0EBBD1BE" w:rsidP="31564936" w:rsidRDefault="0EBBD1BE" w14:paraId="68387A25" w14:textId="45FA9AD3">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Global markets, AI innovation</w:t>
            </w:r>
          </w:p>
        </w:tc>
        <w:tc>
          <w:tcPr>
            <w:tcW w:w="3308" w:type="dxa"/>
            <w:tcMar/>
            <w:vAlign w:val="center"/>
          </w:tcPr>
          <w:p w:rsidR="0EBBD1BE" w:rsidP="31564936" w:rsidRDefault="0EBBD1BE" w14:paraId="11D642E6" w14:textId="0000209E">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Expanding franchises</w:t>
            </w:r>
          </w:p>
        </w:tc>
      </w:tr>
      <w:tr w:rsidR="0EBBD1BE" w:rsidTr="31564936" w14:paraId="3FD2F139">
        <w:trPr>
          <w:trHeight w:val="300"/>
        </w:trPr>
        <w:tc>
          <w:tcPr>
            <w:tcW w:w="1620" w:type="dxa"/>
            <w:tcMar/>
            <w:vAlign w:val="center"/>
          </w:tcPr>
          <w:p w:rsidR="0EBBD1BE" w:rsidP="31564936" w:rsidRDefault="0EBBD1BE" w14:paraId="142FC134" w14:textId="0BB0057D">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Threats</w:t>
            </w:r>
          </w:p>
        </w:tc>
        <w:tc>
          <w:tcPr>
            <w:tcW w:w="4185" w:type="dxa"/>
            <w:tcMar/>
            <w:vAlign w:val="center"/>
          </w:tcPr>
          <w:p w:rsidR="0EBBD1BE" w:rsidP="31564936" w:rsidRDefault="0EBBD1BE" w14:paraId="30C74C5C" w14:textId="04319405">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Subscription fatigue, competitors</w:t>
            </w:r>
          </w:p>
        </w:tc>
        <w:tc>
          <w:tcPr>
            <w:tcW w:w="3308" w:type="dxa"/>
            <w:tcMar/>
            <w:vAlign w:val="center"/>
          </w:tcPr>
          <w:p w:rsidR="0EBBD1BE" w:rsidP="31564936" w:rsidRDefault="0EBBD1BE" w14:paraId="4A4AD39B" w14:textId="7A51CC0B">
            <w:pPr>
              <w:spacing w:before="0" w:beforeAutospacing="off" w:after="0" w:afterAutospacing="off"/>
              <w:jc w:val="both"/>
              <w:rPr>
                <w:rFonts w:ascii="Arial" w:hAnsi="Arial" w:eastAsia="Arial" w:cs="Arial"/>
                <w:color w:val="000000" w:themeColor="text1" w:themeTint="FF" w:themeShade="FF"/>
              </w:rPr>
            </w:pPr>
            <w:r w:rsidRPr="31564936" w:rsidR="7371332E">
              <w:rPr>
                <w:rFonts w:ascii="Arial" w:hAnsi="Arial" w:eastAsia="Arial" w:cs="Arial"/>
                <w:color w:val="000000" w:themeColor="text1" w:themeTint="FF" w:themeShade="FF"/>
              </w:rPr>
              <w:t>Market saturation</w:t>
            </w:r>
          </w:p>
        </w:tc>
      </w:tr>
    </w:tbl>
    <w:p w:rsidR="0EBBD1BE" w:rsidP="31564936" w:rsidRDefault="0EBBD1BE" w14:paraId="78D3D0F4" w14:textId="7A065E53">
      <w:pPr>
        <w:pStyle w:val="Normal"/>
        <w:jc w:val="both"/>
        <w:rPr>
          <w:rFonts w:ascii="Arial" w:hAnsi="Arial" w:eastAsia="Arial" w:cs="Arial"/>
        </w:rPr>
      </w:pPr>
    </w:p>
    <w:p xmlns:wp14="http://schemas.microsoft.com/office/word/2010/wordml" w:rsidR="00283D42" w:rsidP="31564936" w:rsidRDefault="00283D42" w14:paraId="16A1F5A8" wp14:textId="77777777">
      <w:pPr>
        <w:pStyle w:val="Heading1"/>
        <w:jc w:val="both"/>
        <w:rPr>
          <w:rFonts w:ascii="Arial" w:hAnsi="Arial" w:eastAsia="Arial" w:cs="Arial"/>
        </w:rPr>
      </w:pPr>
      <w:bookmarkStart w:name="_Toc1807618670" w:id="2015310493"/>
      <w:r w:rsidRPr="7C7D4041" w:rsidR="36677E78">
        <w:rPr>
          <w:rFonts w:ascii="Arial" w:hAnsi="Arial" w:eastAsia="Arial" w:cs="Arial"/>
        </w:rPr>
        <w:t>7.</w:t>
      </w:r>
      <w:r w:rsidRPr="7C7D4041" w:rsidR="498B17D7">
        <w:rPr>
          <w:rFonts w:ascii="Arial" w:hAnsi="Arial" w:eastAsia="Arial" w:cs="Arial"/>
        </w:rPr>
        <w:t xml:space="preserve"> </w:t>
      </w:r>
      <w:r w:rsidRPr="7C7D4041" w:rsidR="36677E78">
        <w:rPr>
          <w:rFonts w:ascii="Arial" w:hAnsi="Arial" w:eastAsia="Arial" w:cs="Arial"/>
        </w:rPr>
        <w:t>Conclusion</w:t>
      </w:r>
      <w:bookmarkEnd w:id="2015310493"/>
    </w:p>
    <w:p w:rsidR="46A4B795" w:rsidP="57F47822" w:rsidRDefault="46A4B795" w14:paraId="0BC0527C" w14:textId="71516530">
      <w:pPr>
        <w:pStyle w:val="Normal"/>
        <w:jc w:val="both"/>
        <w:rPr>
          <w:rFonts w:ascii="Arial" w:hAnsi="Arial" w:eastAsia="Arial" w:cs="Arial"/>
        </w:rPr>
      </w:pPr>
      <w:r w:rsidRPr="57F47822" w:rsidR="46A4B795">
        <w:rPr>
          <w:rFonts w:ascii="Arial" w:hAnsi="Arial" w:eastAsia="Arial" w:cs="Arial"/>
        </w:rPr>
        <w:t>The streaming sector emphasises that macro-environmental forces have a great influence on the organisational strategy. Netflix enjoyed early success owing to the technological innovation and international expansion, whereas Disney+ used the power of brands and intellectual property to compete.</w:t>
      </w:r>
    </w:p>
    <w:p w:rsidR="46A4B795" w:rsidP="57F47822" w:rsidRDefault="46A4B795" w14:paraId="107A56D3" w14:textId="7AE06FC8">
      <w:pPr>
        <w:pStyle w:val="Normal"/>
        <w:jc w:val="both"/>
      </w:pPr>
      <w:r w:rsidRPr="57F47822" w:rsidR="46A4B795">
        <w:rPr>
          <w:rFonts w:ascii="Arial" w:hAnsi="Arial" w:eastAsia="Arial" w:cs="Arial"/>
        </w:rPr>
        <w:t xml:space="preserve">Sustainable competitive advantage is based on how an organisation is able to adjust to the changing consumer behaviour, how the organisation is able to make use of the available resources and constantly innovate. </w:t>
      </w:r>
    </w:p>
    <w:p w:rsidR="46A4B795" w:rsidP="57F47822" w:rsidRDefault="46A4B795" w14:paraId="1F970287" w14:textId="69CD1520">
      <w:pPr>
        <w:pStyle w:val="Normal"/>
        <w:jc w:val="both"/>
      </w:pPr>
      <w:r w:rsidRPr="57F47822" w:rsidR="46A4B795">
        <w:rPr>
          <w:rFonts w:ascii="Arial" w:hAnsi="Arial" w:eastAsia="Arial" w:cs="Arial"/>
        </w:rPr>
        <w:t>With the competition growing steadily, Netflix and Disney+ have to be preoccupied with striking the right balance between investing in content and technology as well as strategic versatility to sustain their competitiveness.</w:t>
      </w:r>
    </w:p>
    <w:p xmlns:wp14="http://schemas.microsoft.com/office/word/2010/wordml" w:rsidR="00A44DB5" w:rsidP="31564936" w:rsidRDefault="00A44DB5" w14:paraId="071E4E01" wp14:textId="77777777">
      <w:pPr>
        <w:pStyle w:val="Heading1"/>
        <w:jc w:val="both"/>
        <w:rPr>
          <w:rFonts w:ascii="Arial" w:hAnsi="Arial" w:eastAsia="Arial" w:cs="Arial"/>
        </w:rPr>
      </w:pPr>
      <w:bookmarkStart w:name="_Toc1658149239" w:id="455798818"/>
      <w:r w:rsidRPr="7C7D4041" w:rsidR="06B95A65">
        <w:rPr>
          <w:rFonts w:ascii="Arial" w:hAnsi="Arial" w:eastAsia="Arial" w:cs="Arial"/>
        </w:rPr>
        <w:t>References</w:t>
      </w:r>
      <w:bookmarkEnd w:id="455798818"/>
    </w:p>
    <w:p w:rsidR="36C8C7B5" w:rsidP="3000B2BD" w:rsidRDefault="36C8C7B5" w14:paraId="27F47AA7" w14:textId="7E30B4BF">
      <w:pPr>
        <w:pStyle w:val="ListParagraph"/>
        <w:numPr>
          <w:ilvl w:val="0"/>
          <w:numId w:val="12"/>
        </w:numPr>
        <w:jc w:val="both"/>
        <w:rPr>
          <w:rFonts w:ascii="Arial" w:hAnsi="Arial" w:eastAsia="Arial" w:cs="Arial"/>
          <w:noProof/>
          <w:color w:val="000000" w:themeColor="text1" w:themeTint="FF" w:themeShade="FF"/>
          <w:sz w:val="24"/>
          <w:szCs w:val="24"/>
          <w:lang w:val="en-IN"/>
        </w:rPr>
      </w:pPr>
      <w:sdt>
        <w:sdtPr>
          <w:id w:val="1628208128"/>
          <w15:appearance w15:val="hidden"/>
          <w:tag w:val="tii-similarity-U1VCTUlUVEVEX1dPUktfb2lkOjE6MjU3ODg1NzA0"/>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Ansoff, H.I. (1988) </w:t>
          </w:r>
          <w:r w:rsidRPr="57F47822" w:rsidR="78002745">
            <w:rPr>
              <w:rFonts w:ascii="Arial" w:hAnsi="Arial" w:eastAsia="Arial" w:cs="Arial"/>
              <w:i w:val="1"/>
              <w:iCs w:val="1"/>
              <w:noProof/>
              <w:color w:val="000000" w:themeColor="text1" w:themeTint="FF" w:themeShade="FF"/>
              <w:sz w:val="24"/>
              <w:szCs w:val="24"/>
              <w:lang w:val="en-IN"/>
            </w:rPr>
            <w:t>Corporate Strategy</w:t>
          </w:r>
          <w:r w:rsidRPr="57F47822" w:rsidR="78002745">
            <w:rPr>
              <w:rFonts w:ascii="Arial" w:hAnsi="Arial" w:eastAsia="Arial" w:cs="Arial"/>
              <w:noProof/>
              <w:color w:val="000000" w:themeColor="text1" w:themeTint="FF" w:themeShade="FF"/>
              <w:sz w:val="24"/>
              <w:szCs w:val="24"/>
              <w:lang w:val="en-IN"/>
            </w:rPr>
            <w:t>. London: Penguin Books</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50BDE6D3" w14:textId="79EC3C79">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219293526"/>
          <w15:appearance w15:val="hidden"/>
          <w:tag w:val="tii-similarity-U1VCTUlUVEVEX1dPUktfb2lkOjE6MzQzOTM3MDU4N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Barney, J. (1991) ‘Firm Resources and Sustained Competitive Advantage’,</w:t>
          </w:r>
        </w:sdtContent>
      </w:sdt>
      <w:r w:rsidRPr="57F47822" w:rsidR="78002745">
        <w:rPr>
          <w:rFonts w:ascii="Arial" w:hAnsi="Arial" w:eastAsia="Arial" w:cs="Arial"/>
          <w:noProof/>
          <w:color w:val="000000" w:themeColor="text1" w:themeTint="FF" w:themeShade="FF"/>
          <w:sz w:val="24"/>
          <w:szCs w:val="24"/>
          <w:lang w:val="en-IN"/>
        </w:rPr>
        <w:t xml:space="preserve"> </w:t>
      </w:r>
      <w:sdt>
        <w:sdtPr>
          <w:id w:val="1448201160"/>
          <w15:appearance w15:val="hidden"/>
          <w:tag w:val="tii-similarity-U1VCTUlUVEVEX1dPUktfb2lkOjE6MzQzOTM3MDU4NA=="/>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Journal of Management</w:t>
          </w:r>
          <w:r w:rsidRPr="57F47822" w:rsidR="78002745">
            <w:rPr>
              <w:rFonts w:ascii="Arial" w:hAnsi="Arial" w:eastAsia="Arial" w:cs="Arial"/>
              <w:noProof/>
              <w:color w:val="000000" w:themeColor="text1" w:themeTint="FF" w:themeShade="FF"/>
              <w:sz w:val="24"/>
              <w:szCs w:val="24"/>
              <w:lang w:val="en-IN"/>
            </w:rPr>
            <w:t>, 17(1), pp. 99–120.</w:t>
          </w:r>
        </w:sdtContent>
      </w:sdt>
    </w:p>
    <w:p w:rsidR="36C8C7B5" w:rsidP="3000B2BD" w:rsidRDefault="36C8C7B5" w14:paraId="62C3D46C" w14:textId="3ED4D11D">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334864919"/>
          <w15:appearance w15:val="hidden"/>
          <w:tag w:val="tii-similarity-U1VCTUlUVEVEX1dPUktfb2lkOjE6MzQzOTM3MDU4N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Chaffey, D. and Ellis-Chadwick, F. (2022) </w:t>
          </w:r>
          <w:r w:rsidRPr="57F47822" w:rsidR="78002745">
            <w:rPr>
              <w:rFonts w:ascii="Arial" w:hAnsi="Arial" w:eastAsia="Arial" w:cs="Arial"/>
              <w:i w:val="1"/>
              <w:iCs w:val="1"/>
              <w:noProof/>
              <w:color w:val="000000" w:themeColor="text1" w:themeTint="FF" w:themeShade="FF"/>
              <w:sz w:val="24"/>
              <w:szCs w:val="24"/>
              <w:lang w:val="en-IN"/>
            </w:rPr>
            <w:t>Digital Marketing</w:t>
          </w:r>
          <w:r w:rsidRPr="57F47822" w:rsidR="78002745">
            <w:rPr>
              <w:rFonts w:ascii="Arial" w:hAnsi="Arial" w:eastAsia="Arial" w:cs="Arial"/>
              <w:noProof/>
              <w:color w:val="000000" w:themeColor="text1" w:themeTint="FF" w:themeShade="FF"/>
              <w:sz w:val="24"/>
              <w:szCs w:val="24"/>
              <w:lang w:val="en-IN"/>
            </w:rPr>
            <w:t>. 8th edn.</w:t>
          </w:r>
        </w:sdtContent>
      </w:sdt>
      <w:r w:rsidRPr="57F47822" w:rsidR="78002745">
        <w:rPr>
          <w:rFonts w:ascii="Arial" w:hAnsi="Arial" w:eastAsia="Arial" w:cs="Arial"/>
          <w:noProof/>
          <w:color w:val="000000" w:themeColor="text1" w:themeTint="FF" w:themeShade="FF"/>
          <w:sz w:val="24"/>
          <w:szCs w:val="24"/>
          <w:lang w:val="en-IN"/>
        </w:rPr>
        <w:t xml:space="preserve"> Harlow: Pearson.</w:t>
      </w:r>
    </w:p>
    <w:p w:rsidR="36C8C7B5" w:rsidP="3000B2BD" w:rsidRDefault="36C8C7B5" w14:paraId="26B6B939" w14:textId="6AA5375C">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31564936" w:rsidR="78002745">
        <w:rPr>
          <w:rFonts w:ascii="Arial" w:hAnsi="Arial" w:eastAsia="Arial" w:cs="Arial"/>
          <w:noProof/>
          <w:color w:val="000000" w:themeColor="text1" w:themeTint="FF" w:themeShade="FF"/>
          <w:sz w:val="24"/>
          <w:szCs w:val="24"/>
          <w:lang w:val="en-IN"/>
        </w:rPr>
        <w:t xml:space="preserve">Deloitte (2024) </w:t>
      </w:r>
      <w:r w:rsidRPr="31564936" w:rsidR="78002745">
        <w:rPr>
          <w:rFonts w:ascii="Arial" w:hAnsi="Arial" w:eastAsia="Arial" w:cs="Arial"/>
          <w:i w:val="1"/>
          <w:iCs w:val="1"/>
          <w:noProof/>
          <w:color w:val="000000" w:themeColor="text1" w:themeTint="FF" w:themeShade="FF"/>
          <w:sz w:val="24"/>
          <w:szCs w:val="24"/>
          <w:lang w:val="en-IN"/>
        </w:rPr>
        <w:t>Digital Media Trends Survey</w:t>
      </w:r>
      <w:r w:rsidRPr="31564936" w:rsidR="78002745">
        <w:rPr>
          <w:rFonts w:ascii="Arial" w:hAnsi="Arial" w:eastAsia="Arial" w:cs="Arial"/>
          <w:noProof/>
          <w:color w:val="000000" w:themeColor="text1" w:themeTint="FF" w:themeShade="FF"/>
          <w:sz w:val="24"/>
          <w:szCs w:val="24"/>
          <w:lang w:val="en-IN"/>
        </w:rPr>
        <w:t>. London: Deloitte Insights.</w:t>
      </w:r>
    </w:p>
    <w:p w:rsidR="36C8C7B5" w:rsidP="3000B2BD" w:rsidRDefault="36C8C7B5" w14:paraId="728E1B9C" w14:textId="4F92A801">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225263937"/>
          <w15:appearance w15:val="hidden"/>
          <w:tag w:val="tii-similarity-SU5URVJORVRfZ2Vqb3VybmFsLm5ld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Fill, C. and Turnbull, S</w:t>
          </w:r>
        </w:sdtContent>
      </w:sdt>
      <w:r w:rsidRPr="57F47822" w:rsidR="78002745">
        <w:rPr>
          <w:rFonts w:ascii="Arial" w:hAnsi="Arial" w:eastAsia="Arial" w:cs="Arial"/>
          <w:noProof/>
          <w:color w:val="000000" w:themeColor="text1" w:themeTint="FF" w:themeShade="FF"/>
          <w:sz w:val="24"/>
          <w:szCs w:val="24"/>
          <w:lang w:val="en-IN"/>
        </w:rPr>
        <w:t xml:space="preserve">. (2020) </w:t>
      </w:r>
      <w:sdt>
        <w:sdtPr>
          <w:id w:val="2112217983"/>
          <w15:appearance w15:val="hidden"/>
          <w:tag w:val="tii-similarity-SU5URVJORVRfZ2Vqb3VybmFsLm5ldA=="/>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Marketing Communications: Discovery,</w:t>
          </w:r>
        </w:sdtContent>
      </w:sdt>
      <w:r w:rsidRPr="57F47822" w:rsidR="78002745">
        <w:rPr>
          <w:rFonts w:ascii="Arial" w:hAnsi="Arial" w:eastAsia="Arial" w:cs="Arial"/>
          <w:i w:val="1"/>
          <w:iCs w:val="1"/>
          <w:noProof/>
          <w:color w:val="000000" w:themeColor="text1" w:themeTint="FF" w:themeShade="FF"/>
          <w:sz w:val="24"/>
          <w:szCs w:val="24"/>
          <w:lang w:val="en-IN"/>
        </w:rPr>
        <w:t xml:space="preserve"> </w:t>
      </w:r>
      <w:sdt>
        <w:sdtPr>
          <w:id w:val="874682850"/>
          <w15:appearance w15:val="hidden"/>
          <w:tag w:val="tii-similarity-SU5URVJORVRfZ2Vqb3VybmFsLm5ldA=="/>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Creation and Conversations</w:t>
          </w:r>
          <w:r w:rsidRPr="57F47822" w:rsidR="78002745">
            <w:rPr>
              <w:rFonts w:ascii="Arial" w:hAnsi="Arial" w:eastAsia="Arial" w:cs="Arial"/>
              <w:noProof/>
              <w:color w:val="000000" w:themeColor="text1" w:themeTint="FF" w:themeShade="FF"/>
              <w:sz w:val="24"/>
              <w:szCs w:val="24"/>
              <w:lang w:val="en-IN"/>
            </w:rPr>
            <w:t>. 8th edn. Harlow: Pearson</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6FFE19C1" w14:textId="17EEA828">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2066692495"/>
          <w15:appearance w15:val="hidden"/>
          <w:tag w:val="tii-similarity-U1VCTUlUVEVEX1dPUktfb2lkOjE6MzQ1NTQ3NTMyNQ=="/>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Grant, R.M</w:t>
          </w:r>
        </w:sdtContent>
      </w:sdt>
      <w:r w:rsidRPr="57F47822" w:rsidR="78002745">
        <w:rPr>
          <w:rFonts w:ascii="Arial" w:hAnsi="Arial" w:eastAsia="Arial" w:cs="Arial"/>
          <w:noProof/>
          <w:color w:val="000000" w:themeColor="text1" w:themeTint="FF" w:themeShade="FF"/>
          <w:sz w:val="24"/>
          <w:szCs w:val="24"/>
          <w:lang w:val="en-IN"/>
        </w:rPr>
        <w:t xml:space="preserve">. (2022) </w:t>
      </w:r>
      <w:sdt>
        <w:sdtPr>
          <w:id w:val="2069674760"/>
          <w15:appearance w15:val="hidden"/>
          <w:tag w:val="tii-similarity-U1VCTUlUVEVEX1dPUktfb2lkOjE6MzQ1NTQ3NTMyNQ=="/>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Contemporary Strategy Analysis</w:t>
          </w:r>
          <w:r w:rsidRPr="57F47822" w:rsidR="78002745">
            <w:rPr>
              <w:rFonts w:ascii="Arial" w:hAnsi="Arial" w:eastAsia="Arial" w:cs="Arial"/>
              <w:noProof/>
              <w:color w:val="000000" w:themeColor="text1" w:themeTint="FF" w:themeShade="FF"/>
              <w:sz w:val="24"/>
              <w:szCs w:val="24"/>
              <w:lang w:val="en-IN"/>
            </w:rPr>
            <w:t>. 11th edn. Oxford:</w:t>
          </w:r>
        </w:sdtContent>
      </w:sdt>
      <w:r w:rsidRPr="57F47822" w:rsidR="78002745">
        <w:rPr>
          <w:rFonts w:ascii="Arial" w:hAnsi="Arial" w:eastAsia="Arial" w:cs="Arial"/>
          <w:noProof/>
          <w:color w:val="000000" w:themeColor="text1" w:themeTint="FF" w:themeShade="FF"/>
          <w:sz w:val="24"/>
          <w:szCs w:val="24"/>
          <w:lang w:val="en-IN"/>
        </w:rPr>
        <w:t xml:space="preserve"> </w:t>
      </w:r>
      <w:sdt>
        <w:sdtPr>
          <w:id w:val="49340718"/>
          <w15:appearance w15:val="hidden"/>
          <w:tag w:val="tii-similarity-U1VCTUlUVEVEX1dPUktfb2lkOjE6MzQ1NTQ3NTMyNQ=="/>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Wiley</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469480F2" w14:textId="78275736">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57F47822" w:rsidR="78002745">
        <w:rPr>
          <w:rFonts w:ascii="Arial" w:hAnsi="Arial" w:eastAsia="Arial" w:cs="Arial"/>
          <w:noProof/>
          <w:color w:val="000000" w:themeColor="text1" w:themeTint="FF" w:themeShade="FF"/>
          <w:sz w:val="24"/>
          <w:szCs w:val="24"/>
          <w:lang w:val="en-IN"/>
        </w:rPr>
        <w:t xml:space="preserve">Jenner, M. (2018) </w:t>
      </w:r>
      <w:r w:rsidRPr="57F47822" w:rsidR="78002745">
        <w:rPr>
          <w:rFonts w:ascii="Arial" w:hAnsi="Arial" w:eastAsia="Arial" w:cs="Arial"/>
          <w:i w:val="1"/>
          <w:iCs w:val="1"/>
          <w:noProof/>
          <w:color w:val="000000" w:themeColor="text1" w:themeTint="FF" w:themeShade="FF"/>
          <w:sz w:val="24"/>
          <w:szCs w:val="24"/>
          <w:lang w:val="en-IN"/>
        </w:rPr>
        <w:t>Netflix and the Re-invention of Television</w:t>
      </w:r>
      <w:r w:rsidRPr="57F47822" w:rsidR="78002745">
        <w:rPr>
          <w:rFonts w:ascii="Arial" w:hAnsi="Arial" w:eastAsia="Arial" w:cs="Arial"/>
          <w:noProof/>
          <w:color w:val="000000" w:themeColor="text1" w:themeTint="FF" w:themeShade="FF"/>
          <w:sz w:val="24"/>
          <w:szCs w:val="24"/>
          <w:lang w:val="en-IN"/>
        </w:rPr>
        <w:t>. Cham: Palgrave Macmillan.</w:t>
      </w:r>
    </w:p>
    <w:p w:rsidR="36C8C7B5" w:rsidP="3000B2BD" w:rsidRDefault="36C8C7B5" w14:paraId="7A78C9EC" w14:textId="1AA5FD06">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286728059"/>
          <w15:appearance w15:val="hidden"/>
          <w:tag w:val="tii-similarity-SU5URVJORVRfd3d3LmNvdXJzZWhlcm8uY29t"/>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Jobber, D. and Ellis-Chadwick, F. (2020) </w:t>
          </w:r>
          <w:r w:rsidRPr="57F47822" w:rsidR="78002745">
            <w:rPr>
              <w:rFonts w:ascii="Arial" w:hAnsi="Arial" w:eastAsia="Arial" w:cs="Arial"/>
              <w:i w:val="1"/>
              <w:iCs w:val="1"/>
              <w:noProof/>
              <w:color w:val="000000" w:themeColor="text1" w:themeTint="FF" w:themeShade="FF"/>
              <w:sz w:val="24"/>
              <w:szCs w:val="24"/>
              <w:lang w:val="en-IN"/>
            </w:rPr>
            <w:t>Principles and Practice of</w:t>
          </w:r>
        </w:sdtContent>
      </w:sdt>
      <w:r w:rsidRPr="57F47822" w:rsidR="78002745">
        <w:rPr>
          <w:rFonts w:ascii="Arial" w:hAnsi="Arial" w:eastAsia="Arial" w:cs="Arial"/>
          <w:i w:val="1"/>
          <w:iCs w:val="1"/>
          <w:noProof/>
          <w:color w:val="000000" w:themeColor="text1" w:themeTint="FF" w:themeShade="FF"/>
          <w:sz w:val="24"/>
          <w:szCs w:val="24"/>
          <w:lang w:val="en-IN"/>
        </w:rPr>
        <w:t xml:space="preserve"> </w:t>
      </w:r>
      <w:sdt>
        <w:sdtPr>
          <w:id w:val="1240725308"/>
          <w15:appearance w15:val="hidden"/>
          <w:tag w:val="tii-similarity-SU5URVJORVRfd3d3LmNvdXJzZWhlcm8uY29t"/>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Marketing</w:t>
          </w:r>
          <w:r w:rsidRPr="57F47822" w:rsidR="78002745">
            <w:rPr>
              <w:rFonts w:ascii="Arial" w:hAnsi="Arial" w:eastAsia="Arial" w:cs="Arial"/>
              <w:noProof/>
              <w:color w:val="000000" w:themeColor="text1" w:themeTint="FF" w:themeShade="FF"/>
              <w:sz w:val="24"/>
              <w:szCs w:val="24"/>
              <w:lang w:val="en-IN"/>
            </w:rPr>
            <w:t>. 9th edn. London: McGraw-Hill</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0C7610CD" w14:textId="68820BB0">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455523642"/>
          <w15:appearance w15:val="hidden"/>
          <w:tag w:val="tii-similarity-SU5URVJORVRfd3d3LmRocnV2aWluZmluaXR5LmNvbQ=="/>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Johnson, G., Scholes, K. and Whittington, R</w:t>
          </w:r>
        </w:sdtContent>
      </w:sdt>
      <w:r w:rsidRPr="57F47822" w:rsidR="78002745">
        <w:rPr>
          <w:rFonts w:ascii="Arial" w:hAnsi="Arial" w:eastAsia="Arial" w:cs="Arial"/>
          <w:noProof/>
          <w:color w:val="000000" w:themeColor="text1" w:themeTint="FF" w:themeShade="FF"/>
          <w:sz w:val="24"/>
          <w:szCs w:val="24"/>
          <w:lang w:val="en-IN"/>
        </w:rPr>
        <w:t xml:space="preserve">. (2023) </w:t>
      </w:r>
      <w:sdt>
        <w:sdtPr>
          <w:id w:val="53409796"/>
          <w15:appearance w15:val="hidden"/>
          <w:tag w:val="tii-similarity-SU5URVJORVRfd3d3LmRocnV2aWluZmluaXR5LmNvbQ=="/>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Exploring Strategy</w:t>
          </w:r>
        </w:sdtContent>
      </w:sdt>
      <w:r w:rsidRPr="57F47822" w:rsidR="78002745">
        <w:rPr>
          <w:rFonts w:ascii="Arial" w:hAnsi="Arial" w:eastAsia="Arial" w:cs="Arial"/>
          <w:noProof/>
          <w:color w:val="000000" w:themeColor="text1" w:themeTint="FF" w:themeShade="FF"/>
          <w:sz w:val="24"/>
          <w:szCs w:val="24"/>
          <w:lang w:val="en-IN"/>
        </w:rPr>
        <w:t>. 13th edn. Harlow: Pearson.</w:t>
      </w:r>
    </w:p>
    <w:p w:rsidR="36C8C7B5" w:rsidP="3000B2BD" w:rsidRDefault="36C8C7B5" w14:paraId="185D395B" w14:textId="4671E2A3">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730536946"/>
          <w15:appearance w15:val="hidden"/>
          <w:tag w:val="tii-similarity-SU5URVJORVRfd3d3LmRocnV2aWluZmluaXR5LmNvbQ=="/>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Kotler, P. and Keller, K.L</w:t>
          </w:r>
        </w:sdtContent>
      </w:sdt>
      <w:r w:rsidRPr="57F47822" w:rsidR="78002745">
        <w:rPr>
          <w:rFonts w:ascii="Arial" w:hAnsi="Arial" w:eastAsia="Arial" w:cs="Arial"/>
          <w:noProof/>
          <w:color w:val="000000" w:themeColor="text1" w:themeTint="FF" w:themeShade="FF"/>
          <w:sz w:val="24"/>
          <w:szCs w:val="24"/>
          <w:lang w:val="en-IN"/>
        </w:rPr>
        <w:t xml:space="preserve">. (2022) </w:t>
      </w:r>
      <w:r w:rsidRPr="57F47822" w:rsidR="78002745">
        <w:rPr>
          <w:rFonts w:ascii="Arial" w:hAnsi="Arial" w:eastAsia="Arial" w:cs="Arial"/>
          <w:i w:val="1"/>
          <w:iCs w:val="1"/>
          <w:noProof/>
          <w:color w:val="000000" w:themeColor="text1" w:themeTint="FF" w:themeShade="FF"/>
          <w:sz w:val="24"/>
          <w:szCs w:val="24"/>
          <w:lang w:val="en-IN"/>
        </w:rPr>
        <w:t>Marketing Management</w:t>
      </w:r>
      <w:r w:rsidRPr="57F47822" w:rsidR="78002745">
        <w:rPr>
          <w:rFonts w:ascii="Arial" w:hAnsi="Arial" w:eastAsia="Arial" w:cs="Arial"/>
          <w:noProof/>
          <w:color w:val="000000" w:themeColor="text1" w:themeTint="FF" w:themeShade="FF"/>
          <w:sz w:val="24"/>
          <w:szCs w:val="24"/>
          <w:lang w:val="en-IN"/>
        </w:rPr>
        <w:t>. 16th edn. Harlow: Pearson.</w:t>
      </w:r>
    </w:p>
    <w:p w:rsidR="36C8C7B5" w:rsidP="3000B2BD" w:rsidRDefault="36C8C7B5" w14:paraId="2A6904A5" w14:textId="22B83D27">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832570982"/>
          <w15:appearance w15:val="hidden"/>
          <w:tag w:val="tii-similarity-SU5URVJORVRfdGhlc2lzLmV1ci5ub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Lobato, R. (2019) </w:t>
          </w:r>
          <w:r w:rsidRPr="57F47822" w:rsidR="78002745">
            <w:rPr>
              <w:rFonts w:ascii="Arial" w:hAnsi="Arial" w:eastAsia="Arial" w:cs="Arial"/>
              <w:i w:val="1"/>
              <w:iCs w:val="1"/>
              <w:noProof/>
              <w:color w:val="000000" w:themeColor="text1" w:themeTint="FF" w:themeShade="FF"/>
              <w:sz w:val="24"/>
              <w:szCs w:val="24"/>
              <w:lang w:val="en-IN"/>
            </w:rPr>
            <w:t>Netflix Nations: The Geography of Digital Distribution</w:t>
          </w:r>
          <w:r w:rsidRPr="57F47822" w:rsidR="78002745">
            <w:rPr>
              <w:rFonts w:ascii="Arial" w:hAnsi="Arial" w:eastAsia="Arial" w:cs="Arial"/>
              <w:noProof/>
              <w:color w:val="000000" w:themeColor="text1" w:themeTint="FF" w:themeShade="FF"/>
              <w:sz w:val="24"/>
              <w:szCs w:val="24"/>
              <w:lang w:val="en-IN"/>
            </w:rPr>
            <w:t>.</w:t>
          </w:r>
        </w:sdtContent>
      </w:sdt>
      <w:r w:rsidRPr="57F47822" w:rsidR="78002745">
        <w:rPr>
          <w:rFonts w:ascii="Arial" w:hAnsi="Arial" w:eastAsia="Arial" w:cs="Arial"/>
          <w:noProof/>
          <w:color w:val="000000" w:themeColor="text1" w:themeTint="FF" w:themeShade="FF"/>
          <w:sz w:val="24"/>
          <w:szCs w:val="24"/>
          <w:lang w:val="en-IN"/>
        </w:rPr>
        <w:t xml:space="preserve"> </w:t>
      </w:r>
      <w:sdt>
        <w:sdtPr>
          <w:id w:val="1688627459"/>
          <w15:appearance w15:val="hidden"/>
          <w:tag w:val="tii-similarity-SU5URVJORVRfdGhlc2lzLmV1ci5ub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New York: NYU Press.</w:t>
          </w:r>
        </w:sdtContent>
      </w:sdt>
    </w:p>
    <w:p w:rsidR="36C8C7B5" w:rsidP="3000B2BD" w:rsidRDefault="36C8C7B5" w14:paraId="1EDAD29A" w14:textId="003C0345">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104678033"/>
          <w15:appearance w15:val="hidden"/>
          <w:tag w:val="tii-similarity-SU5URVJORVRfdGhlc2lzLmV1ci5ub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Lotz, A.D. (2017) </w:t>
          </w:r>
          <w:r w:rsidRPr="57F47822" w:rsidR="78002745">
            <w:rPr>
              <w:rFonts w:ascii="Arial" w:hAnsi="Arial" w:eastAsia="Arial" w:cs="Arial"/>
              <w:i w:val="1"/>
              <w:iCs w:val="1"/>
              <w:noProof/>
              <w:color w:val="000000" w:themeColor="text1" w:themeTint="FF" w:themeShade="FF"/>
              <w:sz w:val="24"/>
              <w:szCs w:val="24"/>
              <w:lang w:val="en-IN"/>
            </w:rPr>
            <w:t>Portals: A Treatise on Internet-Distributed Television</w:t>
          </w:r>
          <w:r w:rsidRPr="57F47822" w:rsidR="78002745">
            <w:rPr>
              <w:rFonts w:ascii="Arial" w:hAnsi="Arial" w:eastAsia="Arial" w:cs="Arial"/>
              <w:noProof/>
              <w:color w:val="000000" w:themeColor="text1" w:themeTint="FF" w:themeShade="FF"/>
              <w:sz w:val="24"/>
              <w:szCs w:val="24"/>
              <w:lang w:val="en-IN"/>
            </w:rPr>
            <w:t>.</w:t>
          </w:r>
        </w:sdtContent>
      </w:sdt>
      <w:r w:rsidRPr="57F47822" w:rsidR="78002745">
        <w:rPr>
          <w:rFonts w:ascii="Arial" w:hAnsi="Arial" w:eastAsia="Arial" w:cs="Arial"/>
          <w:noProof/>
          <w:color w:val="000000" w:themeColor="text1" w:themeTint="FF" w:themeShade="FF"/>
          <w:sz w:val="24"/>
          <w:szCs w:val="24"/>
          <w:lang w:val="en-IN"/>
        </w:rPr>
        <w:t xml:space="preserve"> </w:t>
      </w:r>
      <w:sdt>
        <w:sdtPr>
          <w:id w:val="1620074834"/>
          <w15:appearance w15:val="hidden"/>
          <w:tag w:val="tii-similarity-SU5URVJORVRfdGhlc2lzLmV1ci5ub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Ann Arbor: Michigan Publishing</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349849B0" w14:textId="0F2BEF89">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31564936" w:rsidR="78002745">
        <w:rPr>
          <w:rFonts w:ascii="Arial" w:hAnsi="Arial" w:eastAsia="Arial" w:cs="Arial"/>
          <w:noProof/>
          <w:color w:val="000000" w:themeColor="text1" w:themeTint="FF" w:themeShade="FF"/>
          <w:sz w:val="24"/>
          <w:szCs w:val="24"/>
          <w:lang w:val="en-IN"/>
        </w:rPr>
        <w:t xml:space="preserve">McKinsey &amp; Company (2024) </w:t>
      </w:r>
      <w:r w:rsidRPr="31564936" w:rsidR="78002745">
        <w:rPr>
          <w:rFonts w:ascii="Arial" w:hAnsi="Arial" w:eastAsia="Arial" w:cs="Arial"/>
          <w:i w:val="1"/>
          <w:iCs w:val="1"/>
          <w:noProof/>
          <w:color w:val="000000" w:themeColor="text1" w:themeTint="FF" w:themeShade="FF"/>
          <w:sz w:val="24"/>
          <w:szCs w:val="24"/>
          <w:lang w:val="en-IN"/>
        </w:rPr>
        <w:t>Global Media and Entertainment Report</w:t>
      </w:r>
      <w:r w:rsidRPr="31564936" w:rsidR="78002745">
        <w:rPr>
          <w:rFonts w:ascii="Arial" w:hAnsi="Arial" w:eastAsia="Arial" w:cs="Arial"/>
          <w:noProof/>
          <w:color w:val="000000" w:themeColor="text1" w:themeTint="FF" w:themeShade="FF"/>
          <w:sz w:val="24"/>
          <w:szCs w:val="24"/>
          <w:lang w:val="en-IN"/>
        </w:rPr>
        <w:t xml:space="preserve">. Available at: </w:t>
      </w:r>
      <w:hyperlink r:id="Rc2c7cc6e22954d5d">
        <w:r w:rsidRPr="31564936" w:rsidR="78002745">
          <w:rPr>
            <w:rStyle w:val="Hyperlink"/>
            <w:rFonts w:ascii="Arial" w:hAnsi="Arial" w:eastAsia="Arial" w:cs="Arial"/>
            <w:noProof/>
            <w:color w:val="000000" w:themeColor="text1" w:themeTint="FF" w:themeShade="FF"/>
            <w:sz w:val="24"/>
            <w:szCs w:val="24"/>
            <w:lang w:val="en-IN"/>
          </w:rPr>
          <w:t>https://www.mckinsey.com</w:t>
        </w:r>
      </w:hyperlink>
      <w:r w:rsidRPr="31564936" w:rsidR="78002745">
        <w:rPr>
          <w:rFonts w:ascii="Arial" w:hAnsi="Arial" w:eastAsia="Arial" w:cs="Arial"/>
          <w:noProof/>
          <w:color w:val="000000" w:themeColor="text1" w:themeTint="FF" w:themeShade="FF"/>
          <w:sz w:val="24"/>
          <w:szCs w:val="24"/>
          <w:lang w:val="en-IN"/>
        </w:rPr>
        <w:t>(Accessed: 26 March 2026).</w:t>
      </w:r>
    </w:p>
    <w:p w:rsidR="36C8C7B5" w:rsidP="3000B2BD" w:rsidRDefault="36C8C7B5" w14:paraId="6644F247" w14:textId="6C48719D">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31564936" w:rsidR="78002745">
        <w:rPr>
          <w:rFonts w:ascii="Arial" w:hAnsi="Arial" w:eastAsia="Arial" w:cs="Arial"/>
          <w:noProof/>
          <w:color w:val="000000" w:themeColor="text1" w:themeTint="FF" w:themeShade="FF"/>
          <w:sz w:val="24"/>
          <w:szCs w:val="24"/>
          <w:lang w:val="en-IN"/>
        </w:rPr>
        <w:t xml:space="preserve">Ofcom (2024) </w:t>
      </w:r>
      <w:r w:rsidRPr="31564936" w:rsidR="78002745">
        <w:rPr>
          <w:rFonts w:ascii="Arial" w:hAnsi="Arial" w:eastAsia="Arial" w:cs="Arial"/>
          <w:i w:val="1"/>
          <w:iCs w:val="1"/>
          <w:noProof/>
          <w:color w:val="000000" w:themeColor="text1" w:themeTint="FF" w:themeShade="FF"/>
          <w:sz w:val="24"/>
          <w:szCs w:val="24"/>
          <w:lang w:val="en-IN"/>
        </w:rPr>
        <w:t>Media Nations Report: UK</w:t>
      </w:r>
      <w:r w:rsidRPr="31564936" w:rsidR="78002745">
        <w:rPr>
          <w:rFonts w:ascii="Arial" w:hAnsi="Arial" w:eastAsia="Arial" w:cs="Arial"/>
          <w:noProof/>
          <w:color w:val="000000" w:themeColor="text1" w:themeTint="FF" w:themeShade="FF"/>
          <w:sz w:val="24"/>
          <w:szCs w:val="24"/>
          <w:lang w:val="en-IN"/>
        </w:rPr>
        <w:t>. London: Ofcom.</w:t>
      </w:r>
    </w:p>
    <w:p w:rsidR="36C8C7B5" w:rsidP="3000B2BD" w:rsidRDefault="36C8C7B5" w14:paraId="1608EBB9" w14:textId="2A59C896">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984257475"/>
          <w15:appearance w15:val="hidden"/>
          <w:tag w:val="tii-similarity-SU5URVJORVRfd3d3LnJhbW9ubG9iYXRvLmNvbQ=="/>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Pariser, E. (2011) </w:t>
          </w:r>
          <w:r w:rsidRPr="57F47822" w:rsidR="78002745">
            <w:rPr>
              <w:rFonts w:ascii="Arial" w:hAnsi="Arial" w:eastAsia="Arial" w:cs="Arial"/>
              <w:i w:val="1"/>
              <w:iCs w:val="1"/>
              <w:noProof/>
              <w:color w:val="000000" w:themeColor="text1" w:themeTint="FF" w:themeShade="FF"/>
              <w:sz w:val="24"/>
              <w:szCs w:val="24"/>
              <w:lang w:val="en-IN"/>
            </w:rPr>
            <w:t>The Filter Bubble: What the Internet is Hiding from</w:t>
          </w:r>
        </w:sdtContent>
      </w:sdt>
      <w:r w:rsidRPr="57F47822" w:rsidR="78002745">
        <w:rPr>
          <w:rFonts w:ascii="Arial" w:hAnsi="Arial" w:eastAsia="Arial" w:cs="Arial"/>
          <w:i w:val="1"/>
          <w:iCs w:val="1"/>
          <w:noProof/>
          <w:color w:val="000000" w:themeColor="text1" w:themeTint="FF" w:themeShade="FF"/>
          <w:sz w:val="24"/>
          <w:szCs w:val="24"/>
          <w:lang w:val="en-IN"/>
        </w:rPr>
        <w:t xml:space="preserve"> </w:t>
      </w:r>
      <w:sdt>
        <w:sdtPr>
          <w:id w:val="1199626925"/>
          <w15:appearance w15:val="hidden"/>
          <w:tag w:val="tii-similarity-SU5URVJORVRfd3d3LnJhbW9ubG9iYXRvLmNvbQ=="/>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You</w:t>
          </w:r>
          <w:r w:rsidRPr="57F47822" w:rsidR="78002745">
            <w:rPr>
              <w:rFonts w:ascii="Arial" w:hAnsi="Arial" w:eastAsia="Arial" w:cs="Arial"/>
              <w:noProof/>
              <w:color w:val="000000" w:themeColor="text1" w:themeTint="FF" w:themeShade="FF"/>
              <w:sz w:val="24"/>
              <w:szCs w:val="24"/>
              <w:lang w:val="en-IN"/>
            </w:rPr>
            <w:t>. London: Penguin</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63EACD20" w14:textId="0F8578C1">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797380937"/>
          <w15:appearance w15:val="hidden"/>
          <w:tag w:val="tii-similarity-U1VCTUlUVEVEX1dPUktfb2lkOjE6MzI0NjY0MjEzNw=="/>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Porter, M.E. (1985) </w:t>
          </w:r>
          <w:r w:rsidRPr="57F47822" w:rsidR="78002745">
            <w:rPr>
              <w:rFonts w:ascii="Arial" w:hAnsi="Arial" w:eastAsia="Arial" w:cs="Arial"/>
              <w:i w:val="1"/>
              <w:iCs w:val="1"/>
              <w:noProof/>
              <w:color w:val="000000" w:themeColor="text1" w:themeTint="FF" w:themeShade="FF"/>
              <w:sz w:val="24"/>
              <w:szCs w:val="24"/>
              <w:lang w:val="en-IN"/>
            </w:rPr>
            <w:t>Competitive Advantage: Creating and Sustaining</w:t>
          </w:r>
        </w:sdtContent>
      </w:sdt>
      <w:r w:rsidRPr="57F47822" w:rsidR="78002745">
        <w:rPr>
          <w:rFonts w:ascii="Arial" w:hAnsi="Arial" w:eastAsia="Arial" w:cs="Arial"/>
          <w:i w:val="1"/>
          <w:iCs w:val="1"/>
          <w:noProof/>
          <w:color w:val="000000" w:themeColor="text1" w:themeTint="FF" w:themeShade="FF"/>
          <w:sz w:val="24"/>
          <w:szCs w:val="24"/>
          <w:lang w:val="en-IN"/>
        </w:rPr>
        <w:t xml:space="preserve"> </w:t>
      </w:r>
      <w:sdt>
        <w:sdtPr>
          <w:id w:val="1436800904"/>
          <w15:appearance w15:val="hidden"/>
          <w:tag w:val="tii-similarity-U1VCTUlUVEVEX1dPUktfb2lkOjE6MzI0NjY0MjEzNw=="/>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Superior Performance</w:t>
          </w:r>
          <w:r w:rsidRPr="57F47822" w:rsidR="78002745">
            <w:rPr>
              <w:rFonts w:ascii="Arial" w:hAnsi="Arial" w:eastAsia="Arial" w:cs="Arial"/>
              <w:noProof/>
              <w:color w:val="000000" w:themeColor="text1" w:themeTint="FF" w:themeShade="FF"/>
              <w:sz w:val="24"/>
              <w:szCs w:val="24"/>
              <w:lang w:val="en-IN"/>
            </w:rPr>
            <w:t>. New York: Free Press.</w:t>
          </w:r>
        </w:sdtContent>
      </w:sdt>
    </w:p>
    <w:p w:rsidR="36C8C7B5" w:rsidP="3000B2BD" w:rsidRDefault="36C8C7B5" w14:paraId="1852AC36" w14:textId="020D4797">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57F47822" w:rsidR="78002745">
        <w:rPr>
          <w:rFonts w:ascii="Arial" w:hAnsi="Arial" w:eastAsia="Arial" w:cs="Arial"/>
          <w:noProof/>
          <w:color w:val="000000" w:themeColor="text1" w:themeTint="FF" w:themeShade="FF"/>
          <w:sz w:val="24"/>
          <w:szCs w:val="24"/>
          <w:lang w:val="en-IN"/>
        </w:rPr>
        <w:t xml:space="preserve">Porter, M.E. (2008) </w:t>
      </w:r>
      <w:sdt>
        <w:sdtPr>
          <w:id w:val="1664824447"/>
          <w15:appearance w15:val="hidden"/>
          <w:tag w:val="tii-similarity-U1VCTUlUVEVEX1dPUktfb2lkOjE6MzI0NjY0MjEzNw=="/>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Competitive Strategy: Techniques for</w:t>
          </w:r>
        </w:sdtContent>
      </w:sdt>
      <w:r w:rsidRPr="57F47822" w:rsidR="78002745">
        <w:rPr>
          <w:rFonts w:ascii="Arial" w:hAnsi="Arial" w:eastAsia="Arial" w:cs="Arial"/>
          <w:i w:val="1"/>
          <w:iCs w:val="1"/>
          <w:noProof/>
          <w:color w:val="000000" w:themeColor="text1" w:themeTint="FF" w:themeShade="FF"/>
          <w:sz w:val="24"/>
          <w:szCs w:val="24"/>
          <w:lang w:val="en-IN"/>
        </w:rPr>
        <w:t xml:space="preserve"> Analysing </w:t>
      </w:r>
      <w:sdt>
        <w:sdtPr>
          <w:id w:val="1824050584"/>
          <w15:appearance w15:val="hidden"/>
          <w:tag w:val="tii-similarity-U1VCTUlUVEVEX1dPUktfb2lkOjE6MzI0NjY0MjEzNw=="/>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Industries and Competitors</w:t>
          </w:r>
          <w:r w:rsidRPr="57F47822" w:rsidR="78002745">
            <w:rPr>
              <w:rFonts w:ascii="Arial" w:hAnsi="Arial" w:eastAsia="Arial" w:cs="Arial"/>
              <w:noProof/>
              <w:color w:val="000000" w:themeColor="text1" w:themeTint="FF" w:themeShade="FF"/>
              <w:sz w:val="24"/>
              <w:szCs w:val="24"/>
              <w:lang w:val="en-IN"/>
            </w:rPr>
            <w:t>. New York: Free Press.</w:t>
          </w:r>
        </w:sdtContent>
      </w:sdt>
    </w:p>
    <w:p w:rsidR="36C8C7B5" w:rsidP="3000B2BD" w:rsidRDefault="36C8C7B5" w14:paraId="54B5611B" w14:textId="4826310E">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1791389540"/>
          <w15:appearance w15:val="hidden"/>
          <w:tag w:val="tii-similarity-U1VCTUlUVEVEX1dPUktfb2lkOjE6MzI0NjY0MjEzNw=="/>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Prahalad, C.K. and Hamel, G. (1990) ‘The Core Competence of the</w:t>
          </w:r>
        </w:sdtContent>
      </w:sdt>
      <w:r w:rsidRPr="57F47822" w:rsidR="78002745">
        <w:rPr>
          <w:rFonts w:ascii="Arial" w:hAnsi="Arial" w:eastAsia="Arial" w:cs="Arial"/>
          <w:noProof/>
          <w:color w:val="000000" w:themeColor="text1" w:themeTint="FF" w:themeShade="FF"/>
          <w:sz w:val="24"/>
          <w:szCs w:val="24"/>
          <w:lang w:val="en-IN"/>
        </w:rPr>
        <w:t xml:space="preserve"> </w:t>
      </w:r>
      <w:sdt>
        <w:sdtPr>
          <w:id w:val="499556817"/>
          <w15:appearance w15:val="hidden"/>
          <w:tag w:val="tii-similarity-U1VCTUlUVEVEX1dPUktfb2lkOjE6MzI0NjY0MjEzNw=="/>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Corporation’, </w:t>
          </w:r>
          <w:r w:rsidRPr="57F47822" w:rsidR="78002745">
            <w:rPr>
              <w:rFonts w:ascii="Arial" w:hAnsi="Arial" w:eastAsia="Arial" w:cs="Arial"/>
              <w:i w:val="1"/>
              <w:iCs w:val="1"/>
              <w:noProof/>
              <w:color w:val="000000" w:themeColor="text1" w:themeTint="FF" w:themeShade="FF"/>
              <w:sz w:val="24"/>
              <w:szCs w:val="24"/>
              <w:lang w:val="en-IN"/>
            </w:rPr>
            <w:t>Harvard Business Review</w:t>
          </w:r>
          <w:r w:rsidRPr="57F47822" w:rsidR="78002745">
            <w:rPr>
              <w:rFonts w:ascii="Arial" w:hAnsi="Arial" w:eastAsia="Arial" w:cs="Arial"/>
              <w:noProof/>
              <w:color w:val="000000" w:themeColor="text1" w:themeTint="FF" w:themeShade="FF"/>
              <w:sz w:val="24"/>
              <w:szCs w:val="24"/>
              <w:lang w:val="en-IN"/>
            </w:rPr>
            <w:t>, 68(3), pp. 79–91</w:t>
          </w:r>
        </w:sdtContent>
      </w:sdt>
      <w:r w:rsidRPr="57F47822" w:rsidR="78002745">
        <w:rPr>
          <w:rFonts w:ascii="Arial" w:hAnsi="Arial" w:eastAsia="Arial" w:cs="Arial"/>
          <w:noProof/>
          <w:color w:val="000000" w:themeColor="text1" w:themeTint="FF" w:themeShade="FF"/>
          <w:sz w:val="24"/>
          <w:szCs w:val="24"/>
          <w:lang w:val="en-IN"/>
        </w:rPr>
        <w:t>.</w:t>
      </w:r>
    </w:p>
    <w:p w:rsidR="36C8C7B5" w:rsidP="3000B2BD" w:rsidRDefault="36C8C7B5" w14:paraId="031DB812" w14:textId="4D10CF4F">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857868095"/>
          <w15:appearance w15:val="hidden"/>
          <w:tag w:val="tii-similarity-SU5URVJORVRfZXByaW50cy5sc2UuYWMudWs="/>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PwC (2024) </w:t>
          </w:r>
          <w:r w:rsidRPr="57F47822" w:rsidR="78002745">
            <w:rPr>
              <w:rFonts w:ascii="Arial" w:hAnsi="Arial" w:eastAsia="Arial" w:cs="Arial"/>
              <w:i w:val="1"/>
              <w:iCs w:val="1"/>
              <w:noProof/>
              <w:color w:val="000000" w:themeColor="text1" w:themeTint="FF" w:themeShade="FF"/>
              <w:sz w:val="24"/>
              <w:szCs w:val="24"/>
              <w:lang w:val="en-IN"/>
            </w:rPr>
            <w:t>Global Entertainment and Media Outlook 2024–2028</w:t>
          </w:r>
        </w:sdtContent>
      </w:sdt>
      <w:r w:rsidRPr="57F47822" w:rsidR="78002745">
        <w:rPr>
          <w:rFonts w:ascii="Arial" w:hAnsi="Arial" w:eastAsia="Arial" w:cs="Arial"/>
          <w:noProof/>
          <w:color w:val="000000" w:themeColor="text1" w:themeTint="FF" w:themeShade="FF"/>
          <w:sz w:val="24"/>
          <w:szCs w:val="24"/>
          <w:lang w:val="en-IN"/>
        </w:rPr>
        <w:t>. London: PricewaterhouseCoopers.</w:t>
      </w:r>
    </w:p>
    <w:p w:rsidR="36C8C7B5" w:rsidP="3000B2BD" w:rsidRDefault="36C8C7B5" w14:paraId="11C5B240" w14:textId="521698DA">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57F47822" w:rsidR="78002745">
        <w:rPr>
          <w:rFonts w:ascii="Arial" w:hAnsi="Arial" w:eastAsia="Arial" w:cs="Arial"/>
          <w:noProof/>
          <w:color w:val="000000" w:themeColor="text1" w:themeTint="FF" w:themeShade="FF"/>
          <w:sz w:val="24"/>
          <w:szCs w:val="24"/>
          <w:lang w:val="en-IN"/>
        </w:rPr>
        <w:t xml:space="preserve">Smith, J. (2023) ‘Consumer behaviour in the global streaming industry’, </w:t>
      </w:r>
      <w:sdt>
        <w:sdtPr>
          <w:id w:val="1966685453"/>
          <w15:appearance w15:val="hidden"/>
          <w:tag w:val="tii-similarity-UFVCTElDQVRJT05fQWJyYWhhbSBQaXphbS4gIkludGVybmF0aW9uYWwgRW5jeWNsb3BlZGlhIG9mIEhvc3BpdGFsaXR5IE1hbmFnZW1lbnQiLCBSb3V0bGVkZ2UsIDIwMTI="/>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Journal of Marketing</w:t>
          </w:r>
        </w:sdtContent>
      </w:sdt>
      <w:r w:rsidRPr="57F47822" w:rsidR="78002745">
        <w:rPr>
          <w:rFonts w:ascii="Arial" w:hAnsi="Arial" w:eastAsia="Arial" w:cs="Arial"/>
          <w:i w:val="1"/>
          <w:iCs w:val="1"/>
          <w:noProof/>
          <w:color w:val="000000" w:themeColor="text1" w:themeTint="FF" w:themeShade="FF"/>
          <w:sz w:val="24"/>
          <w:szCs w:val="24"/>
          <w:lang w:val="en-IN"/>
        </w:rPr>
        <w:t xml:space="preserve"> Management</w:t>
      </w:r>
      <w:r w:rsidRPr="57F47822" w:rsidR="78002745">
        <w:rPr>
          <w:rFonts w:ascii="Arial" w:hAnsi="Arial" w:eastAsia="Arial" w:cs="Arial"/>
          <w:noProof/>
          <w:color w:val="000000" w:themeColor="text1" w:themeTint="FF" w:themeShade="FF"/>
          <w:sz w:val="24"/>
          <w:szCs w:val="24"/>
          <w:lang w:val="en-IN"/>
        </w:rPr>
        <w:t>, 39(4), pp. 221–235.</w:t>
      </w:r>
    </w:p>
    <w:p w:rsidR="36C8C7B5" w:rsidP="3000B2BD" w:rsidRDefault="36C8C7B5" w14:paraId="6A99643A" w14:textId="73072933">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57F47822" w:rsidR="78002745">
        <w:rPr>
          <w:rFonts w:ascii="Arial" w:hAnsi="Arial" w:eastAsia="Arial" w:cs="Arial"/>
          <w:noProof/>
          <w:color w:val="000000" w:themeColor="text1" w:themeTint="FF" w:themeShade="FF"/>
          <w:sz w:val="24"/>
          <w:szCs w:val="24"/>
          <w:lang w:val="en-IN"/>
        </w:rPr>
        <w:t xml:space="preserve">Statista (2025) </w:t>
      </w:r>
      <w:r w:rsidRPr="57F47822" w:rsidR="78002745">
        <w:rPr>
          <w:rFonts w:ascii="Arial" w:hAnsi="Arial" w:eastAsia="Arial" w:cs="Arial"/>
          <w:i w:val="1"/>
          <w:iCs w:val="1"/>
          <w:noProof/>
          <w:color w:val="000000" w:themeColor="text1" w:themeTint="FF" w:themeShade="FF"/>
          <w:sz w:val="24"/>
          <w:szCs w:val="24"/>
          <w:lang w:val="en-IN"/>
        </w:rPr>
        <w:t>Video Streaming Market Statistics Worldwide</w:t>
      </w:r>
      <w:r w:rsidRPr="57F47822" w:rsidR="78002745">
        <w:rPr>
          <w:rFonts w:ascii="Arial" w:hAnsi="Arial" w:eastAsia="Arial" w:cs="Arial"/>
          <w:noProof/>
          <w:color w:val="000000" w:themeColor="text1" w:themeTint="FF" w:themeShade="FF"/>
          <w:sz w:val="24"/>
          <w:szCs w:val="24"/>
          <w:lang w:val="en-IN"/>
        </w:rPr>
        <w:t xml:space="preserve">. Available </w:t>
      </w:r>
      <w:sdt>
        <w:sdtPr>
          <w:id w:val="963671122"/>
          <w15:appearance w15:val="hidden"/>
          <w:tag w:val="tii-similarity-U1VCTUlUVEVEX1dPUktfb2lkOjE6MzUwMDg4NzcxMA=="/>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 xml:space="preserve">at: </w:t>
          </w:r>
          <w:hyperlink r:id="R051bce39029347d7">
            <w:r w:rsidRPr="57F47822" w:rsidR="78002745">
              <w:rPr>
                <w:rStyle w:val="Hyperlink"/>
                <w:rFonts w:ascii="Arial" w:hAnsi="Arial" w:eastAsia="Arial" w:cs="Arial"/>
                <w:noProof/>
                <w:color w:val="000000" w:themeColor="text1" w:themeTint="FF" w:themeShade="FF"/>
                <w:sz w:val="24"/>
                <w:szCs w:val="24"/>
                <w:lang w:val="en-IN"/>
              </w:rPr>
              <w:t>https://www.statista.com</w:t>
            </w:r>
          </w:hyperlink>
          <w:r w:rsidRPr="57F47822" w:rsidR="78002745">
            <w:rPr>
              <w:rFonts w:ascii="Arial" w:hAnsi="Arial" w:eastAsia="Arial" w:cs="Arial"/>
              <w:noProof/>
              <w:color w:val="000000" w:themeColor="text1" w:themeTint="FF" w:themeShade="FF"/>
              <w:sz w:val="24"/>
              <w:szCs w:val="24"/>
              <w:lang w:val="en-IN"/>
            </w:rPr>
            <w:t xml:space="preserve"> (Accessed</w:t>
          </w:r>
        </w:sdtContent>
      </w:sdt>
      <w:r w:rsidRPr="57F47822" w:rsidR="78002745">
        <w:rPr>
          <w:rFonts w:ascii="Arial" w:hAnsi="Arial" w:eastAsia="Arial" w:cs="Arial"/>
          <w:noProof/>
          <w:color w:val="000000" w:themeColor="text1" w:themeTint="FF" w:themeShade="FF"/>
          <w:sz w:val="24"/>
          <w:szCs w:val="24"/>
          <w:lang w:val="en-IN"/>
        </w:rPr>
        <w:t>: 26 March 2026).</w:t>
      </w:r>
    </w:p>
    <w:p w:rsidR="36C8C7B5" w:rsidP="3000B2BD" w:rsidRDefault="36C8C7B5" w14:paraId="1048401C" w14:textId="48B1E4E1">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sdt>
        <w:sdtPr>
          <w:id w:val="469934577"/>
          <w15:appearance w15:val="hidden"/>
          <w:tag w:val="tii-similarity-U1VCTUlUVEVEX1dPUktfb2lkOjMxMTc6NTQ0OTI2MDAz"/>
          <w:placeholder>
            <w:docPart w:val="DefaultPlaceholder_-1854013440"/>
          </w:placeholder>
        </w:sdtPr>
        <w:sdtContent>
          <w:r w:rsidRPr="57F47822" w:rsidR="78002745">
            <w:rPr>
              <w:rFonts w:ascii="Arial" w:hAnsi="Arial" w:eastAsia="Arial" w:cs="Arial"/>
              <w:noProof/>
              <w:color w:val="000000" w:themeColor="text1" w:themeTint="FF" w:themeShade="FF"/>
              <w:sz w:val="24"/>
              <w:szCs w:val="24"/>
              <w:lang w:val="en-IN"/>
            </w:rPr>
            <w:t>Tryon, C. (2015) ‘TV Got Better: Netflix’s</w:t>
          </w:r>
        </w:sdtContent>
      </w:sdt>
      <w:r w:rsidRPr="57F47822" w:rsidR="78002745">
        <w:rPr>
          <w:rFonts w:ascii="Arial" w:hAnsi="Arial" w:eastAsia="Arial" w:cs="Arial"/>
          <w:noProof/>
          <w:color w:val="000000" w:themeColor="text1" w:themeTint="FF" w:themeShade="FF"/>
          <w:sz w:val="24"/>
          <w:szCs w:val="24"/>
          <w:lang w:val="en-IN"/>
        </w:rPr>
        <w:t xml:space="preserve"> Effect on Television’, </w:t>
      </w:r>
      <w:r w:rsidRPr="57F47822" w:rsidR="78002745">
        <w:rPr>
          <w:rFonts w:ascii="Arial" w:hAnsi="Arial" w:eastAsia="Arial" w:cs="Arial"/>
          <w:i w:val="1"/>
          <w:iCs w:val="1"/>
          <w:noProof/>
          <w:color w:val="000000" w:themeColor="text1" w:themeTint="FF" w:themeShade="FF"/>
          <w:sz w:val="24"/>
          <w:szCs w:val="24"/>
          <w:lang w:val="en-IN"/>
        </w:rPr>
        <w:t xml:space="preserve">Media </w:t>
      </w:r>
      <w:sdt>
        <w:sdtPr>
          <w:id w:val="1525882909"/>
          <w15:appearance w15:val="hidden"/>
          <w:tag w:val="tii-similarity-U1VCTUlUVEVEX1dPUktfb2lkOjMxMTc6NTQ0OTI2MDAz"/>
          <w:placeholder>
            <w:docPart w:val="DefaultPlaceholder_-1854013440"/>
          </w:placeholder>
        </w:sdtPr>
        <w:sdtContent>
          <w:r w:rsidRPr="57F47822" w:rsidR="78002745">
            <w:rPr>
              <w:rFonts w:ascii="Arial" w:hAnsi="Arial" w:eastAsia="Arial" w:cs="Arial"/>
              <w:i w:val="1"/>
              <w:iCs w:val="1"/>
              <w:noProof/>
              <w:color w:val="000000" w:themeColor="text1" w:themeTint="FF" w:themeShade="FF"/>
              <w:sz w:val="24"/>
              <w:szCs w:val="24"/>
              <w:lang w:val="en-IN"/>
            </w:rPr>
            <w:t>Industries Journal</w:t>
          </w:r>
          <w:r w:rsidRPr="57F47822" w:rsidR="78002745">
            <w:rPr>
              <w:rFonts w:ascii="Arial" w:hAnsi="Arial" w:eastAsia="Arial" w:cs="Arial"/>
              <w:noProof/>
              <w:color w:val="000000" w:themeColor="text1" w:themeTint="FF" w:themeShade="FF"/>
              <w:sz w:val="24"/>
              <w:szCs w:val="24"/>
              <w:lang w:val="en-IN"/>
            </w:rPr>
            <w:t>, 2(2</w:t>
          </w:r>
        </w:sdtContent>
      </w:sdt>
      <w:r w:rsidRPr="57F47822" w:rsidR="78002745">
        <w:rPr>
          <w:rFonts w:ascii="Arial" w:hAnsi="Arial" w:eastAsia="Arial" w:cs="Arial"/>
          <w:noProof/>
          <w:color w:val="000000" w:themeColor="text1" w:themeTint="FF" w:themeShade="FF"/>
          <w:sz w:val="24"/>
          <w:szCs w:val="24"/>
          <w:lang w:val="en-IN"/>
        </w:rPr>
        <w:t>), pp. 104–116.</w:t>
      </w:r>
    </w:p>
    <w:p w:rsidR="36C8C7B5" w:rsidP="3000B2BD" w:rsidRDefault="36C8C7B5" w14:paraId="7C3D5C64" w14:textId="1297240E">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31564936" w:rsidR="78002745">
        <w:rPr>
          <w:rFonts w:ascii="Arial" w:hAnsi="Arial" w:eastAsia="Arial" w:cs="Arial"/>
          <w:noProof/>
          <w:color w:val="000000" w:themeColor="text1" w:themeTint="FF" w:themeShade="FF"/>
          <w:sz w:val="24"/>
          <w:szCs w:val="24"/>
          <w:lang w:val="en-IN"/>
        </w:rPr>
        <w:t xml:space="preserve">Wayne, M.L. (2021) ‘Global Streaming Platforms and Cultural Production’, </w:t>
      </w:r>
      <w:r w:rsidRPr="31564936" w:rsidR="78002745">
        <w:rPr>
          <w:rFonts w:ascii="Arial" w:hAnsi="Arial" w:eastAsia="Arial" w:cs="Arial"/>
          <w:i w:val="1"/>
          <w:iCs w:val="1"/>
          <w:noProof/>
          <w:color w:val="000000" w:themeColor="text1" w:themeTint="FF" w:themeShade="FF"/>
          <w:sz w:val="24"/>
          <w:szCs w:val="24"/>
          <w:lang w:val="en-IN"/>
        </w:rPr>
        <w:t>Global Media and Communication</w:t>
      </w:r>
      <w:r w:rsidRPr="31564936" w:rsidR="78002745">
        <w:rPr>
          <w:rFonts w:ascii="Arial" w:hAnsi="Arial" w:eastAsia="Arial" w:cs="Arial"/>
          <w:noProof/>
          <w:color w:val="000000" w:themeColor="text1" w:themeTint="FF" w:themeShade="FF"/>
          <w:sz w:val="24"/>
          <w:szCs w:val="24"/>
          <w:lang w:val="en-IN"/>
        </w:rPr>
        <w:t>, 17(2), pp. 123–140.</w:t>
      </w:r>
    </w:p>
    <w:p w:rsidR="36C8C7B5" w:rsidP="3000B2BD" w:rsidRDefault="36C8C7B5" w14:paraId="2BE85583" w14:textId="7100152B">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31564936" w:rsidR="78002745">
        <w:rPr>
          <w:rFonts w:ascii="Arial" w:hAnsi="Arial" w:eastAsia="Arial" w:cs="Arial"/>
          <w:noProof/>
          <w:color w:val="000000" w:themeColor="text1" w:themeTint="FF" w:themeShade="FF"/>
          <w:sz w:val="24"/>
          <w:szCs w:val="24"/>
          <w:lang w:val="en-IN"/>
        </w:rPr>
        <w:t xml:space="preserve">Netflix (2025) </w:t>
      </w:r>
      <w:r w:rsidRPr="31564936" w:rsidR="78002745">
        <w:rPr>
          <w:rFonts w:ascii="Arial" w:hAnsi="Arial" w:eastAsia="Arial" w:cs="Arial"/>
          <w:i w:val="1"/>
          <w:iCs w:val="1"/>
          <w:noProof/>
          <w:color w:val="000000" w:themeColor="text1" w:themeTint="FF" w:themeShade="FF"/>
          <w:sz w:val="24"/>
          <w:szCs w:val="24"/>
          <w:lang w:val="en-IN"/>
        </w:rPr>
        <w:t>Annual Report</w:t>
      </w:r>
      <w:r w:rsidRPr="31564936" w:rsidR="78002745">
        <w:rPr>
          <w:rFonts w:ascii="Arial" w:hAnsi="Arial" w:eastAsia="Arial" w:cs="Arial"/>
          <w:noProof/>
          <w:color w:val="000000" w:themeColor="text1" w:themeTint="FF" w:themeShade="FF"/>
          <w:sz w:val="24"/>
          <w:szCs w:val="24"/>
          <w:lang w:val="en-IN"/>
        </w:rPr>
        <w:t xml:space="preserve">. Available at: </w:t>
      </w:r>
      <w:hyperlink r:id="Rda3e75e5e743403b">
        <w:r w:rsidRPr="31564936" w:rsidR="78002745">
          <w:rPr>
            <w:rStyle w:val="Hyperlink"/>
            <w:rFonts w:ascii="Arial" w:hAnsi="Arial" w:eastAsia="Arial" w:cs="Arial"/>
            <w:noProof/>
            <w:color w:val="000000" w:themeColor="text1" w:themeTint="FF" w:themeShade="FF"/>
            <w:sz w:val="24"/>
            <w:szCs w:val="24"/>
            <w:lang w:val="en-IN"/>
          </w:rPr>
          <w:t>https://www.netflixinvestor.com</w:t>
        </w:r>
      </w:hyperlink>
      <w:r w:rsidRPr="31564936" w:rsidR="78002745">
        <w:rPr>
          <w:rFonts w:ascii="Arial" w:hAnsi="Arial" w:eastAsia="Arial" w:cs="Arial"/>
          <w:noProof/>
          <w:color w:val="000000" w:themeColor="text1" w:themeTint="FF" w:themeShade="FF"/>
          <w:sz w:val="24"/>
          <w:szCs w:val="24"/>
          <w:lang w:val="en-IN"/>
        </w:rPr>
        <w:t xml:space="preserve"> (Accessed: 26 March 2026).</w:t>
      </w:r>
    </w:p>
    <w:p w:rsidR="36C8C7B5" w:rsidP="3000B2BD" w:rsidRDefault="36C8C7B5" w14:paraId="51253F23" w14:textId="4C8D13A1">
      <w:pPr>
        <w:pStyle w:val="ListParagraph"/>
        <w:numPr>
          <w:ilvl w:val="0"/>
          <w:numId w:val="12"/>
        </w:numPr>
        <w:spacing w:before="240" w:beforeAutospacing="off" w:after="240" w:afterAutospacing="off"/>
        <w:jc w:val="both"/>
        <w:rPr>
          <w:rFonts w:ascii="Arial" w:hAnsi="Arial" w:eastAsia="Arial" w:cs="Arial"/>
          <w:noProof/>
          <w:color w:val="000000" w:themeColor="text1" w:themeTint="FF" w:themeShade="FF"/>
          <w:sz w:val="24"/>
          <w:szCs w:val="24"/>
          <w:lang w:val="en-IN"/>
        </w:rPr>
      </w:pPr>
      <w:r w:rsidRPr="57F47822" w:rsidR="78002745">
        <w:rPr>
          <w:rFonts w:ascii="Arial" w:hAnsi="Arial" w:eastAsia="Arial" w:cs="Arial"/>
          <w:noProof/>
          <w:color w:val="000000" w:themeColor="text1" w:themeTint="FF" w:themeShade="FF"/>
          <w:sz w:val="24"/>
          <w:szCs w:val="24"/>
          <w:lang w:val="en-IN"/>
        </w:rPr>
        <w:t xml:space="preserve">The Walt Disney Company (2025) </w:t>
      </w:r>
      <w:r w:rsidRPr="57F47822" w:rsidR="78002745">
        <w:rPr>
          <w:rFonts w:ascii="Arial" w:hAnsi="Arial" w:eastAsia="Arial" w:cs="Arial"/>
          <w:i w:val="1"/>
          <w:iCs w:val="1"/>
          <w:noProof/>
          <w:color w:val="000000" w:themeColor="text1" w:themeTint="FF" w:themeShade="FF"/>
          <w:sz w:val="24"/>
          <w:szCs w:val="24"/>
          <w:lang w:val="en-IN"/>
        </w:rPr>
        <w:t>Annual Report</w:t>
      </w:r>
      <w:r w:rsidRPr="57F47822" w:rsidR="78002745">
        <w:rPr>
          <w:rFonts w:ascii="Arial" w:hAnsi="Arial" w:eastAsia="Arial" w:cs="Arial"/>
          <w:noProof/>
          <w:color w:val="000000" w:themeColor="text1" w:themeTint="FF" w:themeShade="FF"/>
          <w:sz w:val="24"/>
          <w:szCs w:val="24"/>
          <w:lang w:val="en-IN"/>
        </w:rPr>
        <w:t xml:space="preserve">. Available at: </w:t>
      </w:r>
      <w:hyperlink r:id="Rd3ab79618d1147a9">
        <w:sdt>
          <w:sdtPr>
            <w:id w:val="1486107000"/>
            <w15:appearance w15:val="hidden"/>
            <w:tag w:val="tii-similarity-U1VCTUlUVEVEX1dPUktfb2lkOjE6MzUxNTgzNjY3Ng=="/>
            <w:placeholder>
              <w:docPart w:val="DefaultPlaceholder_-1854013440"/>
            </w:placeholder>
          </w:sdtPr>
          <w:sdtContent>
            <w:r w:rsidRPr="57F47822" w:rsidR="78002745">
              <w:rPr>
                <w:rStyle w:val="Hyperlink"/>
                <w:rFonts w:ascii="Arial" w:hAnsi="Arial" w:eastAsia="Arial" w:cs="Arial"/>
                <w:noProof/>
                <w:color w:val="000000" w:themeColor="text1" w:themeTint="FF" w:themeShade="FF"/>
                <w:sz w:val="24"/>
                <w:szCs w:val="24"/>
                <w:lang w:val="en-IN"/>
              </w:rPr>
              <w:t>https://thewaltdisneycompany.com</w:t>
            </w:r>
          </w:sdtContent>
        </w:sdt>
      </w:hyperlink>
      <w:r w:rsidRPr="57F47822" w:rsidR="78002745">
        <w:rPr>
          <w:rFonts w:ascii="Arial" w:hAnsi="Arial" w:eastAsia="Arial" w:cs="Arial"/>
          <w:noProof/>
          <w:color w:val="000000" w:themeColor="text1" w:themeTint="FF" w:themeShade="FF"/>
          <w:sz w:val="24"/>
          <w:szCs w:val="24"/>
          <w:lang w:val="en-IN"/>
        </w:rPr>
        <w:t xml:space="preserve"> (Accessed</w:t>
      </w:r>
      <w:r w:rsidRPr="57F47822" w:rsidR="78002745">
        <w:rPr>
          <w:rFonts w:ascii="Arial" w:hAnsi="Arial" w:eastAsia="Arial" w:cs="Arial"/>
          <w:noProof/>
          <w:color w:val="000000" w:themeColor="text1" w:themeTint="FF" w:themeShade="FF"/>
          <w:sz w:val="24"/>
          <w:szCs w:val="24"/>
          <w:lang w:val="en-IN"/>
        </w:rPr>
        <w:t>: 26 March 2026).</w:t>
      </w:r>
    </w:p>
    <w:p xmlns:wp14="http://schemas.microsoft.com/office/word/2010/wordml" w:rsidRPr="00A44DB5" w:rsidR="00A44DB5" w:rsidP="00A44DB5" w:rsidRDefault="00A44DB5" w14:paraId="3FE9F23F" wp14:textId="77777777"/>
    <w:sectPr w:rsidRPr="00A44DB5" w:rsidR="00A44DB5" w:rsidSect="00A44DB5">
      <w:pgSz w:w="11906" w:h="16838" w:orient="portrait"/>
      <w:pgMar w:top="1440" w:right="1440" w:bottom="1440" w:left="1440" w:header="708" w:footer="708" w:gutter="0"/>
      <w:pgBorders w:offsetFrom="page">
        <w:top w:val="double" w:color="auto" w:sz="4" w:space="24"/>
        <w:left w:val="double" w:color="auto" w:sz="4" w:space="24"/>
        <w:bottom w:val="double" w:color="auto" w:sz="4" w:space="24"/>
        <w:right w:val="double" w:color="auto" w:sz="4" w:space="24"/>
      </w:pgBorders>
      <w:pgNumType w:start="1"/>
      <w:cols w:space="708"/>
      <w:docGrid w:linePitch="360"/>
      <w:headerReference w:type="default" r:id="R952e7822eea2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9A66F1" w:rsidP="00A44DB5" w:rsidRDefault="009A66F1" w14:paraId="61CDCEAD" wp14:textId="77777777">
      <w:pPr>
        <w:spacing w:after="0" w:line="240" w:lineRule="auto"/>
      </w:pPr>
      <w:r>
        <w:separator/>
      </w:r>
    </w:p>
  </w:endnote>
  <w:endnote w:type="continuationSeparator" w:id="0">
    <w:p xmlns:wp14="http://schemas.microsoft.com/office/word/2010/wordml" w:rsidR="009A66F1" w:rsidP="00A44DB5" w:rsidRDefault="009A66F1" w14:paraId="6BB9E25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9A66F1" w:rsidP="00A44DB5" w:rsidRDefault="009A66F1" w14:paraId="52E56223" wp14:textId="77777777">
      <w:pPr>
        <w:spacing w:after="0" w:line="240" w:lineRule="auto"/>
      </w:pPr>
      <w:r>
        <w:separator/>
      </w:r>
    </w:p>
  </w:footnote>
  <w:footnote w:type="continuationSeparator" w:id="0">
    <w:p xmlns:wp14="http://schemas.microsoft.com/office/word/2010/wordml" w:rsidR="009A66F1" w:rsidP="00A44DB5" w:rsidRDefault="009A66F1" w14:paraId="07547A01"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1564936" w:rsidTr="31564936" w14:paraId="10175396">
      <w:trPr>
        <w:trHeight w:val="300"/>
      </w:trPr>
      <w:tc>
        <w:tcPr>
          <w:tcW w:w="3005" w:type="dxa"/>
          <w:tcMar/>
        </w:tcPr>
        <w:p w:rsidR="31564936" w:rsidP="31564936" w:rsidRDefault="31564936" w14:paraId="202AA77C" w14:textId="05A736DE">
          <w:pPr>
            <w:pStyle w:val="Header"/>
            <w:bidi w:val="0"/>
            <w:ind w:left="-115"/>
            <w:jc w:val="left"/>
          </w:pPr>
        </w:p>
      </w:tc>
      <w:tc>
        <w:tcPr>
          <w:tcW w:w="3005" w:type="dxa"/>
          <w:tcMar/>
        </w:tcPr>
        <w:p w:rsidR="31564936" w:rsidP="31564936" w:rsidRDefault="31564936" w14:paraId="672C4DAC" w14:textId="74E1686E">
          <w:pPr>
            <w:pStyle w:val="Header"/>
            <w:bidi w:val="0"/>
            <w:jc w:val="center"/>
          </w:pPr>
        </w:p>
      </w:tc>
      <w:tc>
        <w:tcPr>
          <w:tcW w:w="3005" w:type="dxa"/>
          <w:tcMar/>
        </w:tcPr>
        <w:p w:rsidR="31564936" w:rsidP="31564936" w:rsidRDefault="31564936" w14:paraId="6C791B2F" w14:textId="7ADCE0B3">
          <w:pPr>
            <w:pStyle w:val="Header"/>
            <w:bidi w:val="0"/>
            <w:ind w:right="-115"/>
            <w:jc w:val="right"/>
          </w:pPr>
        </w:p>
      </w:tc>
    </w:tr>
  </w:tbl>
  <w:p w:rsidR="31564936" w:rsidP="31564936" w:rsidRDefault="31564936" w14:paraId="0D3BC41A" w14:textId="4C0B9BB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1564936" w:rsidTr="31564936" w14:paraId="3C07751E">
      <w:trPr>
        <w:trHeight w:val="300"/>
      </w:trPr>
      <w:tc>
        <w:tcPr>
          <w:tcW w:w="3005" w:type="dxa"/>
          <w:tcMar/>
        </w:tcPr>
        <w:p w:rsidR="31564936" w:rsidP="31564936" w:rsidRDefault="31564936" w14:paraId="3FB941AB" w14:textId="7476CE77">
          <w:pPr>
            <w:pStyle w:val="Header"/>
            <w:bidi w:val="0"/>
            <w:ind w:left="-115"/>
            <w:jc w:val="left"/>
          </w:pPr>
        </w:p>
      </w:tc>
      <w:tc>
        <w:tcPr>
          <w:tcW w:w="3005" w:type="dxa"/>
          <w:tcMar/>
        </w:tcPr>
        <w:p w:rsidR="31564936" w:rsidP="31564936" w:rsidRDefault="31564936" w14:paraId="45ED4086" w14:textId="616887DD">
          <w:pPr>
            <w:pStyle w:val="Header"/>
            <w:bidi w:val="0"/>
            <w:jc w:val="center"/>
          </w:pPr>
        </w:p>
      </w:tc>
      <w:tc>
        <w:tcPr>
          <w:tcW w:w="3005" w:type="dxa"/>
          <w:tcMar/>
        </w:tcPr>
        <w:p w:rsidR="31564936" w:rsidP="31564936" w:rsidRDefault="31564936" w14:paraId="6AE98008" w14:textId="2B4C2AA7">
          <w:pPr>
            <w:pStyle w:val="Header"/>
            <w:bidi w:val="0"/>
            <w:ind w:right="-115"/>
            <w:jc w:val="right"/>
          </w:pPr>
        </w:p>
      </w:tc>
    </w:tr>
  </w:tbl>
  <w:p w:rsidR="31564936" w:rsidP="31564936" w:rsidRDefault="31564936" w14:paraId="4840AA19" w14:textId="3A8EB43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3b33c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0641D5"/>
    <w:multiLevelType w:val="hybridMultilevel"/>
    <w:tmpl w:val="ACA0E766"/>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19A9299F"/>
    <w:multiLevelType w:val="hybridMultilevel"/>
    <w:tmpl w:val="DF8696E6"/>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3572083B"/>
    <w:multiLevelType w:val="hybridMultilevel"/>
    <w:tmpl w:val="D7569CF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40135A59"/>
    <w:multiLevelType w:val="hybridMultilevel"/>
    <w:tmpl w:val="99B07CB2"/>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40152937"/>
    <w:multiLevelType w:val="hybridMultilevel"/>
    <w:tmpl w:val="D90C1A06"/>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4105278B"/>
    <w:multiLevelType w:val="hybridMultilevel"/>
    <w:tmpl w:val="96D6228C"/>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44DD11F4"/>
    <w:multiLevelType w:val="hybridMultilevel"/>
    <w:tmpl w:val="C8087A5A"/>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5ED60A09"/>
    <w:multiLevelType w:val="hybridMultilevel"/>
    <w:tmpl w:val="5978D97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658278E0"/>
    <w:multiLevelType w:val="hybridMultilevel"/>
    <w:tmpl w:val="F2462F9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6F991DB3"/>
    <w:multiLevelType w:val="hybridMultilevel"/>
    <w:tmpl w:val="1F38170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15:restartNumberingAfterBreak="0">
    <w:nsid w:val="78E253E2"/>
    <w:multiLevelType w:val="hybridMultilevel"/>
    <w:tmpl w:val="97507F88"/>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7D021A58"/>
    <w:multiLevelType w:val="hybridMultilevel"/>
    <w:tmpl w:val="C3925F6A"/>
    <w:lvl w:ilvl="0" w:tplc="C8B42930">
      <w:numFmt w:val="bullet"/>
      <w:lvlText w:val="•"/>
      <w:lvlJc w:val="left"/>
      <w:pPr>
        <w:ind w:left="720" w:hanging="360"/>
      </w:pPr>
      <w:rPr>
        <w:rFonts w:hint="default" w:ascii="Calibri" w:hAnsi="Calibri" w:cs="Calibri"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3">
    <w:abstractNumId w:val="12"/>
  </w:num>
  <w:num w:numId="1" w16cid:durableId="749162516">
    <w:abstractNumId w:val="8"/>
  </w:num>
  <w:num w:numId="2" w16cid:durableId="1709338296">
    <w:abstractNumId w:val="7"/>
  </w:num>
  <w:num w:numId="3" w16cid:durableId="530150597">
    <w:abstractNumId w:val="9"/>
  </w:num>
  <w:num w:numId="4" w16cid:durableId="1447963641">
    <w:abstractNumId w:val="2"/>
  </w:num>
  <w:num w:numId="5" w16cid:durableId="1871606870">
    <w:abstractNumId w:val="5"/>
  </w:num>
  <w:num w:numId="6" w16cid:durableId="1412654915">
    <w:abstractNumId w:val="6"/>
  </w:num>
  <w:num w:numId="7" w16cid:durableId="10226434">
    <w:abstractNumId w:val="11"/>
  </w:num>
  <w:num w:numId="8" w16cid:durableId="1524827427">
    <w:abstractNumId w:val="3"/>
  </w:num>
  <w:num w:numId="9" w16cid:durableId="1120101626">
    <w:abstractNumId w:val="0"/>
  </w:num>
  <w:num w:numId="10" w16cid:durableId="1064335763">
    <w:abstractNumId w:val="4"/>
  </w:num>
  <w:num w:numId="11" w16cid:durableId="185870722">
    <w:abstractNumId w:val="1"/>
  </w:num>
  <w:num w:numId="12" w16cid:durableId="156979953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F7E"/>
    <w:rsid w:val="001F6F7E"/>
    <w:rsid w:val="002275A3"/>
    <w:rsid w:val="00283D42"/>
    <w:rsid w:val="006B01C2"/>
    <w:rsid w:val="006E7942"/>
    <w:rsid w:val="008B6697"/>
    <w:rsid w:val="0092D4B1"/>
    <w:rsid w:val="009A66F1"/>
    <w:rsid w:val="00A44DB5"/>
    <w:rsid w:val="00A955EC"/>
    <w:rsid w:val="00AD5FCE"/>
    <w:rsid w:val="00BA3DF1"/>
    <w:rsid w:val="00CB0789"/>
    <w:rsid w:val="00D91C68"/>
    <w:rsid w:val="00E16342"/>
    <w:rsid w:val="00E27655"/>
    <w:rsid w:val="0283D55A"/>
    <w:rsid w:val="04132222"/>
    <w:rsid w:val="0640917D"/>
    <w:rsid w:val="06B95A65"/>
    <w:rsid w:val="0826394B"/>
    <w:rsid w:val="089D398E"/>
    <w:rsid w:val="0B4EEDE9"/>
    <w:rsid w:val="0BC5F893"/>
    <w:rsid w:val="0C59079E"/>
    <w:rsid w:val="0CABB76D"/>
    <w:rsid w:val="0CF1093C"/>
    <w:rsid w:val="0CF6375D"/>
    <w:rsid w:val="0DA705D3"/>
    <w:rsid w:val="0DD3474E"/>
    <w:rsid w:val="0EBBD1BE"/>
    <w:rsid w:val="0F6178DC"/>
    <w:rsid w:val="0F6E34C1"/>
    <w:rsid w:val="10307D70"/>
    <w:rsid w:val="1116546C"/>
    <w:rsid w:val="130936DA"/>
    <w:rsid w:val="13CD0BB5"/>
    <w:rsid w:val="1441F56D"/>
    <w:rsid w:val="14809C19"/>
    <w:rsid w:val="14DB6FB2"/>
    <w:rsid w:val="15692FB3"/>
    <w:rsid w:val="15933C2B"/>
    <w:rsid w:val="16C30F69"/>
    <w:rsid w:val="17D08002"/>
    <w:rsid w:val="1823F6EA"/>
    <w:rsid w:val="185BF367"/>
    <w:rsid w:val="1887A86D"/>
    <w:rsid w:val="18CB4E90"/>
    <w:rsid w:val="1AE82739"/>
    <w:rsid w:val="1D23089D"/>
    <w:rsid w:val="1EE94F52"/>
    <w:rsid w:val="1F1A4824"/>
    <w:rsid w:val="20D452A9"/>
    <w:rsid w:val="2271EE2F"/>
    <w:rsid w:val="229B0D76"/>
    <w:rsid w:val="22D883D2"/>
    <w:rsid w:val="231E7923"/>
    <w:rsid w:val="234E4EAF"/>
    <w:rsid w:val="2399692F"/>
    <w:rsid w:val="24CBF2FC"/>
    <w:rsid w:val="251E4A7B"/>
    <w:rsid w:val="253207C2"/>
    <w:rsid w:val="272FC439"/>
    <w:rsid w:val="275E5E44"/>
    <w:rsid w:val="27CA7807"/>
    <w:rsid w:val="2A0BEF3A"/>
    <w:rsid w:val="2A394931"/>
    <w:rsid w:val="2AA8AA30"/>
    <w:rsid w:val="2B122B8D"/>
    <w:rsid w:val="2B13DA78"/>
    <w:rsid w:val="2B2EF052"/>
    <w:rsid w:val="2B4C9018"/>
    <w:rsid w:val="2C5A7FB2"/>
    <w:rsid w:val="2E1F67E1"/>
    <w:rsid w:val="2EAC55BB"/>
    <w:rsid w:val="2F12D00B"/>
    <w:rsid w:val="2F9263F2"/>
    <w:rsid w:val="3000B2BD"/>
    <w:rsid w:val="31564936"/>
    <w:rsid w:val="35B14182"/>
    <w:rsid w:val="36677E78"/>
    <w:rsid w:val="36C8C7B5"/>
    <w:rsid w:val="3AB1A01A"/>
    <w:rsid w:val="3B124C95"/>
    <w:rsid w:val="3BE01D1F"/>
    <w:rsid w:val="3C616E5C"/>
    <w:rsid w:val="3C838274"/>
    <w:rsid w:val="3C9A8C38"/>
    <w:rsid w:val="3DD15563"/>
    <w:rsid w:val="3ECCF554"/>
    <w:rsid w:val="3F33412D"/>
    <w:rsid w:val="3FC4C8C7"/>
    <w:rsid w:val="4156AF19"/>
    <w:rsid w:val="41A2E207"/>
    <w:rsid w:val="41E896B5"/>
    <w:rsid w:val="437540E4"/>
    <w:rsid w:val="43A42FB7"/>
    <w:rsid w:val="45250DC6"/>
    <w:rsid w:val="4536ED12"/>
    <w:rsid w:val="468D760C"/>
    <w:rsid w:val="46A4B795"/>
    <w:rsid w:val="46F51A08"/>
    <w:rsid w:val="4804BE76"/>
    <w:rsid w:val="498B17D7"/>
    <w:rsid w:val="4BE6096A"/>
    <w:rsid w:val="4C4C2AE2"/>
    <w:rsid w:val="4C60BDE7"/>
    <w:rsid w:val="4CB21540"/>
    <w:rsid w:val="51258DAF"/>
    <w:rsid w:val="513B288E"/>
    <w:rsid w:val="519F7298"/>
    <w:rsid w:val="51AB88AF"/>
    <w:rsid w:val="52959616"/>
    <w:rsid w:val="52EB39D4"/>
    <w:rsid w:val="5311D36D"/>
    <w:rsid w:val="544F2235"/>
    <w:rsid w:val="54DCE190"/>
    <w:rsid w:val="57C2511C"/>
    <w:rsid w:val="57F47822"/>
    <w:rsid w:val="5859CC28"/>
    <w:rsid w:val="598B8AAE"/>
    <w:rsid w:val="59F82DF5"/>
    <w:rsid w:val="5A2C4D86"/>
    <w:rsid w:val="5B2F869A"/>
    <w:rsid w:val="5BCDF388"/>
    <w:rsid w:val="5C1577D4"/>
    <w:rsid w:val="5D220332"/>
    <w:rsid w:val="5E55564F"/>
    <w:rsid w:val="5FC52312"/>
    <w:rsid w:val="60286400"/>
    <w:rsid w:val="60C31D89"/>
    <w:rsid w:val="60E42C6F"/>
    <w:rsid w:val="611F418E"/>
    <w:rsid w:val="62434D94"/>
    <w:rsid w:val="6402E645"/>
    <w:rsid w:val="64F0F473"/>
    <w:rsid w:val="659BBD23"/>
    <w:rsid w:val="67832AD4"/>
    <w:rsid w:val="693CCA87"/>
    <w:rsid w:val="69D31ACC"/>
    <w:rsid w:val="69D3FCA0"/>
    <w:rsid w:val="6AAFBD97"/>
    <w:rsid w:val="6C256B76"/>
    <w:rsid w:val="6C4B9E43"/>
    <w:rsid w:val="6C5B1843"/>
    <w:rsid w:val="6CA2E07C"/>
    <w:rsid w:val="6F701F7B"/>
    <w:rsid w:val="6FC54854"/>
    <w:rsid w:val="70431E23"/>
    <w:rsid w:val="7094A78A"/>
    <w:rsid w:val="71A3D260"/>
    <w:rsid w:val="7348403A"/>
    <w:rsid w:val="7371332E"/>
    <w:rsid w:val="7773B581"/>
    <w:rsid w:val="777CCE0C"/>
    <w:rsid w:val="78002745"/>
    <w:rsid w:val="79233EAF"/>
    <w:rsid w:val="79ADDD3B"/>
    <w:rsid w:val="7A34794A"/>
    <w:rsid w:val="7C7D4041"/>
    <w:rsid w:val="7D16F6AA"/>
    <w:rsid w:val="7DC665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44D36"/>
  <w15:chartTrackingRefBased/>
  <w15:docId w15:val="{A9CD601E-A024-4C43-89FC-CE149CED55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5FCE"/>
    <w:rPr>
      <w:rFonts w:ascii="Arial" w:hAnsi="Arial"/>
      <w:noProof/>
      <w:sz w:val="24"/>
    </w:rPr>
  </w:style>
  <w:style w:type="paragraph" w:styleId="Heading1">
    <w:name w:val="heading 1"/>
    <w:basedOn w:val="Normal"/>
    <w:next w:val="Normal"/>
    <w:link w:val="Heading1Char"/>
    <w:uiPriority w:val="9"/>
    <w:qFormat/>
    <w:rsid w:val="00AD5FCE"/>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D5FC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F6F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6F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6F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6F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F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F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F7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5FCE"/>
    <w:rPr>
      <w:rFonts w:ascii="Arial" w:hAnsi="Arial" w:eastAsiaTheme="majorEastAsia" w:cstheme="majorBidi"/>
      <w:b/>
      <w:noProof/>
      <w:color w:val="000000" w:themeColor="text1"/>
      <w:sz w:val="32"/>
      <w:szCs w:val="40"/>
    </w:rPr>
  </w:style>
  <w:style w:type="character" w:styleId="Heading2Char" w:customStyle="1">
    <w:name w:val="Heading 2 Char"/>
    <w:basedOn w:val="DefaultParagraphFont"/>
    <w:link w:val="Heading2"/>
    <w:uiPriority w:val="9"/>
    <w:rsid w:val="00AD5FCE"/>
    <w:rPr>
      <w:rFonts w:ascii="Arial" w:hAnsi="Arial" w:eastAsiaTheme="majorEastAsia" w:cstheme="majorBidi"/>
      <w:b/>
      <w:noProof/>
      <w:color w:val="000000" w:themeColor="text1"/>
      <w:sz w:val="28"/>
      <w:szCs w:val="32"/>
    </w:rPr>
  </w:style>
  <w:style w:type="character" w:styleId="Heading3Char" w:customStyle="1">
    <w:name w:val="Heading 3 Char"/>
    <w:basedOn w:val="DefaultParagraphFont"/>
    <w:link w:val="Heading3"/>
    <w:uiPriority w:val="9"/>
    <w:semiHidden/>
    <w:rsid w:val="001F6F7E"/>
    <w:rPr>
      <w:rFonts w:eastAsiaTheme="majorEastAsia" w:cstheme="majorBidi"/>
      <w:noProof/>
      <w:color w:val="2F5496" w:themeColor="accent1" w:themeShade="BF"/>
      <w:sz w:val="28"/>
      <w:szCs w:val="28"/>
    </w:rPr>
  </w:style>
  <w:style w:type="character" w:styleId="Heading4Char" w:customStyle="1">
    <w:name w:val="Heading 4 Char"/>
    <w:basedOn w:val="DefaultParagraphFont"/>
    <w:link w:val="Heading4"/>
    <w:uiPriority w:val="9"/>
    <w:semiHidden/>
    <w:rsid w:val="001F6F7E"/>
    <w:rPr>
      <w:rFonts w:eastAsiaTheme="majorEastAsia" w:cstheme="majorBidi"/>
      <w:i/>
      <w:iCs/>
      <w:noProof/>
      <w:color w:val="2F5496" w:themeColor="accent1" w:themeShade="BF"/>
    </w:rPr>
  </w:style>
  <w:style w:type="character" w:styleId="Heading5Char" w:customStyle="1">
    <w:name w:val="Heading 5 Char"/>
    <w:basedOn w:val="DefaultParagraphFont"/>
    <w:link w:val="Heading5"/>
    <w:uiPriority w:val="9"/>
    <w:semiHidden/>
    <w:rsid w:val="001F6F7E"/>
    <w:rPr>
      <w:rFonts w:eastAsiaTheme="majorEastAsia" w:cstheme="majorBidi"/>
      <w:noProof/>
      <w:color w:val="2F5496" w:themeColor="accent1" w:themeShade="BF"/>
    </w:rPr>
  </w:style>
  <w:style w:type="character" w:styleId="Heading6Char" w:customStyle="1">
    <w:name w:val="Heading 6 Char"/>
    <w:basedOn w:val="DefaultParagraphFont"/>
    <w:link w:val="Heading6"/>
    <w:uiPriority w:val="9"/>
    <w:semiHidden/>
    <w:rsid w:val="001F6F7E"/>
    <w:rPr>
      <w:rFonts w:eastAsiaTheme="majorEastAsia" w:cstheme="majorBidi"/>
      <w:i/>
      <w:iCs/>
      <w:noProof/>
      <w:color w:val="595959" w:themeColor="text1" w:themeTint="A6"/>
    </w:rPr>
  </w:style>
  <w:style w:type="character" w:styleId="Heading7Char" w:customStyle="1">
    <w:name w:val="Heading 7 Char"/>
    <w:basedOn w:val="DefaultParagraphFont"/>
    <w:link w:val="Heading7"/>
    <w:uiPriority w:val="9"/>
    <w:semiHidden/>
    <w:rsid w:val="001F6F7E"/>
    <w:rPr>
      <w:rFonts w:eastAsiaTheme="majorEastAsia" w:cstheme="majorBidi"/>
      <w:noProof/>
      <w:color w:val="595959" w:themeColor="text1" w:themeTint="A6"/>
    </w:rPr>
  </w:style>
  <w:style w:type="character" w:styleId="Heading8Char" w:customStyle="1">
    <w:name w:val="Heading 8 Char"/>
    <w:basedOn w:val="DefaultParagraphFont"/>
    <w:link w:val="Heading8"/>
    <w:uiPriority w:val="9"/>
    <w:semiHidden/>
    <w:rsid w:val="001F6F7E"/>
    <w:rPr>
      <w:rFonts w:eastAsiaTheme="majorEastAsia" w:cstheme="majorBidi"/>
      <w:i/>
      <w:iCs/>
      <w:noProof/>
      <w:color w:val="272727" w:themeColor="text1" w:themeTint="D8"/>
    </w:rPr>
  </w:style>
  <w:style w:type="character" w:styleId="Heading9Char" w:customStyle="1">
    <w:name w:val="Heading 9 Char"/>
    <w:basedOn w:val="DefaultParagraphFont"/>
    <w:link w:val="Heading9"/>
    <w:uiPriority w:val="9"/>
    <w:semiHidden/>
    <w:rsid w:val="001F6F7E"/>
    <w:rPr>
      <w:rFonts w:eastAsiaTheme="majorEastAsia" w:cstheme="majorBidi"/>
      <w:noProof/>
      <w:color w:val="272727" w:themeColor="text1" w:themeTint="D8"/>
    </w:rPr>
  </w:style>
  <w:style w:type="paragraph" w:styleId="Title">
    <w:name w:val="Title"/>
    <w:basedOn w:val="Normal"/>
    <w:next w:val="Normal"/>
    <w:link w:val="TitleChar"/>
    <w:uiPriority w:val="10"/>
    <w:qFormat/>
    <w:rsid w:val="001F6F7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F6F7E"/>
    <w:rPr>
      <w:rFonts w:asciiTheme="majorHAnsi" w:hAnsiTheme="majorHAnsi" w:eastAsiaTheme="majorEastAsia" w:cstheme="majorBidi"/>
      <w:noProof/>
      <w:spacing w:val="-10"/>
      <w:kern w:val="28"/>
      <w:sz w:val="56"/>
      <w:szCs w:val="56"/>
    </w:rPr>
  </w:style>
  <w:style w:type="paragraph" w:styleId="Subtitle">
    <w:name w:val="Subtitle"/>
    <w:basedOn w:val="Normal"/>
    <w:next w:val="Normal"/>
    <w:link w:val="SubtitleChar"/>
    <w:uiPriority w:val="11"/>
    <w:qFormat/>
    <w:rsid w:val="001F6F7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F6F7E"/>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1F6F7E"/>
    <w:pPr>
      <w:spacing w:before="160"/>
      <w:jc w:val="center"/>
    </w:pPr>
    <w:rPr>
      <w:i/>
      <w:iCs/>
      <w:color w:val="404040" w:themeColor="text1" w:themeTint="BF"/>
    </w:rPr>
  </w:style>
  <w:style w:type="character" w:styleId="QuoteChar" w:customStyle="1">
    <w:name w:val="Quote Char"/>
    <w:basedOn w:val="DefaultParagraphFont"/>
    <w:link w:val="Quote"/>
    <w:uiPriority w:val="29"/>
    <w:rsid w:val="001F6F7E"/>
    <w:rPr>
      <w:i/>
      <w:iCs/>
      <w:noProof/>
      <w:color w:val="404040" w:themeColor="text1" w:themeTint="BF"/>
    </w:rPr>
  </w:style>
  <w:style w:type="paragraph" w:styleId="ListParagraph">
    <w:name w:val="List Paragraph"/>
    <w:basedOn w:val="Normal"/>
    <w:uiPriority w:val="34"/>
    <w:qFormat/>
    <w:rsid w:val="001F6F7E"/>
    <w:pPr>
      <w:ind w:left="720"/>
      <w:contextualSpacing/>
    </w:pPr>
  </w:style>
  <w:style w:type="character" w:styleId="IntenseEmphasis">
    <w:name w:val="Intense Emphasis"/>
    <w:basedOn w:val="DefaultParagraphFont"/>
    <w:uiPriority w:val="21"/>
    <w:qFormat/>
    <w:rsid w:val="001F6F7E"/>
    <w:rPr>
      <w:i/>
      <w:iCs/>
      <w:color w:val="2F5496" w:themeColor="accent1" w:themeShade="BF"/>
    </w:rPr>
  </w:style>
  <w:style w:type="paragraph" w:styleId="IntenseQuote">
    <w:name w:val="Intense Quote"/>
    <w:basedOn w:val="Normal"/>
    <w:next w:val="Normal"/>
    <w:link w:val="IntenseQuoteChar"/>
    <w:uiPriority w:val="30"/>
    <w:qFormat/>
    <w:rsid w:val="001F6F7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F6F7E"/>
    <w:rPr>
      <w:i/>
      <w:iCs/>
      <w:noProof/>
      <w:color w:val="2F5496" w:themeColor="accent1" w:themeShade="BF"/>
    </w:rPr>
  </w:style>
  <w:style w:type="character" w:styleId="IntenseReference">
    <w:name w:val="Intense Reference"/>
    <w:basedOn w:val="DefaultParagraphFont"/>
    <w:uiPriority w:val="32"/>
    <w:qFormat/>
    <w:rsid w:val="001F6F7E"/>
    <w:rPr>
      <w:b/>
      <w:bCs/>
      <w:smallCaps/>
      <w:color w:val="2F5496" w:themeColor="accent1" w:themeShade="BF"/>
      <w:spacing w:val="5"/>
    </w:rPr>
  </w:style>
  <w:style w:type="table" w:styleId="TableGrid">
    <w:name w:val="Table Grid"/>
    <w:basedOn w:val="TableNormal"/>
    <w:uiPriority w:val="39"/>
    <w:rsid w:val="001F6F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A44DB5"/>
    <w:rPr>
      <w:color w:val="0563C1" w:themeColor="hyperlink"/>
      <w:u w:val="single"/>
    </w:rPr>
  </w:style>
  <w:style w:type="character" w:styleId="UnresolvedMention">
    <w:name w:val="Unresolved Mention"/>
    <w:basedOn w:val="DefaultParagraphFont"/>
    <w:uiPriority w:val="99"/>
    <w:semiHidden/>
    <w:unhideWhenUsed/>
    <w:rsid w:val="00A44DB5"/>
    <w:rPr>
      <w:color w:val="605E5C"/>
      <w:shd w:val="clear" w:color="auto" w:fill="E1DFDD"/>
    </w:rPr>
  </w:style>
  <w:style w:type="paragraph" w:styleId="TOCHeading">
    <w:name w:val="TOC Heading"/>
    <w:basedOn w:val="Heading1"/>
    <w:next w:val="Normal"/>
    <w:uiPriority w:val="39"/>
    <w:unhideWhenUsed/>
    <w:qFormat/>
    <w:rsid w:val="00A44DB5"/>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A44DB5"/>
    <w:pPr>
      <w:spacing w:after="100"/>
    </w:pPr>
  </w:style>
  <w:style w:type="paragraph" w:styleId="TOC2">
    <w:name w:val="toc 2"/>
    <w:basedOn w:val="Normal"/>
    <w:next w:val="Normal"/>
    <w:autoRedefine/>
    <w:uiPriority w:val="39"/>
    <w:unhideWhenUsed/>
    <w:rsid w:val="00A44DB5"/>
    <w:pPr>
      <w:spacing w:after="100"/>
      <w:ind w:left="240"/>
    </w:pPr>
  </w:style>
  <w:style w:type="paragraph" w:styleId="Header">
    <w:name w:val="header"/>
    <w:basedOn w:val="Normal"/>
    <w:link w:val="HeaderChar"/>
    <w:uiPriority w:val="99"/>
    <w:unhideWhenUsed/>
    <w:rsid w:val="00A44DB5"/>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4DB5"/>
    <w:rPr>
      <w:rFonts w:ascii="Arial" w:hAnsi="Arial"/>
      <w:noProof/>
      <w:sz w:val="24"/>
    </w:rPr>
  </w:style>
  <w:style w:type="paragraph" w:styleId="Footer">
    <w:name w:val="footer"/>
    <w:basedOn w:val="Normal"/>
    <w:link w:val="FooterChar"/>
    <w:uiPriority w:val="99"/>
    <w:unhideWhenUsed/>
    <w:rsid w:val="00A44DB5"/>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4DB5"/>
    <w:rPr>
      <w:rFonts w:ascii="Arial" w:hAnsi="Arial"/>
      <w:noProof/>
      <w:sz w:val="24"/>
    </w:rPr>
  </w:style>
  <w:style w:type="character" w:styleId="PlaceholderText">
    <w:uiPriority w:val="99"/>
    <w:name w:val="Placeholder Text"/>
    <w:basedOn w:val="DefaultParagraphFont"/>
    <w:semiHidden/>
    <w:rsid w:val="3156493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2.png" Id="rId843877986" /><Relationship Type="http://schemas.openxmlformats.org/officeDocument/2006/relationships/image" Target="/media/image3.png" Id="rId597615012" /><Relationship Type="http://schemas.openxmlformats.org/officeDocument/2006/relationships/image" Target="/media/image4.png" Id="rId564659883" /><Relationship Type="http://schemas.openxmlformats.org/officeDocument/2006/relationships/header" Target="header.xml" Id="R66f2bfebe50c41ce" /><Relationship Type="http://schemas.openxmlformats.org/officeDocument/2006/relationships/hyperlink" Target="https://www.mckinsey.com/" TargetMode="External" Id="Rc2c7cc6e22954d5d" /><Relationship Type="http://schemas.openxmlformats.org/officeDocument/2006/relationships/hyperlink" Target="https://www.netflixinvestor.com/" TargetMode="External" Id="Rda3e75e5e743403b" /><Relationship Type="http://schemas.openxmlformats.org/officeDocument/2006/relationships/header" Target="header2.xml" Id="R952e7822eea24096" /><Relationship Type="http://schemas.openxmlformats.org/officeDocument/2006/relationships/hyperlink" Target="https://www.statista.com/" TargetMode="External" Id="R051bce39029347d7" /><Relationship Type="http://schemas.openxmlformats.org/officeDocument/2006/relationships/hyperlink" Target="https://thewaltdisneycompany.com/" TargetMode="External" Id="Rd3ab79618d1147a9" /><Relationship Type="http://schemas.openxmlformats.org/officeDocument/2006/relationships/glossaryDocument" Target="glossary/document.xml" Id="R75836fe862024764"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5DA609C4-ACCF-4105-BE63-524031133CF7}"/>
      </w:docPartPr>
      <w:docPartBody>
        <w:p w:rsidR="57F47822" w:rsidRDefault="57F47822" w14:paraId="68206085" w14:textId="2A947F86">
          <w:r w:rsidRPr="57F47822" w:rsidR="57F47822">
            <w:rPr>
              <w:rStyle w:val="PlaceholderText"/>
            </w:rPr>
            <w:t>Click or tap here to enter text.</w:t>
          </w:r>
        </w:p>
      </w:docPartBody>
    </w:docPart>
  </w:docParts>
</w:glossaryDocument>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Avani Kasundra</dc:creator>
  <keywords/>
  <dc:description/>
  <lastModifiedBy>Priya Sureshbhai Aghera</lastModifiedBy>
  <revision>12</revision>
  <dcterms:created xsi:type="dcterms:W3CDTF">2026-03-15T08:52:00.0000000Z</dcterms:created>
  <dcterms:modified xsi:type="dcterms:W3CDTF">2026-03-26T09:25:17.9791985Z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b1ad2517-2af1-4f9d-a97b-45488fd7ea47</vt:lpwstr>
  </property>
  <property xmlns="http://schemas.openxmlformats.org/officeDocument/2006/custom-properties" fmtid="{D5CDD505-2E9C-101B-9397-08002B2CF9AE}" pid="3" name="TII_WORD_DOCUMENT_FILENAME">
    <vt:lpwstr xmlns:vt="http://schemas.openxmlformats.org/officeDocument/2006/docPropsVTypes">Marketing Management A1 (27-3) Astha.docx</vt:lpwstr>
  </property>
  <property xmlns="http://schemas.openxmlformats.org/officeDocument/2006/custom-properties" fmtid="{D5CDD505-2E9C-101B-9397-08002B2CF9AE}" pid="4" name="TII_WORD_DOCUMENT_ID">
    <vt:lpwstr xmlns:vt="http://schemas.openxmlformats.org/officeDocument/2006/docPropsVTypes">df8c07b1-959e-4846-baaa-ad35d8486ad1</vt:lpwstr>
  </property>
  <property xmlns="http://schemas.openxmlformats.org/officeDocument/2006/custom-properties" fmtid="{D5CDD505-2E9C-101B-9397-08002B2CF9AE}" pid="5" name="TII_WORD_DOCUMENT_HASH">
    <vt:lpwstr xmlns:vt="http://schemas.openxmlformats.org/officeDocument/2006/docPropsVTypes">ffc735483fd6960375d73b48620406d3b75f39121a326eb728ec26b75ca797cd</vt:lpwstr>
  </property>
</Properties>
</file>