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FCFDA6" w14:textId="77777777" w:rsidR="003E2F8D" w:rsidRDefault="003E2F8D" w:rsidP="003E2F8D">
      <w:pPr>
        <w:pBdr>
          <w:top w:val="nil"/>
          <w:left w:val="nil"/>
          <w:bottom w:val="nil"/>
          <w:right w:val="nil"/>
          <w:between w:val="nil"/>
        </w:pBdr>
        <w:spacing w:after="0" w:line="360" w:lineRule="auto"/>
        <w:ind w:left="720"/>
        <w:jc w:val="both"/>
        <w:rPr>
          <w:rFonts w:ascii="Times New Roman" w:eastAsia="Times New Roman" w:hAnsi="Times New Roman" w:cs="Times New Roman"/>
          <w:color w:val="222222"/>
          <w:sz w:val="32"/>
          <w:szCs w:val="32"/>
        </w:rPr>
      </w:pPr>
      <w:r>
        <w:rPr>
          <w:rFonts w:ascii="Times New Roman" w:eastAsia="Times New Roman" w:hAnsi="Times New Roman" w:cs="Times New Roman"/>
          <w:color w:val="222222"/>
          <w:sz w:val="32"/>
          <w:szCs w:val="32"/>
        </w:rPr>
        <w:t>Academic writing</w:t>
      </w:r>
    </w:p>
    <w:p w14:paraId="319B913D" w14:textId="77777777" w:rsidR="003E2F8D" w:rsidRDefault="003E2F8D" w:rsidP="003E2F8D">
      <w:pPr>
        <w:pBdr>
          <w:top w:val="nil"/>
          <w:left w:val="nil"/>
          <w:bottom w:val="nil"/>
          <w:right w:val="nil"/>
          <w:between w:val="nil"/>
        </w:pBdr>
        <w:spacing w:after="0"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Academic writing is the formally written work published in academic journals and books. The emphasis is on guiding the reader's comprehension of a topic via the use of evidence and reason.</w:t>
      </w:r>
    </w:p>
    <w:p w14:paraId="381F9306" w14:textId="77777777" w:rsidR="003E2F8D" w:rsidRDefault="003E2F8D" w:rsidP="003E2F8D">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sz w:val="24"/>
          <w:szCs w:val="24"/>
        </w:rPr>
        <w:t xml:space="preserve">Scholarly writing is used in a variety of ways by experts in many fields. Scholarly writing is used by many different professions; scientists use it to communicate their discoveries and methods, while literary critics use it to argue their points with supporting evidence </w:t>
      </w:r>
      <w:r>
        <w:rPr>
          <w:rFonts w:ascii="Times New Roman" w:eastAsia="Times New Roman" w:hAnsi="Times New Roman" w:cs="Times New Roman"/>
          <w:color w:val="222222"/>
          <w:sz w:val="24"/>
          <w:szCs w:val="24"/>
          <w:highlight w:val="white"/>
        </w:rPr>
        <w:t xml:space="preserve">(Ohshima et al., 2007).  </w:t>
      </w:r>
    </w:p>
    <w:p w14:paraId="2E581A0F" w14:textId="77777777" w:rsidR="003E2F8D" w:rsidRDefault="003E2F8D" w:rsidP="003E2F8D">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          Academic communication hinges on being able to write in certain forms but no others, which risks excluding knowledge that may lend itself to alternative forms of representation, including dialogues, chronicles, manifestos, </w:t>
      </w:r>
      <w:proofErr w:type="gramStart"/>
      <w:r>
        <w:rPr>
          <w:rFonts w:ascii="Times New Roman" w:eastAsia="Times New Roman" w:hAnsi="Times New Roman" w:cs="Times New Roman"/>
          <w:color w:val="222222"/>
          <w:sz w:val="24"/>
          <w:szCs w:val="24"/>
        </w:rPr>
        <w:t>blogs</w:t>
      </w:r>
      <w:proofErr w:type="gramEnd"/>
      <w:r>
        <w:rPr>
          <w:rFonts w:ascii="Times New Roman" w:eastAsia="Times New Roman" w:hAnsi="Times New Roman" w:cs="Times New Roman"/>
          <w:color w:val="222222"/>
          <w:sz w:val="24"/>
          <w:szCs w:val="24"/>
        </w:rPr>
        <w:t xml:space="preserve"> and comics. Moreover, because academic ability tends to be misleading conflated with writing ability, limiting how the academy writes to a relatively narrow set of forms may be preventing a range of abilities from emerging (Julia Molinari,2022)</w:t>
      </w:r>
    </w:p>
    <w:p w14:paraId="04EC72DE" w14:textId="77777777" w:rsidR="003E2F8D" w:rsidRDefault="003E2F8D" w:rsidP="003E2F8D">
      <w:pPr>
        <w:spacing w:before="280" w:after="180" w:line="360" w:lineRule="auto"/>
        <w:ind w:left="720"/>
        <w:jc w:val="both"/>
        <w:rPr>
          <w:rFonts w:ascii="Times New Roman" w:eastAsia="Times New Roman" w:hAnsi="Times New Roman" w:cs="Times New Roman"/>
          <w:b/>
          <w:color w:val="4C4C4C"/>
          <w:sz w:val="28"/>
          <w:szCs w:val="28"/>
        </w:rPr>
      </w:pPr>
      <w:r>
        <w:rPr>
          <w:rFonts w:ascii="Times New Roman" w:eastAsia="Times New Roman" w:hAnsi="Times New Roman" w:cs="Times New Roman"/>
          <w:b/>
          <w:color w:val="4C4C4C"/>
          <w:sz w:val="28"/>
          <w:szCs w:val="28"/>
        </w:rPr>
        <w:t>Importance of Academic Writing</w:t>
      </w:r>
    </w:p>
    <w:p w14:paraId="6C16B1E2" w14:textId="77777777" w:rsidR="003E2F8D" w:rsidRDefault="003E2F8D" w:rsidP="003E2F8D">
      <w:pPr>
        <w:spacing w:before="280" w:after="180" w:line="360" w:lineRule="auto"/>
        <w:ind w:left="720"/>
        <w:jc w:val="both"/>
        <w:rPr>
          <w:rFonts w:ascii="Times New Roman" w:eastAsia="Times New Roman" w:hAnsi="Times New Roman" w:cs="Times New Roman"/>
          <w:color w:val="4C4C4C"/>
          <w:sz w:val="24"/>
          <w:szCs w:val="24"/>
        </w:rPr>
      </w:pPr>
      <w:r>
        <w:rPr>
          <w:rFonts w:ascii="Times New Roman" w:eastAsia="Times New Roman" w:hAnsi="Times New Roman" w:cs="Times New Roman"/>
          <w:color w:val="4C4C4C"/>
          <w:sz w:val="24"/>
          <w:szCs w:val="24"/>
        </w:rPr>
        <w:t>Since the advent of academic writing, writing has been an integral aspect of the educational process for students all over the globe. Almost every educational establishment in place to promote student-to-student and student-to</w:t>
      </w:r>
      <w:r>
        <w:rPr>
          <w:rFonts w:ascii="Times New Roman" w:eastAsia="Times New Roman" w:hAnsi="Times New Roman" w:cs="Times New Roman"/>
          <w:color w:val="4C4C4C"/>
          <w:sz w:val="24"/>
          <w:szCs w:val="24"/>
        </w:rPr>
        <w:t xml:space="preserve"> </w:t>
      </w:r>
      <w:r>
        <w:rPr>
          <w:rFonts w:ascii="Times New Roman" w:eastAsia="Times New Roman" w:hAnsi="Times New Roman" w:cs="Times New Roman"/>
          <w:color w:val="4C4C4C"/>
          <w:sz w:val="24"/>
          <w:szCs w:val="24"/>
        </w:rPr>
        <w:t>teacher knowledge sharing. In addition to learning how to converse with one another, the students will also hone their writing skills via this practice.</w:t>
      </w:r>
    </w:p>
    <w:p w14:paraId="3DB32203" w14:textId="77777777" w:rsidR="003E2F8D" w:rsidRDefault="003E2F8D" w:rsidP="003E2F8D">
      <w:pPr>
        <w:spacing w:before="280" w:after="180" w:line="360" w:lineRule="auto"/>
        <w:ind w:left="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4C4C4C"/>
          <w:sz w:val="24"/>
          <w:szCs w:val="24"/>
        </w:rPr>
        <w:t xml:space="preserve">When a student completes a course successfully, they are rewarded with a degree or certificate that includes academic writing as a required component. This standard procedure is being used internationally. Academic writing is distinct from creative writing in that it is used to methodically assess the student across a range of competencies. </w:t>
      </w:r>
      <w:r>
        <w:rPr>
          <w:rFonts w:ascii="Times New Roman" w:eastAsia="Times New Roman" w:hAnsi="Times New Roman" w:cs="Times New Roman"/>
          <w:color w:val="222222"/>
          <w:sz w:val="24"/>
          <w:szCs w:val="24"/>
          <w:highlight w:val="white"/>
        </w:rPr>
        <w:t xml:space="preserve">(Partridge, 2004).  </w:t>
      </w:r>
    </w:p>
    <w:p w14:paraId="1C2CB11F" w14:textId="77777777" w:rsidR="003E2F8D" w:rsidRDefault="003E2F8D" w:rsidP="003E2F8D">
      <w:pPr>
        <w:pBdr>
          <w:top w:val="nil"/>
          <w:left w:val="nil"/>
          <w:bottom w:val="nil"/>
          <w:right w:val="nil"/>
          <w:between w:val="nil"/>
        </w:pBdr>
        <w:spacing w:after="0" w:line="360" w:lineRule="auto"/>
        <w:jc w:val="both"/>
        <w:rPr>
          <w:rFonts w:ascii="Times New Roman" w:eastAsia="Times New Roman" w:hAnsi="Times New Roman" w:cs="Times New Roman"/>
          <w:color w:val="4C4C4C"/>
          <w:sz w:val="24"/>
          <w:szCs w:val="24"/>
        </w:rPr>
      </w:pPr>
      <w:r>
        <w:rPr>
          <w:rFonts w:ascii="Times New Roman" w:eastAsia="Times New Roman" w:hAnsi="Times New Roman" w:cs="Times New Roman"/>
          <w:color w:val="4C4C4C"/>
          <w:sz w:val="24"/>
          <w:szCs w:val="24"/>
        </w:rPr>
        <w:t>Writing is a skill that is required in many contexts throughout life. However, academic writing is quite different from personal writing because it follows its own set of rules and practices:</w:t>
      </w:r>
    </w:p>
    <w:p w14:paraId="7993B88B" w14:textId="77777777" w:rsidR="003E2F8D" w:rsidRDefault="003E2F8D" w:rsidP="003E2F8D">
      <w:pPr>
        <w:numPr>
          <w:ilvl w:val="0"/>
          <w:numId w:val="1"/>
        </w:numPr>
        <w:spacing w:before="280" w:after="180" w:line="360" w:lineRule="auto"/>
        <w:jc w:val="both"/>
        <w:rPr>
          <w:color w:val="4C4C4C"/>
        </w:rPr>
      </w:pPr>
      <w:r>
        <w:rPr>
          <w:rFonts w:ascii="Times New Roman" w:eastAsia="Times New Roman" w:hAnsi="Times New Roman" w:cs="Times New Roman"/>
          <w:color w:val="4C4C4C"/>
          <w:sz w:val="24"/>
          <w:szCs w:val="24"/>
        </w:rPr>
        <w:t>In most cases, there is a predetermined framework in place for the presentation of ideas.</w:t>
      </w:r>
    </w:p>
    <w:p w14:paraId="331B94DF" w14:textId="77777777" w:rsidR="003E2F8D" w:rsidRDefault="003E2F8D" w:rsidP="003E2F8D">
      <w:pPr>
        <w:numPr>
          <w:ilvl w:val="0"/>
          <w:numId w:val="1"/>
        </w:numPr>
        <w:spacing w:after="180" w:line="360" w:lineRule="auto"/>
        <w:jc w:val="both"/>
        <w:rPr>
          <w:color w:val="4C4C4C"/>
        </w:rPr>
      </w:pPr>
      <w:r>
        <w:rPr>
          <w:rFonts w:ascii="Times New Roman" w:eastAsia="Times New Roman" w:hAnsi="Times New Roman" w:cs="Times New Roman"/>
          <w:color w:val="4C4C4C"/>
          <w:sz w:val="24"/>
          <w:szCs w:val="24"/>
        </w:rPr>
        <w:t>The use of scholarly sources lends credibility to the author's arguments.</w:t>
      </w:r>
    </w:p>
    <w:p w14:paraId="442B09E6" w14:textId="77777777" w:rsidR="003E2F8D" w:rsidRDefault="003E2F8D" w:rsidP="003E2F8D">
      <w:pPr>
        <w:numPr>
          <w:ilvl w:val="0"/>
          <w:numId w:val="1"/>
        </w:numPr>
        <w:spacing w:after="180" w:line="360" w:lineRule="auto"/>
        <w:jc w:val="both"/>
        <w:rPr>
          <w:color w:val="4C4C4C"/>
        </w:rPr>
      </w:pPr>
      <w:r>
        <w:rPr>
          <w:rFonts w:ascii="Times New Roman" w:eastAsia="Times New Roman" w:hAnsi="Times New Roman" w:cs="Times New Roman"/>
          <w:color w:val="4C4C4C"/>
          <w:sz w:val="24"/>
          <w:szCs w:val="24"/>
        </w:rPr>
        <w:lastRenderedPageBreak/>
        <w:t>Academic writing differs from personal writing in that it investigates a subject's theories and causes, as well as several possible interpretations for that issue.</w:t>
      </w:r>
    </w:p>
    <w:p w14:paraId="4227A30F" w14:textId="77777777" w:rsidR="003E2F8D" w:rsidRPr="00D1631B" w:rsidRDefault="003E2F8D" w:rsidP="003E2F8D">
      <w:pPr>
        <w:numPr>
          <w:ilvl w:val="0"/>
          <w:numId w:val="1"/>
        </w:numPr>
        <w:spacing w:after="180" w:line="360" w:lineRule="auto"/>
        <w:jc w:val="both"/>
        <w:rPr>
          <w:color w:val="4C4C4C"/>
        </w:rPr>
      </w:pPr>
      <w:r>
        <w:rPr>
          <w:rFonts w:ascii="Times New Roman" w:eastAsia="Times New Roman" w:hAnsi="Times New Roman" w:cs="Times New Roman"/>
          <w:color w:val="4C4C4C"/>
          <w:sz w:val="24"/>
          <w:szCs w:val="24"/>
        </w:rPr>
        <w:t xml:space="preserve">Academic writing maintains a certain tone, which employs succinct, formal, and objective vocabulary. Academic writing also conforms to established rules of punctuation, syntax, </w:t>
      </w:r>
    </w:p>
    <w:p w14:paraId="05A73C83" w14:textId="77777777" w:rsidR="003E2F8D" w:rsidRDefault="003E2F8D" w:rsidP="003E2F8D">
      <w:pPr>
        <w:spacing w:after="180" w:line="360" w:lineRule="auto"/>
        <w:ind w:left="720"/>
        <w:jc w:val="both"/>
        <w:rPr>
          <w:rFonts w:ascii="Times New Roman" w:eastAsia="Times New Roman" w:hAnsi="Times New Roman" w:cs="Times New Roman"/>
          <w:color w:val="4C4C4C"/>
          <w:sz w:val="24"/>
          <w:szCs w:val="24"/>
        </w:rPr>
      </w:pPr>
      <w:r>
        <w:rPr>
          <w:rFonts w:ascii="Times New Roman" w:eastAsia="Times New Roman" w:hAnsi="Times New Roman" w:cs="Times New Roman"/>
          <w:color w:val="4C4C4C"/>
          <w:sz w:val="24"/>
          <w:szCs w:val="24"/>
        </w:rPr>
        <w:t>Paraphrasing</w:t>
      </w:r>
    </w:p>
    <w:p w14:paraId="7BC91AB1" w14:textId="77777777" w:rsidR="003E2F8D" w:rsidRDefault="003E2F8D" w:rsidP="003E2F8D">
      <w:pPr>
        <w:spacing w:after="180" w:line="360" w:lineRule="auto"/>
        <w:ind w:left="720"/>
        <w:jc w:val="both"/>
        <w:rPr>
          <w:rFonts w:ascii="Times New Roman" w:eastAsia="Times New Roman" w:hAnsi="Times New Roman" w:cs="Times New Roman"/>
          <w:color w:val="4C4C4C"/>
          <w:sz w:val="24"/>
          <w:szCs w:val="24"/>
        </w:rPr>
      </w:pPr>
      <w:r>
        <w:rPr>
          <w:rFonts w:ascii="Times New Roman" w:eastAsia="Times New Roman" w:hAnsi="Times New Roman" w:cs="Times New Roman"/>
          <w:color w:val="4C4C4C"/>
          <w:sz w:val="24"/>
          <w:szCs w:val="24"/>
        </w:rPr>
        <w:t>In many fields scholarly writing is used by experts, and it is also used in different professions. scientists also use it in their discoveries and methods. (Ohshima et al,.2007) no others just academic communication being able to write in certain forums excluding knowledge which may lend itself to alternative forums to representation, which includes dialogues, blogs, and comics.</w:t>
      </w:r>
    </w:p>
    <w:p w14:paraId="6D1205D7" w14:textId="77777777" w:rsidR="003E2F8D" w:rsidRDefault="003E2F8D" w:rsidP="003E2F8D">
      <w:pPr>
        <w:spacing w:after="180" w:line="360" w:lineRule="auto"/>
        <w:ind w:left="720"/>
        <w:jc w:val="both"/>
        <w:rPr>
          <w:rFonts w:ascii="Times New Roman" w:eastAsia="Times New Roman" w:hAnsi="Times New Roman" w:cs="Times New Roman"/>
          <w:color w:val="4C4C4C"/>
          <w:sz w:val="24"/>
          <w:szCs w:val="24"/>
        </w:rPr>
      </w:pPr>
      <w:r>
        <w:rPr>
          <w:rFonts w:ascii="Times New Roman" w:eastAsia="Times New Roman" w:hAnsi="Times New Roman" w:cs="Times New Roman"/>
          <w:color w:val="4C4C4C"/>
          <w:sz w:val="24"/>
          <w:szCs w:val="24"/>
        </w:rPr>
        <w:t>Julia Molinari states that to prevent a range of abilities from emerging academy writes relatively a narrow set of forums, moreover academic ability tends to be misleads conflated with writing ability.</w:t>
      </w:r>
    </w:p>
    <w:p w14:paraId="04235311" w14:textId="77777777" w:rsidR="003E2F8D" w:rsidRDefault="003E2F8D" w:rsidP="003E2F8D">
      <w:pPr>
        <w:spacing w:after="180" w:line="360" w:lineRule="auto"/>
        <w:ind w:left="720"/>
        <w:jc w:val="both"/>
        <w:rPr>
          <w:rFonts w:ascii="Times New Roman" w:eastAsia="Times New Roman" w:hAnsi="Times New Roman" w:cs="Times New Roman"/>
          <w:color w:val="4C4C4C"/>
          <w:sz w:val="24"/>
          <w:szCs w:val="24"/>
        </w:rPr>
      </w:pPr>
      <w:r>
        <w:rPr>
          <w:rFonts w:ascii="Times New Roman" w:eastAsia="Times New Roman" w:hAnsi="Times New Roman" w:cs="Times New Roman"/>
          <w:color w:val="4C4C4C"/>
          <w:sz w:val="24"/>
          <w:szCs w:val="24"/>
        </w:rPr>
        <w:t xml:space="preserve">Academic writing has an integral aspect to promote students and teachers all over the globe, to share the knowledge, and student can also get knowledge to their writing skills via this practice. academic writing is a component that rewards a student with a degree or certificate successfully. </w:t>
      </w:r>
      <w:r>
        <w:rPr>
          <w:rFonts w:ascii="Times New Roman" w:eastAsia="Times New Roman" w:hAnsi="Times New Roman" w:cs="Times New Roman"/>
          <w:color w:val="4C4C4C"/>
          <w:sz w:val="24"/>
          <w:szCs w:val="24"/>
        </w:rPr>
        <w:t>A</w:t>
      </w:r>
      <w:r>
        <w:rPr>
          <w:rFonts w:ascii="Times New Roman" w:eastAsia="Times New Roman" w:hAnsi="Times New Roman" w:cs="Times New Roman"/>
          <w:color w:val="4C4C4C"/>
          <w:sz w:val="24"/>
          <w:szCs w:val="24"/>
        </w:rPr>
        <w:t>cademic</w:t>
      </w:r>
      <w:r>
        <w:rPr>
          <w:rFonts w:ascii="Times New Roman" w:eastAsia="Times New Roman" w:hAnsi="Times New Roman" w:cs="Times New Roman"/>
          <w:color w:val="4C4C4C"/>
          <w:sz w:val="24"/>
          <w:szCs w:val="24"/>
        </w:rPr>
        <w:t xml:space="preserve"> </w:t>
      </w:r>
      <w:r>
        <w:rPr>
          <w:rFonts w:ascii="Times New Roman" w:eastAsia="Times New Roman" w:hAnsi="Times New Roman" w:cs="Times New Roman"/>
          <w:color w:val="4C4C4C"/>
          <w:sz w:val="24"/>
          <w:szCs w:val="24"/>
        </w:rPr>
        <w:t>writing has its own rules and practices that is different from other writing,</w:t>
      </w:r>
    </w:p>
    <w:p w14:paraId="7F5A2104" w14:textId="5A3660A8" w:rsidR="00734D6C" w:rsidRDefault="00734D6C" w:rsidP="003E2F8D"/>
    <w:sectPr w:rsidR="00734D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w:altName w:val="Noto Sans"/>
    <w:charset w:val="00"/>
    <w:family w:val="swiss"/>
    <w:pitch w:val="variable"/>
    <w:sig w:usb0="E00082FF" w:usb1="400078FF" w:usb2="00000021" w:usb3="00000000" w:csb0="0000019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9F6B2A"/>
    <w:multiLevelType w:val="multilevel"/>
    <w:tmpl w:val="CF521E86"/>
    <w:lvl w:ilvl="0">
      <w:start w:val="1"/>
      <w:numFmt w:val="bullet"/>
      <w:lvlText w:val="●"/>
      <w:lvlJc w:val="left"/>
      <w:pPr>
        <w:ind w:left="720" w:hanging="360"/>
      </w:pPr>
      <w:rPr>
        <w:rFonts w:ascii="Noto Sans" w:eastAsia="Noto Sans" w:hAnsi="Noto Sans" w:cs="Noto Sans"/>
        <w:sz w:val="20"/>
        <w:szCs w:val="20"/>
      </w:rPr>
    </w:lvl>
    <w:lvl w:ilvl="1">
      <w:start w:val="1"/>
      <w:numFmt w:val="bullet"/>
      <w:lvlText w:val="●"/>
      <w:lvlJc w:val="left"/>
      <w:pPr>
        <w:ind w:left="1440" w:hanging="360"/>
      </w:pPr>
      <w:rPr>
        <w:rFonts w:ascii="Noto Sans" w:eastAsia="Noto Sans" w:hAnsi="Noto Sans" w:cs="Noto Sans"/>
        <w:sz w:val="20"/>
        <w:szCs w:val="20"/>
      </w:rPr>
    </w:lvl>
    <w:lvl w:ilvl="2">
      <w:start w:val="1"/>
      <w:numFmt w:val="bullet"/>
      <w:lvlText w:val="●"/>
      <w:lvlJc w:val="left"/>
      <w:pPr>
        <w:ind w:left="2160" w:hanging="360"/>
      </w:pPr>
      <w:rPr>
        <w:rFonts w:ascii="Noto Sans" w:eastAsia="Noto Sans" w:hAnsi="Noto Sans" w:cs="Noto Sans"/>
        <w:sz w:val="20"/>
        <w:szCs w:val="20"/>
      </w:rPr>
    </w:lvl>
    <w:lvl w:ilvl="3">
      <w:start w:val="1"/>
      <w:numFmt w:val="bullet"/>
      <w:lvlText w:val="●"/>
      <w:lvlJc w:val="left"/>
      <w:pPr>
        <w:ind w:left="2880" w:hanging="360"/>
      </w:pPr>
      <w:rPr>
        <w:rFonts w:ascii="Noto Sans" w:eastAsia="Noto Sans" w:hAnsi="Noto Sans" w:cs="Noto Sans"/>
        <w:sz w:val="20"/>
        <w:szCs w:val="20"/>
      </w:rPr>
    </w:lvl>
    <w:lvl w:ilvl="4">
      <w:start w:val="1"/>
      <w:numFmt w:val="bullet"/>
      <w:lvlText w:val="●"/>
      <w:lvlJc w:val="left"/>
      <w:pPr>
        <w:ind w:left="3600" w:hanging="360"/>
      </w:pPr>
      <w:rPr>
        <w:rFonts w:ascii="Noto Sans" w:eastAsia="Noto Sans" w:hAnsi="Noto Sans" w:cs="Noto Sans"/>
        <w:sz w:val="20"/>
        <w:szCs w:val="20"/>
      </w:rPr>
    </w:lvl>
    <w:lvl w:ilvl="5">
      <w:start w:val="1"/>
      <w:numFmt w:val="bullet"/>
      <w:lvlText w:val="●"/>
      <w:lvlJc w:val="left"/>
      <w:pPr>
        <w:ind w:left="4320" w:hanging="360"/>
      </w:pPr>
      <w:rPr>
        <w:rFonts w:ascii="Noto Sans" w:eastAsia="Noto Sans" w:hAnsi="Noto Sans" w:cs="Noto Sans"/>
        <w:sz w:val="20"/>
        <w:szCs w:val="20"/>
      </w:rPr>
    </w:lvl>
    <w:lvl w:ilvl="6">
      <w:start w:val="1"/>
      <w:numFmt w:val="bullet"/>
      <w:lvlText w:val="●"/>
      <w:lvlJc w:val="left"/>
      <w:pPr>
        <w:ind w:left="5040" w:hanging="360"/>
      </w:pPr>
      <w:rPr>
        <w:rFonts w:ascii="Noto Sans" w:eastAsia="Noto Sans" w:hAnsi="Noto Sans" w:cs="Noto Sans"/>
        <w:sz w:val="20"/>
        <w:szCs w:val="20"/>
      </w:rPr>
    </w:lvl>
    <w:lvl w:ilvl="7">
      <w:start w:val="1"/>
      <w:numFmt w:val="bullet"/>
      <w:lvlText w:val="●"/>
      <w:lvlJc w:val="left"/>
      <w:pPr>
        <w:ind w:left="5760" w:hanging="360"/>
      </w:pPr>
      <w:rPr>
        <w:rFonts w:ascii="Noto Sans" w:eastAsia="Noto Sans" w:hAnsi="Noto Sans" w:cs="Noto Sans"/>
        <w:sz w:val="20"/>
        <w:szCs w:val="20"/>
      </w:rPr>
    </w:lvl>
    <w:lvl w:ilvl="8">
      <w:start w:val="1"/>
      <w:numFmt w:val="bullet"/>
      <w:lvlText w:val="●"/>
      <w:lvlJc w:val="left"/>
      <w:pPr>
        <w:ind w:left="6480" w:hanging="360"/>
      </w:pPr>
      <w:rPr>
        <w:rFonts w:ascii="Noto Sans" w:eastAsia="Noto Sans" w:hAnsi="Noto Sans" w:cs="Noto Sans"/>
        <w:sz w:val="20"/>
        <w:szCs w:val="20"/>
      </w:rPr>
    </w:lvl>
  </w:abstractNum>
  <w:num w:numId="1" w16cid:durableId="14699789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F8D"/>
    <w:rsid w:val="003E2F8D"/>
    <w:rsid w:val="00734D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6D4D6"/>
  <w15:chartTrackingRefBased/>
  <w15:docId w15:val="{5373E30D-F69B-4F7D-801B-437522AAB3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2F8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513</Words>
  <Characters>2926</Characters>
  <Application>Microsoft Office Word</Application>
  <DocSecurity>0</DocSecurity>
  <Lines>24</Lines>
  <Paragraphs>6</Paragraphs>
  <ScaleCrop>false</ScaleCrop>
  <Company/>
  <LinksUpToDate>false</LinksUpToDate>
  <CharactersWithSpaces>3433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Mehwish Nawaz</dc:creator>
  <cp:keywords/>
  <dc:description/>
  <cp:lastModifiedBy>Mehwish Nawaz</cp:lastModifiedBy>
  <cp:revision>1</cp:revision>
  <dcterms:created xsi:type="dcterms:W3CDTF">2022-11-18T21:59:00Z</dcterms:created>
  <dcterms:modified xsi:type="dcterms:W3CDTF">2022-11-18T22:05:00Z</dcterms:modified>
</cp:coreProperties>
</file>