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Pr="00A406E5" w:rsidR="0029197D" w:rsidP="0029197D" w:rsidRDefault="0029197D" w14:paraId="6364EFAB"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29197D" w:rsidTr="003D74CE" w14:paraId="0E7DE36A" w14:textId="77777777">
        <w:trPr>
          <w:jc w:val="center"/>
        </w:trPr>
        <w:tc>
          <w:tcPr>
            <w:tcW w:w="10670" w:type="dxa"/>
            <w:shd w:val="clear" w:color="auto" w:fill="BFBFBF"/>
          </w:tcPr>
          <w:p w:rsidRPr="00A406E5" w:rsidR="0029197D" w:rsidP="003D74CE" w:rsidRDefault="0029197D" w14:paraId="324B5162" w14:textId="77777777">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rsidRPr="00A406E5" w:rsidR="0029197D" w:rsidP="0029197D" w:rsidRDefault="0029197D" w14:paraId="0E89FF93" w14:textId="77777777">
      <w:pPr>
        <w:rPr>
          <w:rFonts w:ascii="Arial" w:hAnsi="Arial" w:cs="Arial"/>
        </w:rPr>
      </w:pPr>
    </w:p>
    <w:p w:rsidRPr="00A406E5" w:rsidR="0029197D" w:rsidP="0029197D" w:rsidRDefault="0029197D" w14:paraId="5F1E685E"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29197D" w:rsidP="0029197D" w:rsidRDefault="0029197D" w14:paraId="2C96C04E" w14:textId="77777777">
      <w:pPr>
        <w:rPr>
          <w:rFonts w:ascii="Arial" w:hAnsi="Arial" w:cs="Arial"/>
          <w:b/>
          <w:sz w:val="22"/>
          <w:szCs w:val="22"/>
        </w:rPr>
        <w:sectPr w:rsidRPr="00A406E5" w:rsidR="0029197D" w:rsidSect="00F31C04">
          <w:footerReference w:type="default" r:id="rId9"/>
          <w:pgSz w:w="11894" w:h="16834" w:orient="portrait"/>
          <w:pgMar w:top="720" w:right="720" w:bottom="720" w:left="720" w:header="706" w:footer="454" w:gutter="0"/>
          <w:paperSrc w:first="1" w:other="1"/>
          <w:cols w:space="720"/>
          <w:docGrid w:linePitch="272"/>
          <w:headerReference w:type="default" r:id="Rc836c7c1d9b045d4"/>
        </w:sectPr>
      </w:pPr>
    </w:p>
    <w:p w:rsidRPr="00A406E5" w:rsidR="0029197D" w:rsidP="0029197D" w:rsidRDefault="0029197D" w14:paraId="2E5C483A"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29197D" w:rsidTr="003D74CE" w14:paraId="0C78E11A"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29197D" w:rsidP="003D74CE" w:rsidRDefault="0029197D" w14:paraId="254BB562" w14:textId="77777777">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29197D" w:rsidP="003D74CE" w:rsidRDefault="0029197D" w14:paraId="647A420C"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29197D" w:rsidP="003D74CE" w:rsidRDefault="0029197D" w14:paraId="4144B135"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29197D" w:rsidP="003D74CE" w:rsidRDefault="0029197D" w14:paraId="034F18D9"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29197D" w:rsidTr="003D74CE" w14:paraId="674C4587"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29197D" w:rsidP="003D74CE" w:rsidRDefault="0029197D" w14:paraId="146052A1" w14:textId="77777777">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Pr="00A406E5" w:rsidR="0029197D" w:rsidP="003D74CE" w:rsidRDefault="0029197D" w14:paraId="4E4EAD17"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29197D" w:rsidP="003D74CE" w:rsidRDefault="0029197D" w14:paraId="3B53284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29197D" w:rsidP="003D74CE" w:rsidRDefault="0029197D" w14:paraId="003E0B83" w14:textId="77777777">
            <w:pPr>
              <w:jc w:val="center"/>
              <w:rPr>
                <w:rFonts w:ascii="Arial" w:hAnsi="Arial" w:cs="Arial"/>
                <w:sz w:val="32"/>
              </w:rPr>
            </w:pPr>
          </w:p>
        </w:tc>
      </w:tr>
      <w:tr w:rsidRPr="00A406E5" w:rsidR="0029197D" w:rsidTr="003D74CE" w14:paraId="005A4658" w14:textId="77777777">
        <w:trPr>
          <w:trHeight w:val="450"/>
        </w:trPr>
        <w:tc>
          <w:tcPr>
            <w:tcW w:w="4169" w:type="pct"/>
            <w:vMerge w:val="restart"/>
            <w:tcBorders>
              <w:top w:val="single" w:color="auto" w:sz="4" w:space="0"/>
              <w:left w:val="single" w:color="auto" w:sz="4" w:space="0"/>
              <w:right w:val="single" w:color="auto" w:sz="4" w:space="0"/>
            </w:tcBorders>
          </w:tcPr>
          <w:p w:rsidRPr="00A406E5" w:rsidR="0029197D" w:rsidP="003D74CE" w:rsidRDefault="0029197D" w14:paraId="74143AEF" w14:textId="77777777">
            <w:pPr>
              <w:spacing w:after="120"/>
              <w:rPr>
                <w:rFonts w:ascii="Arial" w:hAnsi="Arial" w:cs="Arial"/>
                <w:sz w:val="14"/>
                <w:szCs w:val="14"/>
              </w:rPr>
            </w:pPr>
          </w:p>
          <w:p w:rsidRPr="00A406E5" w:rsidR="0029197D" w:rsidP="003D74CE" w:rsidRDefault="0029197D" w14:paraId="4725EAD2" w14:textId="77777777">
            <w:pPr>
              <w:spacing w:after="120"/>
              <w:rPr>
                <w:rFonts w:ascii="Arial" w:hAnsi="Arial" w:cs="Arial"/>
                <w:sz w:val="14"/>
                <w:szCs w:val="14"/>
              </w:rPr>
            </w:pPr>
          </w:p>
          <w:p w:rsidRPr="00A406E5" w:rsidR="0029197D" w:rsidP="003D74CE" w:rsidRDefault="0029197D" w14:paraId="14AE47D8" w14:textId="77777777">
            <w:pPr>
              <w:spacing w:after="120"/>
              <w:rPr>
                <w:rFonts w:ascii="Arial" w:hAnsi="Arial" w:cs="Arial"/>
                <w:sz w:val="14"/>
                <w:szCs w:val="14"/>
              </w:rPr>
            </w:pPr>
          </w:p>
          <w:p w:rsidRPr="00A406E5" w:rsidR="0029197D" w:rsidP="003D74CE" w:rsidRDefault="0029197D" w14:paraId="7D06DCDE" w14:textId="77777777">
            <w:pPr>
              <w:spacing w:after="120"/>
              <w:rPr>
                <w:rFonts w:ascii="Arial" w:hAnsi="Arial" w:cs="Arial"/>
                <w:sz w:val="14"/>
                <w:szCs w:val="14"/>
              </w:rPr>
            </w:pPr>
          </w:p>
          <w:p w:rsidRPr="00A406E5" w:rsidR="0029197D" w:rsidP="003D74CE" w:rsidRDefault="0029197D" w14:paraId="0B5421B8" w14:textId="77777777">
            <w:pPr>
              <w:spacing w:after="120"/>
              <w:rPr>
                <w:rFonts w:ascii="Arial" w:hAnsi="Arial" w:cs="Arial"/>
                <w:sz w:val="14"/>
                <w:szCs w:val="14"/>
              </w:rPr>
            </w:pPr>
          </w:p>
          <w:p w:rsidRPr="00A406E5" w:rsidR="0029197D" w:rsidP="003D74CE" w:rsidRDefault="0029197D" w14:paraId="359E471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29197D" w:rsidP="003D74CE" w:rsidRDefault="0029197D" w14:paraId="14192BFF"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29197D" w:rsidP="003D74CE" w:rsidRDefault="0029197D" w14:paraId="24B9A0CB" w14:textId="77777777">
            <w:pPr>
              <w:jc w:val="center"/>
              <w:rPr>
                <w:rFonts w:ascii="Arial" w:hAnsi="Arial" w:cs="Arial"/>
                <w:sz w:val="32"/>
              </w:rPr>
            </w:pPr>
          </w:p>
        </w:tc>
      </w:tr>
      <w:tr w:rsidRPr="00A406E5" w:rsidR="0029197D" w:rsidTr="003D74CE" w14:paraId="0CE9AE89" w14:textId="77777777">
        <w:trPr>
          <w:trHeight w:val="451"/>
        </w:trPr>
        <w:tc>
          <w:tcPr>
            <w:tcW w:w="4169" w:type="pct"/>
            <w:vMerge/>
            <w:tcBorders>
              <w:left w:val="single" w:color="auto" w:sz="4" w:space="0"/>
              <w:bottom w:val="single" w:color="auto" w:sz="4" w:space="0"/>
              <w:right w:val="single" w:color="auto" w:sz="4" w:space="0"/>
            </w:tcBorders>
          </w:tcPr>
          <w:p w:rsidRPr="00A406E5" w:rsidR="0029197D" w:rsidP="003D74CE" w:rsidRDefault="0029197D" w14:paraId="2249531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29197D" w:rsidP="003D74CE" w:rsidRDefault="0029197D" w14:paraId="7205913D" w14:textId="77777777">
            <w:pPr>
              <w:jc w:val="center"/>
              <w:rPr>
                <w:rFonts w:ascii="Arial" w:hAnsi="Arial" w:cs="Arial"/>
                <w:sz w:val="32"/>
              </w:rPr>
            </w:pPr>
            <w:r>
              <w:rPr>
                <w:rFonts w:ascii="Arial" w:hAnsi="Arial" w:cs="Arial"/>
                <w:sz w:val="32"/>
              </w:rPr>
              <w:t>5</w:t>
            </w:r>
          </w:p>
        </w:tc>
        <w:tc>
          <w:tcPr>
            <w:tcW w:w="416" w:type="pct"/>
            <w:vMerge/>
            <w:tcBorders>
              <w:top w:val="single" w:color="auto" w:sz="4" w:space="0"/>
              <w:left w:val="single" w:color="auto" w:sz="4" w:space="0"/>
              <w:bottom w:val="single" w:color="auto" w:sz="4" w:space="0"/>
              <w:right w:val="single" w:color="auto" w:sz="4" w:space="0"/>
            </w:tcBorders>
          </w:tcPr>
          <w:p w:rsidRPr="00A406E5" w:rsidR="0029197D" w:rsidP="003D74CE" w:rsidRDefault="0029197D" w14:paraId="5AA1D15C" w14:textId="77777777">
            <w:pPr>
              <w:jc w:val="center"/>
              <w:rPr>
                <w:rFonts w:ascii="Arial" w:hAnsi="Arial" w:cs="Arial"/>
                <w:sz w:val="32"/>
              </w:rPr>
            </w:pPr>
          </w:p>
        </w:tc>
      </w:tr>
      <w:tr w:rsidRPr="00A406E5" w:rsidR="0029197D" w:rsidTr="003D74CE" w14:paraId="17B9B72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29197D" w:rsidP="003D74CE" w:rsidRDefault="0029197D" w14:paraId="7BD977C3"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Pr="00A406E5" w:rsidR="0029197D" w:rsidP="003D74CE" w:rsidRDefault="0029197D" w14:paraId="60D4644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29197D" w:rsidP="003D74CE" w:rsidRDefault="0029197D" w14:paraId="4F18F6E7"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29197D" w:rsidP="003D74CE" w:rsidRDefault="0029197D" w14:paraId="0BC4CB58" w14:textId="77777777">
            <w:pPr>
              <w:jc w:val="center"/>
              <w:rPr>
                <w:rFonts w:ascii="Arial" w:hAnsi="Arial" w:cs="Arial"/>
                <w:sz w:val="32"/>
              </w:rPr>
            </w:pPr>
          </w:p>
        </w:tc>
      </w:tr>
      <w:tr w:rsidRPr="00A406E5" w:rsidR="0029197D" w:rsidTr="003D74CE" w14:paraId="5794C9A1" w14:textId="77777777">
        <w:trPr>
          <w:trHeight w:val="450"/>
        </w:trPr>
        <w:tc>
          <w:tcPr>
            <w:tcW w:w="4169" w:type="pct"/>
            <w:vMerge w:val="restart"/>
            <w:tcBorders>
              <w:top w:val="single" w:color="auto" w:sz="4" w:space="0"/>
              <w:left w:val="single" w:color="auto" w:sz="4" w:space="0"/>
              <w:right w:val="single" w:color="auto" w:sz="4" w:space="0"/>
            </w:tcBorders>
          </w:tcPr>
          <w:p w:rsidRPr="00A406E5" w:rsidR="0029197D" w:rsidP="003D74CE" w:rsidRDefault="0029197D" w14:paraId="4AB31D64" w14:textId="77777777">
            <w:pPr>
              <w:spacing w:after="120"/>
              <w:rPr>
                <w:rFonts w:ascii="Arial" w:hAnsi="Arial" w:cs="Arial"/>
                <w:sz w:val="14"/>
                <w:szCs w:val="14"/>
              </w:rPr>
            </w:pPr>
          </w:p>
          <w:p w:rsidRPr="00A406E5" w:rsidR="0029197D" w:rsidP="003D74CE" w:rsidRDefault="0029197D" w14:paraId="547B6C34" w14:textId="77777777">
            <w:pPr>
              <w:spacing w:after="120"/>
              <w:rPr>
                <w:rFonts w:ascii="Arial" w:hAnsi="Arial" w:cs="Arial"/>
                <w:sz w:val="14"/>
                <w:szCs w:val="14"/>
              </w:rPr>
            </w:pPr>
          </w:p>
          <w:p w:rsidRPr="00A406E5" w:rsidR="0029197D" w:rsidP="003D74CE" w:rsidRDefault="0029197D" w14:paraId="1DF2EFCB" w14:textId="77777777">
            <w:pPr>
              <w:spacing w:after="120"/>
              <w:rPr>
                <w:rFonts w:ascii="Arial" w:hAnsi="Arial" w:cs="Arial"/>
                <w:sz w:val="14"/>
                <w:szCs w:val="14"/>
              </w:rPr>
            </w:pPr>
          </w:p>
          <w:p w:rsidRPr="00A406E5" w:rsidR="0029197D" w:rsidP="003D74CE" w:rsidRDefault="0029197D" w14:paraId="0BE5FD9D" w14:textId="77777777">
            <w:pPr>
              <w:spacing w:after="120"/>
              <w:rPr>
                <w:rFonts w:ascii="Arial" w:hAnsi="Arial" w:cs="Arial"/>
                <w:sz w:val="14"/>
                <w:szCs w:val="14"/>
              </w:rPr>
            </w:pPr>
          </w:p>
          <w:p w:rsidRPr="00A406E5" w:rsidR="0029197D" w:rsidP="003D74CE" w:rsidRDefault="0029197D" w14:paraId="113F32B9" w14:textId="77777777">
            <w:pPr>
              <w:spacing w:after="120"/>
              <w:rPr>
                <w:rFonts w:ascii="Arial" w:hAnsi="Arial" w:cs="Arial"/>
                <w:sz w:val="14"/>
                <w:szCs w:val="14"/>
              </w:rPr>
            </w:pPr>
          </w:p>
          <w:p w:rsidRPr="00A406E5" w:rsidR="0029197D" w:rsidP="003D74CE" w:rsidRDefault="0029197D" w14:paraId="4089B00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29197D" w:rsidP="003D74CE" w:rsidRDefault="0029197D" w14:paraId="7D321D88"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29197D" w:rsidP="003D74CE" w:rsidRDefault="0029197D" w14:paraId="06A3DE53" w14:textId="77777777">
            <w:pPr>
              <w:jc w:val="center"/>
              <w:rPr>
                <w:rFonts w:ascii="Arial" w:hAnsi="Arial" w:cs="Arial"/>
                <w:sz w:val="32"/>
              </w:rPr>
            </w:pPr>
          </w:p>
        </w:tc>
      </w:tr>
      <w:tr w:rsidRPr="00A406E5" w:rsidR="0029197D" w:rsidTr="003D74CE" w14:paraId="1A8CC923" w14:textId="77777777">
        <w:trPr>
          <w:trHeight w:val="451"/>
        </w:trPr>
        <w:tc>
          <w:tcPr>
            <w:tcW w:w="4169" w:type="pct"/>
            <w:vMerge/>
            <w:tcBorders>
              <w:left w:val="single" w:color="auto" w:sz="4" w:space="0"/>
              <w:bottom w:val="single" w:color="auto" w:sz="4" w:space="0"/>
              <w:right w:val="single" w:color="auto" w:sz="4" w:space="0"/>
            </w:tcBorders>
          </w:tcPr>
          <w:p w:rsidRPr="00A406E5" w:rsidR="0029197D" w:rsidP="003D74CE" w:rsidRDefault="0029197D" w14:paraId="0207F72A"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29197D" w:rsidP="003D74CE" w:rsidRDefault="0029197D" w14:paraId="06A1B94A" w14:textId="77777777">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29197D" w:rsidP="003D74CE" w:rsidRDefault="0029197D" w14:paraId="054DF3C0" w14:textId="77777777">
            <w:pPr>
              <w:jc w:val="center"/>
              <w:rPr>
                <w:rFonts w:ascii="Arial" w:hAnsi="Arial" w:cs="Arial"/>
                <w:sz w:val="32"/>
              </w:rPr>
            </w:pPr>
          </w:p>
        </w:tc>
      </w:tr>
      <w:tr w:rsidRPr="00A406E5" w:rsidR="0029197D" w:rsidTr="003D74CE" w14:paraId="7F265E3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29197D" w:rsidP="003D74CE" w:rsidRDefault="0029197D" w14:paraId="260CF75F" w14:textId="7777777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Pr="00A406E5" w:rsidR="0029197D" w:rsidP="003D74CE" w:rsidRDefault="0029197D" w14:paraId="5A7AB82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29197D" w:rsidP="003D74CE" w:rsidRDefault="0029197D" w14:paraId="30F866D2"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29197D" w:rsidP="003D74CE" w:rsidRDefault="0029197D" w14:paraId="448D6346" w14:textId="77777777">
            <w:pPr>
              <w:jc w:val="center"/>
              <w:rPr>
                <w:rFonts w:ascii="Arial" w:hAnsi="Arial" w:cs="Arial"/>
                <w:sz w:val="32"/>
              </w:rPr>
            </w:pPr>
          </w:p>
        </w:tc>
      </w:tr>
      <w:tr w:rsidRPr="00A406E5" w:rsidR="0029197D" w:rsidTr="003D74CE" w14:paraId="546E559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29197D" w:rsidP="003D74CE" w:rsidRDefault="0029197D" w14:paraId="7DF9C330" w14:textId="77777777">
            <w:pPr>
              <w:spacing w:after="120"/>
              <w:rPr>
                <w:rFonts w:ascii="Arial" w:hAnsi="Arial" w:cs="Arial"/>
                <w:sz w:val="14"/>
                <w:szCs w:val="14"/>
              </w:rPr>
            </w:pPr>
          </w:p>
          <w:p w:rsidRPr="00A406E5" w:rsidR="0029197D" w:rsidP="003D74CE" w:rsidRDefault="0029197D" w14:paraId="71C20CD5" w14:textId="77777777">
            <w:pPr>
              <w:spacing w:after="120"/>
              <w:rPr>
                <w:rFonts w:ascii="Arial" w:hAnsi="Arial" w:cs="Arial"/>
                <w:sz w:val="14"/>
                <w:szCs w:val="14"/>
              </w:rPr>
            </w:pPr>
          </w:p>
          <w:p w:rsidRPr="00A406E5" w:rsidR="0029197D" w:rsidP="003D74CE" w:rsidRDefault="0029197D" w14:paraId="3C734615" w14:textId="77777777">
            <w:pPr>
              <w:spacing w:after="120"/>
              <w:rPr>
                <w:rFonts w:ascii="Arial" w:hAnsi="Arial" w:cs="Arial"/>
                <w:sz w:val="14"/>
                <w:szCs w:val="14"/>
              </w:rPr>
            </w:pPr>
          </w:p>
          <w:p w:rsidRPr="00A406E5" w:rsidR="0029197D" w:rsidP="003D74CE" w:rsidRDefault="0029197D" w14:paraId="2D547377" w14:textId="77777777">
            <w:pPr>
              <w:spacing w:after="120"/>
              <w:rPr>
                <w:rFonts w:ascii="Arial" w:hAnsi="Arial" w:cs="Arial"/>
                <w:sz w:val="14"/>
                <w:szCs w:val="14"/>
              </w:rPr>
            </w:pPr>
          </w:p>
          <w:p w:rsidRPr="00A406E5" w:rsidR="0029197D" w:rsidP="003D74CE" w:rsidRDefault="0029197D" w14:paraId="1BDE5BEC" w14:textId="77777777">
            <w:pPr>
              <w:spacing w:after="120"/>
              <w:rPr>
                <w:rFonts w:ascii="Arial" w:hAnsi="Arial" w:cs="Arial"/>
                <w:sz w:val="14"/>
                <w:szCs w:val="14"/>
              </w:rPr>
            </w:pPr>
          </w:p>
          <w:p w:rsidRPr="00A406E5" w:rsidR="0029197D" w:rsidP="003D74CE" w:rsidRDefault="0029197D" w14:paraId="3C792F5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29197D" w:rsidP="003D74CE" w:rsidRDefault="0029197D" w14:paraId="101A2F2B"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29197D" w:rsidP="003D74CE" w:rsidRDefault="0029197D" w14:paraId="5790432F" w14:textId="77777777">
            <w:pPr>
              <w:jc w:val="center"/>
              <w:rPr>
                <w:rFonts w:ascii="Arial" w:hAnsi="Arial" w:cs="Arial"/>
                <w:sz w:val="32"/>
              </w:rPr>
            </w:pPr>
          </w:p>
        </w:tc>
      </w:tr>
      <w:tr w:rsidRPr="00A406E5" w:rsidR="0029197D" w:rsidTr="003D74CE" w14:paraId="2C2EEE4E" w14:textId="77777777">
        <w:trPr>
          <w:trHeight w:val="451"/>
        </w:trPr>
        <w:tc>
          <w:tcPr>
            <w:tcW w:w="4169" w:type="pct"/>
            <w:vMerge/>
            <w:tcBorders>
              <w:left w:val="single" w:color="auto" w:sz="4" w:space="0"/>
              <w:bottom w:val="single" w:color="auto" w:sz="4" w:space="0"/>
              <w:right w:val="single" w:color="auto" w:sz="4" w:space="0"/>
            </w:tcBorders>
          </w:tcPr>
          <w:p w:rsidRPr="00A406E5" w:rsidR="0029197D" w:rsidP="003D74CE" w:rsidRDefault="0029197D" w14:paraId="27D74553"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29197D" w:rsidP="003D74CE" w:rsidRDefault="0029197D" w14:paraId="088B3A1A" w14:textId="77777777">
            <w:pPr>
              <w:jc w:val="center"/>
              <w:rPr>
                <w:rFonts w:ascii="Arial" w:hAnsi="Arial" w:cs="Arial"/>
                <w:sz w:val="32"/>
              </w:rPr>
            </w:pPr>
            <w:r>
              <w:rPr>
                <w:rFonts w:ascii="Arial" w:hAnsi="Arial" w:cs="Arial"/>
                <w:sz w:val="32"/>
              </w:rPr>
              <w:t>25</w:t>
            </w:r>
          </w:p>
        </w:tc>
        <w:tc>
          <w:tcPr>
            <w:tcW w:w="416" w:type="pct"/>
            <w:vMerge/>
            <w:tcBorders>
              <w:top w:val="single" w:color="auto" w:sz="4" w:space="0"/>
              <w:left w:val="single" w:color="auto" w:sz="4" w:space="0"/>
              <w:bottom w:val="single" w:color="auto" w:sz="4" w:space="0"/>
              <w:right w:val="single" w:color="auto" w:sz="4" w:space="0"/>
            </w:tcBorders>
          </w:tcPr>
          <w:p w:rsidRPr="00A406E5" w:rsidR="0029197D" w:rsidP="003D74CE" w:rsidRDefault="0029197D" w14:paraId="6040ACB8" w14:textId="77777777">
            <w:pPr>
              <w:jc w:val="center"/>
              <w:rPr>
                <w:rFonts w:ascii="Arial" w:hAnsi="Arial" w:cs="Arial"/>
                <w:sz w:val="32"/>
              </w:rPr>
            </w:pPr>
          </w:p>
        </w:tc>
      </w:tr>
      <w:tr w:rsidRPr="00A406E5" w:rsidR="0029197D" w:rsidTr="003D74CE" w14:paraId="03945CE0"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29197D" w:rsidP="003D74CE" w:rsidRDefault="0029197D" w14:paraId="1F78E98D"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Pr="00A406E5" w:rsidR="0029197D" w:rsidP="003D74CE" w:rsidRDefault="0029197D" w14:paraId="7CA4771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29197D" w:rsidP="003D74CE" w:rsidRDefault="0029197D" w14:paraId="4C78FE3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29197D" w:rsidP="003D74CE" w:rsidRDefault="0029197D" w14:paraId="58BDC751" w14:textId="77777777">
            <w:pPr>
              <w:jc w:val="center"/>
              <w:rPr>
                <w:rFonts w:ascii="Arial" w:hAnsi="Arial" w:cs="Arial"/>
                <w:sz w:val="32"/>
              </w:rPr>
            </w:pPr>
          </w:p>
        </w:tc>
      </w:tr>
      <w:tr w:rsidRPr="00A406E5" w:rsidR="0029197D" w:rsidTr="003D74CE" w14:paraId="6F79847C" w14:textId="77777777">
        <w:trPr>
          <w:trHeight w:val="451"/>
        </w:trPr>
        <w:tc>
          <w:tcPr>
            <w:tcW w:w="4169" w:type="pct"/>
            <w:vMerge w:val="restart"/>
            <w:tcBorders>
              <w:top w:val="single" w:color="auto" w:sz="4" w:space="0"/>
              <w:left w:val="single" w:color="auto" w:sz="4" w:space="0"/>
              <w:right w:val="single" w:color="auto" w:sz="4" w:space="0"/>
            </w:tcBorders>
          </w:tcPr>
          <w:p w:rsidRPr="00A406E5" w:rsidR="0029197D" w:rsidP="003D74CE" w:rsidRDefault="0029197D" w14:paraId="6DBBA6CF" w14:textId="77777777">
            <w:pPr>
              <w:spacing w:after="120"/>
              <w:rPr>
                <w:rFonts w:ascii="Arial" w:hAnsi="Arial" w:cs="Arial"/>
                <w:sz w:val="14"/>
                <w:szCs w:val="14"/>
              </w:rPr>
            </w:pPr>
          </w:p>
          <w:p w:rsidRPr="00A406E5" w:rsidR="0029197D" w:rsidP="003D74CE" w:rsidRDefault="0029197D" w14:paraId="52FB3E32" w14:textId="77777777">
            <w:pPr>
              <w:spacing w:after="120"/>
              <w:rPr>
                <w:rFonts w:ascii="Arial" w:hAnsi="Arial" w:cs="Arial"/>
                <w:sz w:val="14"/>
                <w:szCs w:val="14"/>
              </w:rPr>
            </w:pPr>
          </w:p>
          <w:p w:rsidRPr="00A406E5" w:rsidR="0029197D" w:rsidP="003D74CE" w:rsidRDefault="0029197D" w14:paraId="0B8DECB1" w14:textId="77777777">
            <w:pPr>
              <w:spacing w:after="120"/>
              <w:rPr>
                <w:rFonts w:ascii="Arial" w:hAnsi="Arial" w:cs="Arial"/>
                <w:sz w:val="14"/>
                <w:szCs w:val="14"/>
              </w:rPr>
            </w:pPr>
          </w:p>
          <w:p w:rsidRPr="00A406E5" w:rsidR="0029197D" w:rsidP="003D74CE" w:rsidRDefault="0029197D" w14:paraId="5EBE04B0" w14:textId="77777777">
            <w:pPr>
              <w:spacing w:after="120"/>
              <w:rPr>
                <w:rFonts w:ascii="Arial" w:hAnsi="Arial" w:cs="Arial"/>
                <w:sz w:val="14"/>
                <w:szCs w:val="14"/>
              </w:rPr>
            </w:pPr>
          </w:p>
          <w:p w:rsidRPr="00A406E5" w:rsidR="0029197D" w:rsidP="003D74CE" w:rsidRDefault="0029197D" w14:paraId="3AC6AB3B" w14:textId="77777777">
            <w:pPr>
              <w:spacing w:after="120"/>
              <w:rPr>
                <w:rFonts w:ascii="Arial" w:hAnsi="Arial" w:cs="Arial"/>
                <w:sz w:val="14"/>
                <w:szCs w:val="14"/>
              </w:rPr>
            </w:pPr>
          </w:p>
          <w:p w:rsidRPr="00A406E5" w:rsidR="0029197D" w:rsidP="003D74CE" w:rsidRDefault="0029197D" w14:paraId="72A3C15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29197D" w:rsidP="003D74CE" w:rsidRDefault="0029197D" w14:paraId="0F3DD8D7"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29197D" w:rsidP="003D74CE" w:rsidRDefault="0029197D" w14:paraId="52B471AB" w14:textId="77777777">
            <w:pPr>
              <w:jc w:val="center"/>
              <w:rPr>
                <w:rFonts w:ascii="Arial" w:hAnsi="Arial" w:cs="Arial"/>
                <w:sz w:val="32"/>
              </w:rPr>
            </w:pPr>
          </w:p>
        </w:tc>
      </w:tr>
      <w:tr w:rsidRPr="00A406E5" w:rsidR="0029197D" w:rsidTr="003D74CE" w14:paraId="05231E40" w14:textId="77777777">
        <w:trPr>
          <w:trHeight w:val="450"/>
        </w:trPr>
        <w:tc>
          <w:tcPr>
            <w:tcW w:w="4169" w:type="pct"/>
            <w:vMerge/>
            <w:tcBorders>
              <w:left w:val="single" w:color="auto" w:sz="4" w:space="0"/>
              <w:bottom w:val="single" w:color="auto" w:sz="4" w:space="0"/>
              <w:right w:val="single" w:color="auto" w:sz="4" w:space="0"/>
            </w:tcBorders>
          </w:tcPr>
          <w:p w:rsidRPr="00A406E5" w:rsidR="0029197D" w:rsidP="003D74CE" w:rsidRDefault="0029197D" w14:paraId="23DC814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29197D" w:rsidP="003D74CE" w:rsidRDefault="0029197D" w14:paraId="5D597BB4" w14:textId="77777777">
            <w:pPr>
              <w:jc w:val="center"/>
              <w:rPr>
                <w:rFonts w:ascii="Arial" w:hAnsi="Arial" w:cs="Arial"/>
                <w:sz w:val="32"/>
              </w:rPr>
            </w:pPr>
            <w:r>
              <w:rPr>
                <w:rFonts w:ascii="Arial" w:hAnsi="Arial" w:cs="Arial"/>
                <w:sz w:val="32"/>
              </w:rPr>
              <w:t>25</w:t>
            </w:r>
          </w:p>
        </w:tc>
        <w:tc>
          <w:tcPr>
            <w:tcW w:w="416" w:type="pct"/>
            <w:vMerge/>
            <w:tcBorders>
              <w:top w:val="single" w:color="auto" w:sz="4" w:space="0"/>
              <w:left w:val="single" w:color="auto" w:sz="4" w:space="0"/>
              <w:bottom w:val="single" w:color="auto" w:sz="4" w:space="0"/>
              <w:right w:val="single" w:color="auto" w:sz="4" w:space="0"/>
            </w:tcBorders>
          </w:tcPr>
          <w:p w:rsidRPr="00A406E5" w:rsidR="0029197D" w:rsidP="003D74CE" w:rsidRDefault="0029197D" w14:paraId="4CEB9795" w14:textId="77777777">
            <w:pPr>
              <w:jc w:val="center"/>
              <w:rPr>
                <w:rFonts w:ascii="Arial" w:hAnsi="Arial" w:cs="Arial"/>
                <w:sz w:val="32"/>
              </w:rPr>
            </w:pPr>
          </w:p>
        </w:tc>
      </w:tr>
      <w:tr w:rsidRPr="00A406E5" w:rsidR="0029197D" w:rsidTr="003D74CE" w14:paraId="3B639C1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29197D" w:rsidP="003D74CE" w:rsidRDefault="0029197D" w14:paraId="2F4C3F0A" w14:textId="7777777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Pr="00A406E5" w:rsidR="0029197D" w:rsidP="003D74CE" w:rsidRDefault="0029197D" w14:paraId="1B1B288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29197D" w:rsidP="003D74CE" w:rsidRDefault="0029197D" w14:paraId="7BEF2207"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29197D" w:rsidP="003D74CE" w:rsidRDefault="0029197D" w14:paraId="1FF955F7" w14:textId="77777777">
            <w:pPr>
              <w:jc w:val="center"/>
              <w:rPr>
                <w:rFonts w:ascii="Arial" w:hAnsi="Arial" w:cs="Arial"/>
                <w:sz w:val="32"/>
              </w:rPr>
            </w:pPr>
          </w:p>
        </w:tc>
      </w:tr>
      <w:tr w:rsidRPr="00A406E5" w:rsidR="0029197D" w:rsidTr="003D74CE" w14:paraId="55B04C53" w14:textId="77777777">
        <w:trPr>
          <w:trHeight w:val="451"/>
        </w:trPr>
        <w:tc>
          <w:tcPr>
            <w:tcW w:w="4169" w:type="pct"/>
            <w:vMerge w:val="restart"/>
            <w:tcBorders>
              <w:top w:val="single" w:color="auto" w:sz="4" w:space="0"/>
              <w:left w:val="single" w:color="auto" w:sz="4" w:space="0"/>
              <w:right w:val="single" w:color="auto" w:sz="4" w:space="0"/>
            </w:tcBorders>
          </w:tcPr>
          <w:p w:rsidRPr="00A406E5" w:rsidR="0029197D" w:rsidP="003D74CE" w:rsidRDefault="0029197D" w14:paraId="77687433" w14:textId="77777777">
            <w:pPr>
              <w:spacing w:after="120"/>
              <w:rPr>
                <w:rFonts w:ascii="Arial" w:hAnsi="Arial" w:cs="Arial"/>
                <w:sz w:val="14"/>
                <w:szCs w:val="14"/>
              </w:rPr>
            </w:pPr>
          </w:p>
          <w:p w:rsidRPr="00A406E5" w:rsidR="0029197D" w:rsidP="003D74CE" w:rsidRDefault="0029197D" w14:paraId="7D3EB1CC" w14:textId="77777777">
            <w:pPr>
              <w:spacing w:after="120"/>
              <w:rPr>
                <w:rFonts w:ascii="Arial" w:hAnsi="Arial" w:cs="Arial"/>
                <w:sz w:val="14"/>
                <w:szCs w:val="14"/>
              </w:rPr>
            </w:pPr>
          </w:p>
          <w:p w:rsidRPr="00A406E5" w:rsidR="0029197D" w:rsidP="003D74CE" w:rsidRDefault="0029197D" w14:paraId="6937E740" w14:textId="77777777">
            <w:pPr>
              <w:spacing w:after="120"/>
              <w:rPr>
                <w:rFonts w:ascii="Arial" w:hAnsi="Arial" w:cs="Arial"/>
                <w:sz w:val="14"/>
                <w:szCs w:val="14"/>
              </w:rPr>
            </w:pPr>
          </w:p>
          <w:p w:rsidRPr="00A406E5" w:rsidR="0029197D" w:rsidP="003D74CE" w:rsidRDefault="0029197D" w14:paraId="20AF841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29197D" w:rsidP="003D74CE" w:rsidRDefault="0029197D" w14:paraId="086BAAF9"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29197D" w:rsidP="003D74CE" w:rsidRDefault="0029197D" w14:paraId="258AB78C" w14:textId="77777777">
            <w:pPr>
              <w:jc w:val="center"/>
              <w:rPr>
                <w:rFonts w:ascii="Arial" w:hAnsi="Arial" w:cs="Arial"/>
                <w:sz w:val="32"/>
              </w:rPr>
            </w:pPr>
          </w:p>
        </w:tc>
      </w:tr>
      <w:tr w:rsidRPr="00A406E5" w:rsidR="0029197D" w:rsidTr="003D74CE" w14:paraId="72F0893A" w14:textId="77777777">
        <w:trPr>
          <w:trHeight w:val="450"/>
        </w:trPr>
        <w:tc>
          <w:tcPr>
            <w:tcW w:w="4169" w:type="pct"/>
            <w:vMerge/>
            <w:tcBorders>
              <w:left w:val="single" w:color="auto" w:sz="4" w:space="0"/>
              <w:bottom w:val="single" w:color="auto" w:sz="4" w:space="0"/>
              <w:right w:val="single" w:color="auto" w:sz="4" w:space="0"/>
            </w:tcBorders>
          </w:tcPr>
          <w:p w:rsidRPr="00A406E5" w:rsidR="0029197D" w:rsidP="003D74CE" w:rsidRDefault="0029197D" w14:paraId="676CFD8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29197D" w:rsidP="003D74CE" w:rsidRDefault="0029197D" w14:paraId="5B46AA56" w14:textId="77777777">
            <w:pPr>
              <w:jc w:val="center"/>
              <w:rPr>
                <w:rFonts w:ascii="Arial" w:hAnsi="Arial" w:cs="Arial"/>
                <w:sz w:val="32"/>
              </w:rPr>
            </w:pPr>
            <w:r>
              <w:rPr>
                <w:rFonts w:ascii="Arial" w:hAnsi="Arial" w:cs="Arial"/>
                <w:sz w:val="32"/>
              </w:rPr>
              <w:t>25</w:t>
            </w:r>
          </w:p>
        </w:tc>
        <w:tc>
          <w:tcPr>
            <w:tcW w:w="416" w:type="pct"/>
            <w:vMerge/>
            <w:tcBorders>
              <w:top w:val="single" w:color="auto" w:sz="4" w:space="0"/>
              <w:left w:val="single" w:color="auto" w:sz="4" w:space="0"/>
              <w:bottom w:val="single" w:color="auto" w:sz="4" w:space="0"/>
              <w:right w:val="single" w:color="auto" w:sz="4" w:space="0"/>
            </w:tcBorders>
          </w:tcPr>
          <w:p w:rsidRPr="00A406E5" w:rsidR="0029197D" w:rsidP="003D74CE" w:rsidRDefault="0029197D" w14:paraId="410188F9" w14:textId="77777777">
            <w:pPr>
              <w:jc w:val="center"/>
              <w:rPr>
                <w:rFonts w:ascii="Arial" w:hAnsi="Arial" w:cs="Arial"/>
                <w:sz w:val="32"/>
              </w:rPr>
            </w:pPr>
          </w:p>
        </w:tc>
      </w:tr>
    </w:tbl>
    <w:p w:rsidRPr="00A406E5" w:rsidR="0029197D" w:rsidP="0029197D" w:rsidRDefault="0029197D" w14:paraId="10CD6EEF"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29197D" w:rsidTr="003D74CE" w14:paraId="7821E5E2" w14:textId="77777777">
        <w:trPr>
          <w:cantSplit/>
        </w:trPr>
        <w:tc>
          <w:tcPr>
            <w:tcW w:w="6062" w:type="dxa"/>
            <w:vMerge w:val="restart"/>
            <w:shd w:val="pct15" w:color="auto" w:fill="auto"/>
            <w:vAlign w:val="center"/>
          </w:tcPr>
          <w:p w:rsidRPr="00A406E5" w:rsidR="0029197D" w:rsidP="003D74CE" w:rsidRDefault="0029197D" w14:paraId="342579DA" w14:textId="77777777">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29197D" w:rsidP="003D74CE" w:rsidRDefault="0029197D" w14:paraId="1CC06E6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29197D" w:rsidP="003D74CE" w:rsidRDefault="0029197D" w14:paraId="1D58F0FD" w14:textId="77777777">
            <w:pPr>
              <w:jc w:val="right"/>
              <w:rPr>
                <w:rFonts w:ascii="Arial" w:hAnsi="Arial" w:cs="Arial"/>
                <w:b/>
                <w:bCs/>
              </w:rPr>
            </w:pPr>
            <w:r w:rsidRPr="00A406E5">
              <w:rPr>
                <w:rFonts w:ascii="Arial" w:hAnsi="Arial" w:cs="Arial"/>
                <w:b/>
                <w:bCs/>
              </w:rPr>
              <w:t>%</w:t>
            </w:r>
          </w:p>
        </w:tc>
      </w:tr>
      <w:tr w:rsidRPr="00A406E5" w:rsidR="0029197D" w:rsidTr="003D74CE" w14:paraId="21B19445" w14:textId="77777777">
        <w:trPr>
          <w:cantSplit/>
        </w:trPr>
        <w:tc>
          <w:tcPr>
            <w:tcW w:w="6062" w:type="dxa"/>
            <w:vMerge/>
            <w:vAlign w:val="bottom"/>
          </w:tcPr>
          <w:p w:rsidRPr="00A406E5" w:rsidR="0029197D" w:rsidP="003D74CE" w:rsidRDefault="0029197D" w14:paraId="477D1659" w14:textId="77777777">
            <w:pPr>
              <w:rPr>
                <w:rFonts w:ascii="Arial" w:hAnsi="Arial" w:cs="Arial"/>
              </w:rPr>
            </w:pPr>
          </w:p>
        </w:tc>
        <w:tc>
          <w:tcPr>
            <w:tcW w:w="2903" w:type="dxa"/>
            <w:vAlign w:val="bottom"/>
          </w:tcPr>
          <w:p w:rsidRPr="00A406E5" w:rsidR="0029197D" w:rsidP="003D74CE" w:rsidRDefault="0029197D" w14:paraId="24CF28EE" w14:textId="77777777">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Pr="00A406E5" w:rsidR="0029197D" w:rsidP="003D74CE" w:rsidRDefault="0029197D" w14:paraId="3A61E8B6" w14:textId="77777777">
            <w:pPr>
              <w:jc w:val="center"/>
              <w:rPr>
                <w:rFonts w:ascii="Arial" w:hAnsi="Arial" w:cs="Arial"/>
                <w:sz w:val="12"/>
                <w:szCs w:val="12"/>
              </w:rPr>
            </w:pPr>
          </w:p>
        </w:tc>
        <w:tc>
          <w:tcPr>
            <w:tcW w:w="1060" w:type="dxa"/>
            <w:vMerge/>
            <w:vAlign w:val="bottom"/>
          </w:tcPr>
          <w:p w:rsidRPr="00A406E5" w:rsidR="0029197D" w:rsidP="003D74CE" w:rsidRDefault="0029197D" w14:paraId="59295513" w14:textId="77777777">
            <w:pPr>
              <w:ind w:left="142" w:leftChars="71"/>
              <w:rPr>
                <w:rFonts w:ascii="Arial" w:hAnsi="Arial" w:cs="Arial"/>
              </w:rPr>
            </w:pPr>
          </w:p>
        </w:tc>
      </w:tr>
      <w:tr w:rsidRPr="00A406E5" w:rsidR="0029197D" w:rsidTr="003D74CE" w14:paraId="1B311867" w14:textId="77777777">
        <w:trPr>
          <w:cantSplit/>
        </w:trPr>
        <w:tc>
          <w:tcPr>
            <w:tcW w:w="6062" w:type="dxa"/>
            <w:vMerge/>
            <w:vAlign w:val="bottom"/>
          </w:tcPr>
          <w:p w:rsidRPr="00A406E5" w:rsidR="0029197D" w:rsidP="003D74CE" w:rsidRDefault="0029197D" w14:paraId="3491D0CB" w14:textId="77777777">
            <w:pPr>
              <w:rPr>
                <w:rFonts w:ascii="Arial" w:hAnsi="Arial" w:cs="Arial"/>
              </w:rPr>
            </w:pPr>
          </w:p>
        </w:tc>
        <w:tc>
          <w:tcPr>
            <w:tcW w:w="2903" w:type="dxa"/>
            <w:vAlign w:val="bottom"/>
          </w:tcPr>
          <w:p w:rsidRPr="00A406E5" w:rsidR="0029197D" w:rsidP="003D74CE" w:rsidRDefault="0029197D" w14:paraId="5903B849" w14:textId="77777777">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Pr="00A406E5" w:rsidR="0029197D" w:rsidP="003D74CE" w:rsidRDefault="0029197D" w14:paraId="7EC1BFBA" w14:textId="77777777">
            <w:pPr>
              <w:jc w:val="center"/>
              <w:rPr>
                <w:rFonts w:ascii="Arial" w:hAnsi="Arial" w:cs="Arial"/>
                <w:sz w:val="12"/>
                <w:szCs w:val="12"/>
              </w:rPr>
            </w:pPr>
          </w:p>
        </w:tc>
        <w:tc>
          <w:tcPr>
            <w:tcW w:w="1060" w:type="dxa"/>
            <w:vMerge/>
            <w:vAlign w:val="bottom"/>
          </w:tcPr>
          <w:p w:rsidRPr="00A406E5" w:rsidR="0029197D" w:rsidP="003D74CE" w:rsidRDefault="0029197D" w14:paraId="69E54265" w14:textId="77777777">
            <w:pPr>
              <w:ind w:firstLine="282" w:firstLineChars="141"/>
              <w:rPr>
                <w:rFonts w:ascii="Arial" w:hAnsi="Arial" w:cs="Arial"/>
              </w:rPr>
            </w:pPr>
          </w:p>
        </w:tc>
        <w:bookmarkStart w:name="_GoBack" w:id="0"/>
        <w:bookmarkEnd w:id="0"/>
      </w:tr>
    </w:tbl>
    <w:p w:rsidR="0029197D" w:rsidP="0029197D" w:rsidRDefault="0029197D" w14:paraId="0391E7E9" w14:textId="77777777">
      <w:pPr>
        <w:rPr>
          <w:rFonts w:ascii="Arial" w:hAnsi="Arial" w:cs="Arial"/>
          <w:vanish/>
        </w:rPr>
        <w:sectPr w:rsidR="0029197D" w:rsidSect="00F61A20">
          <w:footerReference w:type="default" r:id="rId10"/>
          <w:type w:val="continuous"/>
          <w:pgSz w:w="11894" w:h="16834" w:orient="portrait"/>
          <w:pgMar w:top="720" w:right="720" w:bottom="720" w:left="720" w:header="706" w:footer="706" w:gutter="0"/>
          <w:paperSrc w:first="1" w:other="1"/>
          <w:cols w:space="720"/>
          <w:headerReference w:type="default" r:id="R0678c28972b04b37"/>
        </w:sectPr>
      </w:pPr>
    </w:p>
    <w:p w:rsidR="0029197D" w:rsidP="0029197D" w:rsidRDefault="0029197D" w14:paraId="0F7A8E85" w14:textId="77777777">
      <w:pPr>
        <w:rPr>
          <w:rFonts w:ascii="Arial" w:hAnsi="Arial" w:cs="Arial"/>
          <w:vanish/>
        </w:rPr>
        <w:sectPr w:rsidR="0029197D" w:rsidSect="00C073F1">
          <w:pgSz w:w="16834" w:h="11894" w:orient="landscape"/>
          <w:pgMar w:top="720" w:right="720" w:bottom="720" w:left="720" w:header="706" w:footer="706" w:gutter="0"/>
          <w:paperSrc w:first="1" w:other="1"/>
          <w:cols w:space="720"/>
          <w:docGrid w:linePitch="272"/>
          <w:headerReference w:type="default" r:id="Re8c157e4af8e4fcc"/>
        </w:sectPr>
      </w:pPr>
    </w:p>
    <w:p w:rsidRPr="00A406E5" w:rsidR="0029197D" w:rsidP="799089E6" w:rsidRDefault="0029197D" w14:paraId="51549817" w14:textId="2078AB63">
      <w:pPr>
        <w:spacing w:after="160" w:line="360" w:lineRule="auto"/>
        <w:jc w:val="center"/>
        <w:rPr>
          <w:rFonts w:ascii="Times New Roman" w:hAnsi="Times New Roman" w:eastAsia="Times New Roman" w:cs="Times New Roman"/>
          <w:b w:val="0"/>
          <w:bCs w:val="0"/>
          <w:i w:val="0"/>
          <w:iCs w:val="0"/>
          <w:noProof w:val="0"/>
          <w:color w:val="000000" w:themeColor="text1" w:themeTint="FF" w:themeShade="FF"/>
          <w:sz w:val="28"/>
          <w:szCs w:val="28"/>
          <w:lang w:val="en-US"/>
        </w:rPr>
      </w:pPr>
      <w:r w:rsidRPr="799089E6" w:rsidR="06D44893">
        <w:rPr>
          <w:rFonts w:ascii="Times New Roman" w:hAnsi="Times New Roman" w:eastAsia="Times New Roman" w:cs="Times New Roman"/>
          <w:b w:val="0"/>
          <w:bCs w:val="0"/>
          <w:i w:val="0"/>
          <w:iCs w:val="0"/>
          <w:noProof w:val="0"/>
          <w:color w:val="000000" w:themeColor="text1" w:themeTint="FF" w:themeShade="FF"/>
          <w:sz w:val="28"/>
          <w:szCs w:val="28"/>
          <w:lang w:val="en-US"/>
        </w:rPr>
        <w:t>Manual Therapy Sucks?</w:t>
      </w:r>
    </w:p>
    <w:p w:rsidRPr="00A406E5" w:rsidR="0029197D" w:rsidP="799089E6" w:rsidRDefault="0029197D" w14:paraId="70A2188B" w14:textId="44541F85">
      <w:pPr>
        <w:spacing w:after="160" w:line="360" w:lineRule="auto"/>
        <w:jc w:val="left"/>
        <w:rPr>
          <w:rFonts w:ascii="Times New Roman" w:hAnsi="Times New Roman" w:eastAsia="Times New Roman" w:cs="Times New Roman"/>
          <w:b w:val="0"/>
          <w:bCs w:val="0"/>
          <w:i w:val="0"/>
          <w:iCs w:val="0"/>
          <w:noProof w:val="0"/>
          <w:color w:val="000000" w:themeColor="text1" w:themeTint="FF" w:themeShade="FF"/>
          <w:sz w:val="28"/>
          <w:szCs w:val="28"/>
          <w:u w:val="none"/>
          <w:lang w:val="en-US"/>
        </w:rPr>
      </w:pPr>
    </w:p>
    <w:p w:rsidRPr="00A406E5" w:rsidR="0029197D" w:rsidP="799089E6" w:rsidRDefault="0029197D" w14:paraId="257B819C" w14:textId="65209C17">
      <w:pPr>
        <w:spacing w:after="160" w:line="360" w:lineRule="auto"/>
        <w:jc w:val="left"/>
        <w:rPr>
          <w:rFonts w:ascii="Times New Roman" w:hAnsi="Times New Roman" w:eastAsia="Times New Roman" w:cs="Times New Roman"/>
          <w:b w:val="0"/>
          <w:bCs w:val="0"/>
          <w:i w:val="0"/>
          <w:iCs w:val="0"/>
          <w:noProof w:val="0"/>
          <w:color w:val="000000" w:themeColor="text1" w:themeTint="FF" w:themeShade="FF"/>
          <w:sz w:val="28"/>
          <w:szCs w:val="28"/>
          <w:u w:val="none"/>
          <w:lang w:val="en-US"/>
        </w:rPr>
      </w:pPr>
      <w:r w:rsidRPr="44C0871E" w:rsidR="2F24B3AD">
        <w:rPr>
          <w:rFonts w:ascii="Times New Roman" w:hAnsi="Times New Roman" w:eastAsia="Times New Roman" w:cs="Times New Roman"/>
          <w:b w:val="0"/>
          <w:bCs w:val="0"/>
          <w:i w:val="0"/>
          <w:iCs w:val="0"/>
          <w:noProof w:val="0"/>
          <w:color w:val="000000" w:themeColor="text1" w:themeTint="FF" w:themeShade="FF"/>
          <w:sz w:val="28"/>
          <w:szCs w:val="28"/>
          <w:u w:val="none"/>
          <w:lang w:val="en-US"/>
        </w:rPr>
        <w:t>Intro</w:t>
      </w:r>
      <w:r w:rsidRPr="44C0871E" w:rsidR="55731490">
        <w:rPr>
          <w:rFonts w:ascii="Times New Roman" w:hAnsi="Times New Roman" w:eastAsia="Times New Roman" w:cs="Times New Roman"/>
          <w:b w:val="0"/>
          <w:bCs w:val="0"/>
          <w:i w:val="0"/>
          <w:iCs w:val="0"/>
          <w:noProof w:val="0"/>
          <w:color w:val="000000" w:themeColor="text1" w:themeTint="FF" w:themeShade="FF"/>
          <w:sz w:val="28"/>
          <w:szCs w:val="28"/>
          <w:u w:val="none"/>
          <w:lang w:val="en-US"/>
        </w:rPr>
        <w:t xml:space="preserve">duction to Maitland </w:t>
      </w:r>
      <w:r w:rsidRPr="44C0871E" w:rsidR="34C58729">
        <w:rPr>
          <w:rFonts w:ascii="Times New Roman" w:hAnsi="Times New Roman" w:eastAsia="Times New Roman" w:cs="Times New Roman"/>
          <w:b w:val="0"/>
          <w:bCs w:val="0"/>
          <w:i w:val="0"/>
          <w:iCs w:val="0"/>
          <w:noProof w:val="0"/>
          <w:color w:val="000000" w:themeColor="text1" w:themeTint="FF" w:themeShade="FF"/>
          <w:sz w:val="28"/>
          <w:szCs w:val="28"/>
          <w:u w:val="none"/>
          <w:lang w:val="en-US"/>
        </w:rPr>
        <w:t>Mobilisation</w:t>
      </w:r>
    </w:p>
    <w:p w:rsidR="44C0871E" w:rsidP="44C0871E" w:rsidRDefault="44C0871E" w14:paraId="5175535A" w14:textId="58F705D5">
      <w:pPr>
        <w:pStyle w:val="Normal"/>
        <w:spacing w:after="160" w:line="36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p>
    <w:p w:rsidRPr="00A406E5" w:rsidR="0029197D" w:rsidP="44C0871E" w:rsidRDefault="0029197D" w14:paraId="0F3DAE45" w14:textId="687EDE81">
      <w:pPr>
        <w:pStyle w:val="Normal"/>
        <w:spacing w:after="160" w:line="36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Maitland </w:t>
      </w:r>
      <w:proofErr w:type="spellStart"/>
      <w:r w:rsidRPr="44C0871E" w:rsidR="07CEFF1C">
        <w:rPr>
          <w:rFonts w:ascii="Times New Roman" w:hAnsi="Times New Roman" w:eastAsia="Times New Roman" w:cs="Times New Roman"/>
          <w:b w:val="0"/>
          <w:bCs w:val="0"/>
          <w:i w:val="0"/>
          <w:iCs w:val="0"/>
          <w:noProof w:val="0"/>
          <w:color w:val="000000" w:themeColor="text1" w:themeTint="FF" w:themeShade="FF"/>
          <w:sz w:val="24"/>
          <w:szCs w:val="24"/>
          <w:lang w:val="en-US"/>
        </w:rPr>
        <w:t>mobilisation</w:t>
      </w:r>
      <w:proofErr w:type="spellEnd"/>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are theorized to reduce pain and increase range of movement (ROM) in a joint through neurological</w:t>
      </w:r>
      <w:r w:rsidRPr="44C0871E" w:rsidR="58EE60B6">
        <w:rPr>
          <w:rFonts w:ascii="Times New Roman" w:hAnsi="Times New Roman" w:eastAsia="Times New Roman" w:cs="Times New Roman"/>
          <w:b w:val="0"/>
          <w:bCs w:val="0"/>
          <w:i w:val="0"/>
          <w:iCs w:val="0"/>
          <w:noProof w:val="0"/>
          <w:color w:val="000000" w:themeColor="text1" w:themeTint="FF" w:themeShade="FF"/>
          <w:sz w:val="24"/>
          <w:szCs w:val="24"/>
          <w:lang w:val="en-US"/>
        </w:rPr>
        <w:t>,</w:t>
      </w:r>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physiological and nutritional effects (Hengeveld and Banks, 2014). </w:t>
      </w:r>
      <w:proofErr w:type="spellStart"/>
      <w:r w:rsidRPr="44C0871E" w:rsidR="0297275D">
        <w:rPr>
          <w:rFonts w:ascii="Times New Roman" w:hAnsi="Times New Roman" w:eastAsia="Times New Roman" w:cs="Times New Roman"/>
          <w:b w:val="0"/>
          <w:bCs w:val="0"/>
          <w:i w:val="0"/>
          <w:iCs w:val="0"/>
          <w:noProof w:val="0"/>
          <w:color w:val="000000" w:themeColor="text1" w:themeTint="FF" w:themeShade="FF"/>
          <w:sz w:val="24"/>
          <w:szCs w:val="24"/>
          <w:lang w:val="en-US"/>
        </w:rPr>
        <w:t>M</w:t>
      </w:r>
      <w:r w:rsidRPr="44C0871E" w:rsidR="61555054">
        <w:rPr>
          <w:rFonts w:ascii="Times New Roman" w:hAnsi="Times New Roman" w:eastAsia="Times New Roman" w:cs="Times New Roman"/>
          <w:b w:val="0"/>
          <w:bCs w:val="0"/>
          <w:i w:val="0"/>
          <w:iCs w:val="0"/>
          <w:noProof w:val="0"/>
          <w:color w:val="000000" w:themeColor="text1" w:themeTint="FF" w:themeShade="FF"/>
          <w:sz w:val="24"/>
          <w:szCs w:val="24"/>
          <w:lang w:val="en-US"/>
        </w:rPr>
        <w:t>obilisation</w:t>
      </w:r>
      <w:r w:rsidRPr="44C0871E" w:rsidR="1BBD9D51">
        <w:rPr>
          <w:rFonts w:ascii="Times New Roman" w:hAnsi="Times New Roman" w:eastAsia="Times New Roman" w:cs="Times New Roman"/>
          <w:b w:val="0"/>
          <w:bCs w:val="0"/>
          <w:i w:val="0"/>
          <w:iCs w:val="0"/>
          <w:noProof w:val="0"/>
          <w:color w:val="000000" w:themeColor="text1" w:themeTint="FF" w:themeShade="FF"/>
          <w:sz w:val="24"/>
          <w:szCs w:val="24"/>
          <w:lang w:val="en-US"/>
        </w:rPr>
        <w:t>s</w:t>
      </w:r>
      <w:proofErr w:type="spellEnd"/>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are based on the roll, spin and glide theory proposed by Maitland</w:t>
      </w:r>
      <w:r w:rsidRPr="44C0871E" w:rsidR="5C7A8630">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(Hengeveld and Banks, 2014)</w:t>
      </w:r>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and Neumann (</w:t>
      </w:r>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2017). This theory suggests that during a gross movement of a joint there are also smaller movements which occur within the joint to allow full ROM. </w:t>
      </w:r>
    </w:p>
    <w:p w:rsidRPr="00A406E5" w:rsidR="0029197D" w:rsidP="799089E6" w:rsidRDefault="0029197D" w14:paraId="39CBD487" w14:textId="5E253A00">
      <w:pPr>
        <w:spacing w:after="160" w:line="36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Table 1 Neumann’s definitions and analogy for the three accessory movements (2017)</w:t>
      </w:r>
    </w:p>
    <w:tbl>
      <w:tblPr>
        <w:tblStyle w:val="TableGrid"/>
        <w:tblW w:w="0" w:type="auto"/>
        <w:tblLayout w:type="fixed"/>
        <w:tblLook w:val="06A0" w:firstRow="1" w:lastRow="0" w:firstColumn="1" w:lastColumn="0" w:noHBand="1" w:noVBand="1"/>
      </w:tblPr>
      <w:tblGrid>
        <w:gridCol w:w="3105"/>
        <w:gridCol w:w="3105"/>
        <w:gridCol w:w="3105"/>
      </w:tblGrid>
      <w:tr w:rsidR="799089E6" w:rsidTr="44C0871E" w14:paraId="64E03306">
        <w:tc>
          <w:tcPr>
            <w:tcW w:w="9315" w:type="dxa"/>
            <w:gridSpan w:val="3"/>
            <w:tcMar/>
            <w:vAlign w:val="top"/>
          </w:tcPr>
          <w:p w:rsidR="799089E6" w:rsidP="799089E6" w:rsidRDefault="799089E6" w14:paraId="4F941BA0" w14:textId="7274C730">
            <w:pPr>
              <w:spacing w:line="360" w:lineRule="auto"/>
              <w:rPr>
                <w:rFonts w:ascii="Times New Roman" w:hAnsi="Times New Roman" w:eastAsia="Times New Roman" w:cs="Times New Roman"/>
                <w:b w:val="0"/>
                <w:bCs w:val="0"/>
                <w:i w:val="0"/>
                <w:iCs w:val="0"/>
                <w:sz w:val="24"/>
                <w:szCs w:val="24"/>
              </w:rPr>
            </w:pPr>
            <w:r w:rsidRPr="799089E6" w:rsidR="799089E6">
              <w:rPr>
                <w:rFonts w:ascii="Times New Roman" w:hAnsi="Times New Roman" w:eastAsia="Times New Roman" w:cs="Times New Roman"/>
                <w:b w:val="0"/>
                <w:bCs w:val="0"/>
                <w:i w:val="0"/>
                <w:iCs w:val="0"/>
                <w:sz w:val="24"/>
                <w:szCs w:val="24"/>
                <w:lang w:val="en-US"/>
              </w:rPr>
              <w:t>Table 1. Three Fundamental Arthrokinematics: Roll, Slide and Spin</w:t>
            </w:r>
          </w:p>
        </w:tc>
      </w:tr>
      <w:tr w:rsidR="799089E6" w:rsidTr="44C0871E" w14:paraId="0AC1AD60">
        <w:tc>
          <w:tcPr>
            <w:tcW w:w="3105" w:type="dxa"/>
            <w:tcMar/>
            <w:vAlign w:val="top"/>
          </w:tcPr>
          <w:p w:rsidR="799089E6" w:rsidP="799089E6" w:rsidRDefault="799089E6" w14:paraId="6F14D836" w14:textId="48798232">
            <w:pPr>
              <w:spacing w:line="360" w:lineRule="auto"/>
              <w:rPr>
                <w:rFonts w:ascii="Times New Roman" w:hAnsi="Times New Roman" w:eastAsia="Times New Roman" w:cs="Times New Roman"/>
                <w:b w:val="0"/>
                <w:bCs w:val="0"/>
                <w:i w:val="0"/>
                <w:iCs w:val="0"/>
                <w:sz w:val="24"/>
                <w:szCs w:val="24"/>
              </w:rPr>
            </w:pPr>
            <w:r w:rsidRPr="799089E6" w:rsidR="799089E6">
              <w:rPr>
                <w:rFonts w:ascii="Times New Roman" w:hAnsi="Times New Roman" w:eastAsia="Times New Roman" w:cs="Times New Roman"/>
                <w:b w:val="0"/>
                <w:bCs w:val="0"/>
                <w:i w:val="0"/>
                <w:iCs w:val="0"/>
                <w:sz w:val="24"/>
                <w:szCs w:val="24"/>
                <w:lang w:val="en-US"/>
              </w:rPr>
              <w:t>Movement</w:t>
            </w:r>
          </w:p>
        </w:tc>
        <w:tc>
          <w:tcPr>
            <w:tcW w:w="3105" w:type="dxa"/>
            <w:tcMar/>
            <w:vAlign w:val="top"/>
          </w:tcPr>
          <w:p w:rsidR="799089E6" w:rsidP="799089E6" w:rsidRDefault="799089E6" w14:paraId="7308F5B0" w14:textId="3C6F145E">
            <w:pPr>
              <w:spacing w:line="360" w:lineRule="auto"/>
              <w:rPr>
                <w:rFonts w:ascii="Times New Roman" w:hAnsi="Times New Roman" w:eastAsia="Times New Roman" w:cs="Times New Roman"/>
                <w:b w:val="0"/>
                <w:bCs w:val="0"/>
                <w:i w:val="0"/>
                <w:iCs w:val="0"/>
                <w:sz w:val="24"/>
                <w:szCs w:val="24"/>
              </w:rPr>
            </w:pPr>
            <w:r w:rsidRPr="799089E6" w:rsidR="799089E6">
              <w:rPr>
                <w:rFonts w:ascii="Times New Roman" w:hAnsi="Times New Roman" w:eastAsia="Times New Roman" w:cs="Times New Roman"/>
                <w:b w:val="0"/>
                <w:bCs w:val="0"/>
                <w:i w:val="0"/>
                <w:iCs w:val="0"/>
                <w:sz w:val="24"/>
                <w:szCs w:val="24"/>
                <w:lang w:val="en-US"/>
              </w:rPr>
              <w:t>Definition</w:t>
            </w:r>
          </w:p>
        </w:tc>
        <w:tc>
          <w:tcPr>
            <w:tcW w:w="3105" w:type="dxa"/>
            <w:tcMar/>
            <w:vAlign w:val="top"/>
          </w:tcPr>
          <w:p w:rsidR="799089E6" w:rsidP="799089E6" w:rsidRDefault="799089E6" w14:paraId="623F63FD" w14:textId="1F18C701">
            <w:pPr>
              <w:spacing w:line="360" w:lineRule="auto"/>
              <w:rPr>
                <w:rFonts w:ascii="Times New Roman" w:hAnsi="Times New Roman" w:eastAsia="Times New Roman" w:cs="Times New Roman"/>
                <w:b w:val="0"/>
                <w:bCs w:val="0"/>
                <w:i w:val="0"/>
                <w:iCs w:val="0"/>
                <w:sz w:val="24"/>
                <w:szCs w:val="24"/>
              </w:rPr>
            </w:pPr>
            <w:r w:rsidRPr="799089E6" w:rsidR="799089E6">
              <w:rPr>
                <w:rFonts w:ascii="Times New Roman" w:hAnsi="Times New Roman" w:eastAsia="Times New Roman" w:cs="Times New Roman"/>
                <w:b w:val="0"/>
                <w:bCs w:val="0"/>
                <w:i w:val="0"/>
                <w:iCs w:val="0"/>
                <w:sz w:val="24"/>
                <w:szCs w:val="24"/>
                <w:lang w:val="en-US"/>
              </w:rPr>
              <w:t>Analogy</w:t>
            </w:r>
          </w:p>
        </w:tc>
      </w:tr>
      <w:tr w:rsidR="799089E6" w:rsidTr="44C0871E" w14:paraId="3AAAFDA9">
        <w:tc>
          <w:tcPr>
            <w:tcW w:w="3105" w:type="dxa"/>
            <w:tcMar/>
            <w:vAlign w:val="top"/>
          </w:tcPr>
          <w:p w:rsidR="799089E6" w:rsidP="799089E6" w:rsidRDefault="799089E6" w14:paraId="133073CF" w14:textId="02DC137A">
            <w:pPr>
              <w:spacing w:line="360" w:lineRule="auto"/>
              <w:rPr>
                <w:rFonts w:ascii="Times New Roman" w:hAnsi="Times New Roman" w:eastAsia="Times New Roman" w:cs="Times New Roman"/>
                <w:b w:val="0"/>
                <w:bCs w:val="0"/>
                <w:i w:val="0"/>
                <w:iCs w:val="0"/>
                <w:sz w:val="24"/>
                <w:szCs w:val="24"/>
              </w:rPr>
            </w:pPr>
            <w:r w:rsidRPr="799089E6" w:rsidR="799089E6">
              <w:rPr>
                <w:rFonts w:ascii="Times New Roman" w:hAnsi="Times New Roman" w:eastAsia="Times New Roman" w:cs="Times New Roman"/>
                <w:b w:val="0"/>
                <w:bCs w:val="0"/>
                <w:i w:val="0"/>
                <w:iCs w:val="0"/>
                <w:sz w:val="24"/>
                <w:szCs w:val="24"/>
                <w:lang w:val="en-US"/>
              </w:rPr>
              <w:t>Roll</w:t>
            </w:r>
          </w:p>
        </w:tc>
        <w:tc>
          <w:tcPr>
            <w:tcW w:w="3105" w:type="dxa"/>
            <w:tcMar/>
            <w:vAlign w:val="top"/>
          </w:tcPr>
          <w:p w:rsidR="799089E6" w:rsidP="44C0871E" w:rsidRDefault="799089E6" w14:paraId="3B293164" w14:textId="125D15B4">
            <w:pPr>
              <w:spacing w:line="360" w:lineRule="auto"/>
              <w:rPr>
                <w:rFonts w:ascii="Times New Roman" w:hAnsi="Times New Roman" w:eastAsia="Times New Roman" w:cs="Times New Roman"/>
                <w:b w:val="0"/>
                <w:bCs w:val="0"/>
                <w:i w:val="0"/>
                <w:iCs w:val="0"/>
                <w:sz w:val="24"/>
                <w:szCs w:val="24"/>
              </w:rPr>
            </w:pPr>
            <w:r w:rsidRPr="44C0871E" w:rsidR="3EA45E91">
              <w:rPr>
                <w:rFonts w:ascii="Times New Roman" w:hAnsi="Times New Roman" w:eastAsia="Times New Roman" w:cs="Times New Roman"/>
                <w:b w:val="0"/>
                <w:bCs w:val="0"/>
                <w:i w:val="0"/>
                <w:iCs w:val="0"/>
                <w:sz w:val="24"/>
                <w:szCs w:val="24"/>
                <w:lang w:val="en-US"/>
              </w:rPr>
              <w:t>Multiple points along one rotating articular surface</w:t>
            </w:r>
            <w:r w:rsidRPr="44C0871E" w:rsidR="01AFDA1A">
              <w:rPr>
                <w:rFonts w:ascii="Times New Roman" w:hAnsi="Times New Roman" w:eastAsia="Times New Roman" w:cs="Times New Roman"/>
                <w:b w:val="0"/>
                <w:bCs w:val="0"/>
                <w:i w:val="0"/>
                <w:iCs w:val="0"/>
                <w:sz w:val="24"/>
                <w:szCs w:val="24"/>
                <w:lang w:val="en-US"/>
              </w:rPr>
              <w:t>,</w:t>
            </w:r>
            <w:r w:rsidRPr="44C0871E" w:rsidR="3EA45E91">
              <w:rPr>
                <w:rFonts w:ascii="Times New Roman" w:hAnsi="Times New Roman" w:eastAsia="Times New Roman" w:cs="Times New Roman"/>
                <w:b w:val="0"/>
                <w:bCs w:val="0"/>
                <w:i w:val="0"/>
                <w:iCs w:val="0"/>
                <w:sz w:val="24"/>
                <w:szCs w:val="24"/>
                <w:lang w:val="en-US"/>
              </w:rPr>
              <w:t xml:space="preserve"> contact multiple points on another articular surface.</w:t>
            </w:r>
          </w:p>
        </w:tc>
        <w:tc>
          <w:tcPr>
            <w:tcW w:w="3105" w:type="dxa"/>
            <w:tcMar/>
            <w:vAlign w:val="top"/>
          </w:tcPr>
          <w:p w:rsidR="799089E6" w:rsidP="799089E6" w:rsidRDefault="799089E6" w14:paraId="31F567EC" w14:textId="09C4C2CD">
            <w:pPr>
              <w:spacing w:line="360" w:lineRule="auto"/>
              <w:rPr>
                <w:rFonts w:ascii="Times New Roman" w:hAnsi="Times New Roman" w:eastAsia="Times New Roman" w:cs="Times New Roman"/>
                <w:b w:val="0"/>
                <w:bCs w:val="0"/>
                <w:i w:val="0"/>
                <w:iCs w:val="0"/>
                <w:sz w:val="24"/>
                <w:szCs w:val="24"/>
              </w:rPr>
            </w:pPr>
            <w:r w:rsidRPr="799089E6" w:rsidR="799089E6">
              <w:rPr>
                <w:rFonts w:ascii="Times New Roman" w:hAnsi="Times New Roman" w:eastAsia="Times New Roman" w:cs="Times New Roman"/>
                <w:b w:val="0"/>
                <w:bCs w:val="0"/>
                <w:i w:val="0"/>
                <w:iCs w:val="0"/>
                <w:sz w:val="24"/>
                <w:szCs w:val="24"/>
                <w:lang w:val="en-US"/>
              </w:rPr>
              <w:t>A tire rotating across a stretch of pavement.</w:t>
            </w:r>
          </w:p>
        </w:tc>
      </w:tr>
      <w:tr w:rsidR="799089E6" w:rsidTr="44C0871E" w14:paraId="31AD8604">
        <w:tc>
          <w:tcPr>
            <w:tcW w:w="3105" w:type="dxa"/>
            <w:tcMar/>
            <w:vAlign w:val="top"/>
          </w:tcPr>
          <w:p w:rsidR="799089E6" w:rsidP="799089E6" w:rsidRDefault="799089E6" w14:paraId="1360CEF1" w14:textId="72B582AC">
            <w:pPr>
              <w:spacing w:line="360" w:lineRule="auto"/>
              <w:rPr>
                <w:rFonts w:ascii="Times New Roman" w:hAnsi="Times New Roman" w:eastAsia="Times New Roman" w:cs="Times New Roman"/>
                <w:b w:val="0"/>
                <w:bCs w:val="0"/>
                <w:i w:val="0"/>
                <w:iCs w:val="0"/>
                <w:sz w:val="24"/>
                <w:szCs w:val="24"/>
              </w:rPr>
            </w:pPr>
            <w:r w:rsidRPr="799089E6" w:rsidR="799089E6">
              <w:rPr>
                <w:rFonts w:ascii="Times New Roman" w:hAnsi="Times New Roman" w:eastAsia="Times New Roman" w:cs="Times New Roman"/>
                <w:b w:val="0"/>
                <w:bCs w:val="0"/>
                <w:i w:val="0"/>
                <w:iCs w:val="0"/>
                <w:sz w:val="24"/>
                <w:szCs w:val="24"/>
                <w:lang w:val="en-US"/>
              </w:rPr>
              <w:t>Slide</w:t>
            </w:r>
          </w:p>
        </w:tc>
        <w:tc>
          <w:tcPr>
            <w:tcW w:w="3105" w:type="dxa"/>
            <w:tcMar/>
            <w:vAlign w:val="top"/>
          </w:tcPr>
          <w:p w:rsidR="799089E6" w:rsidP="44C0871E" w:rsidRDefault="799089E6" w14:paraId="766D0B3F" w14:textId="2802394F">
            <w:pPr>
              <w:spacing w:line="360" w:lineRule="auto"/>
              <w:rPr>
                <w:rFonts w:ascii="Times New Roman" w:hAnsi="Times New Roman" w:eastAsia="Times New Roman" w:cs="Times New Roman"/>
                <w:b w:val="0"/>
                <w:bCs w:val="0"/>
                <w:i w:val="0"/>
                <w:iCs w:val="0"/>
                <w:sz w:val="24"/>
                <w:szCs w:val="24"/>
              </w:rPr>
            </w:pPr>
            <w:r w:rsidRPr="44C0871E" w:rsidR="3EA45E91">
              <w:rPr>
                <w:rFonts w:ascii="Times New Roman" w:hAnsi="Times New Roman" w:eastAsia="Times New Roman" w:cs="Times New Roman"/>
                <w:b w:val="0"/>
                <w:bCs w:val="0"/>
                <w:i w:val="0"/>
                <w:iCs w:val="0"/>
                <w:sz w:val="24"/>
                <w:szCs w:val="24"/>
                <w:lang w:val="en-US"/>
              </w:rPr>
              <w:t xml:space="preserve">A single point on one </w:t>
            </w:r>
            <w:proofErr w:type="gramStart"/>
            <w:r w:rsidRPr="44C0871E" w:rsidR="3EA45E91">
              <w:rPr>
                <w:rFonts w:ascii="Times New Roman" w:hAnsi="Times New Roman" w:eastAsia="Times New Roman" w:cs="Times New Roman"/>
                <w:b w:val="0"/>
                <w:bCs w:val="0"/>
                <w:i w:val="0"/>
                <w:iCs w:val="0"/>
                <w:sz w:val="24"/>
                <w:szCs w:val="24"/>
                <w:lang w:val="en-US"/>
              </w:rPr>
              <w:t>articular</w:t>
            </w:r>
            <w:proofErr w:type="gramEnd"/>
            <w:r w:rsidRPr="44C0871E" w:rsidR="3EA45E91">
              <w:rPr>
                <w:rFonts w:ascii="Times New Roman" w:hAnsi="Times New Roman" w:eastAsia="Times New Roman" w:cs="Times New Roman"/>
                <w:b w:val="0"/>
                <w:bCs w:val="0"/>
                <w:i w:val="0"/>
                <w:iCs w:val="0"/>
                <w:sz w:val="24"/>
                <w:szCs w:val="24"/>
                <w:lang w:val="en-US"/>
              </w:rPr>
              <w:t xml:space="preserve"> surface</w:t>
            </w:r>
            <w:r w:rsidRPr="44C0871E" w:rsidR="0BDD02D8">
              <w:rPr>
                <w:rFonts w:ascii="Times New Roman" w:hAnsi="Times New Roman" w:eastAsia="Times New Roman" w:cs="Times New Roman"/>
                <w:b w:val="0"/>
                <w:bCs w:val="0"/>
                <w:i w:val="0"/>
                <w:iCs w:val="0"/>
                <w:sz w:val="24"/>
                <w:szCs w:val="24"/>
                <w:lang w:val="en-US"/>
              </w:rPr>
              <w:t>,</w:t>
            </w:r>
            <w:r w:rsidRPr="44C0871E" w:rsidR="3EA45E91">
              <w:rPr>
                <w:rFonts w:ascii="Times New Roman" w:hAnsi="Times New Roman" w:eastAsia="Times New Roman" w:cs="Times New Roman"/>
                <w:b w:val="0"/>
                <w:bCs w:val="0"/>
                <w:i w:val="0"/>
                <w:iCs w:val="0"/>
                <w:sz w:val="24"/>
                <w:szCs w:val="24"/>
                <w:lang w:val="en-US"/>
              </w:rPr>
              <w:t xml:space="preserve"> contacts multiple points on another articular surface.</w:t>
            </w:r>
          </w:p>
        </w:tc>
        <w:tc>
          <w:tcPr>
            <w:tcW w:w="3105" w:type="dxa"/>
            <w:tcMar/>
            <w:vAlign w:val="top"/>
          </w:tcPr>
          <w:p w:rsidR="799089E6" w:rsidP="799089E6" w:rsidRDefault="799089E6" w14:paraId="1FF57C9F" w14:textId="1637AE85">
            <w:pPr>
              <w:spacing w:line="360" w:lineRule="auto"/>
              <w:rPr>
                <w:rFonts w:ascii="Times New Roman" w:hAnsi="Times New Roman" w:eastAsia="Times New Roman" w:cs="Times New Roman"/>
                <w:b w:val="0"/>
                <w:bCs w:val="0"/>
                <w:i w:val="0"/>
                <w:iCs w:val="0"/>
                <w:sz w:val="24"/>
                <w:szCs w:val="24"/>
              </w:rPr>
            </w:pPr>
            <w:r w:rsidRPr="799089E6" w:rsidR="799089E6">
              <w:rPr>
                <w:rFonts w:ascii="Times New Roman" w:hAnsi="Times New Roman" w:eastAsia="Times New Roman" w:cs="Times New Roman"/>
                <w:b w:val="0"/>
                <w:bCs w:val="0"/>
                <w:i w:val="0"/>
                <w:iCs w:val="0"/>
                <w:sz w:val="24"/>
                <w:szCs w:val="24"/>
                <w:lang w:val="en-US"/>
              </w:rPr>
              <w:t>A non-rotating tire skidding across a stretch of icy pavement.</w:t>
            </w:r>
            <w:r>
              <w:br/>
            </w:r>
          </w:p>
        </w:tc>
      </w:tr>
      <w:tr w:rsidR="799089E6" w:rsidTr="44C0871E" w14:paraId="4604BD9A">
        <w:tc>
          <w:tcPr>
            <w:tcW w:w="3105" w:type="dxa"/>
            <w:tcMar/>
            <w:vAlign w:val="top"/>
          </w:tcPr>
          <w:p w:rsidR="799089E6" w:rsidP="799089E6" w:rsidRDefault="799089E6" w14:paraId="5C46573E" w14:textId="1DF28135">
            <w:pPr>
              <w:spacing w:line="360" w:lineRule="auto"/>
              <w:rPr>
                <w:rFonts w:ascii="Times New Roman" w:hAnsi="Times New Roman" w:eastAsia="Times New Roman" w:cs="Times New Roman"/>
                <w:b w:val="0"/>
                <w:bCs w:val="0"/>
                <w:i w:val="0"/>
                <w:iCs w:val="0"/>
                <w:sz w:val="24"/>
                <w:szCs w:val="24"/>
              </w:rPr>
            </w:pPr>
            <w:r w:rsidRPr="799089E6" w:rsidR="799089E6">
              <w:rPr>
                <w:rFonts w:ascii="Times New Roman" w:hAnsi="Times New Roman" w:eastAsia="Times New Roman" w:cs="Times New Roman"/>
                <w:b w:val="0"/>
                <w:bCs w:val="0"/>
                <w:i w:val="0"/>
                <w:iCs w:val="0"/>
                <w:sz w:val="24"/>
                <w:szCs w:val="24"/>
                <w:lang w:val="en-US"/>
              </w:rPr>
              <w:t>Spin</w:t>
            </w:r>
          </w:p>
        </w:tc>
        <w:tc>
          <w:tcPr>
            <w:tcW w:w="3105" w:type="dxa"/>
            <w:tcMar/>
            <w:vAlign w:val="top"/>
          </w:tcPr>
          <w:p w:rsidR="799089E6" w:rsidP="799089E6" w:rsidRDefault="799089E6" w14:paraId="7B16C596" w14:textId="31D4CA35">
            <w:pPr>
              <w:spacing w:line="360" w:lineRule="auto"/>
              <w:rPr>
                <w:rFonts w:ascii="Times New Roman" w:hAnsi="Times New Roman" w:eastAsia="Times New Roman" w:cs="Times New Roman"/>
                <w:b w:val="0"/>
                <w:bCs w:val="0"/>
                <w:i w:val="0"/>
                <w:iCs w:val="0"/>
                <w:sz w:val="24"/>
                <w:szCs w:val="24"/>
              </w:rPr>
            </w:pPr>
            <w:r w:rsidRPr="799089E6" w:rsidR="799089E6">
              <w:rPr>
                <w:rFonts w:ascii="Times New Roman" w:hAnsi="Times New Roman" w:eastAsia="Times New Roman" w:cs="Times New Roman"/>
                <w:b w:val="0"/>
                <w:bCs w:val="0"/>
                <w:i w:val="0"/>
                <w:iCs w:val="0"/>
                <w:sz w:val="24"/>
                <w:szCs w:val="24"/>
                <w:lang w:val="en-US"/>
              </w:rPr>
              <w:t xml:space="preserve">A single point on one </w:t>
            </w:r>
            <w:proofErr w:type="gramStart"/>
            <w:r w:rsidRPr="799089E6" w:rsidR="799089E6">
              <w:rPr>
                <w:rFonts w:ascii="Times New Roman" w:hAnsi="Times New Roman" w:eastAsia="Times New Roman" w:cs="Times New Roman"/>
                <w:b w:val="0"/>
                <w:bCs w:val="0"/>
                <w:i w:val="0"/>
                <w:iCs w:val="0"/>
                <w:sz w:val="24"/>
                <w:szCs w:val="24"/>
                <w:lang w:val="en-US"/>
              </w:rPr>
              <w:t>articular</w:t>
            </w:r>
            <w:proofErr w:type="gramEnd"/>
            <w:r w:rsidRPr="799089E6" w:rsidR="799089E6">
              <w:rPr>
                <w:rFonts w:ascii="Times New Roman" w:hAnsi="Times New Roman" w:eastAsia="Times New Roman" w:cs="Times New Roman"/>
                <w:b w:val="0"/>
                <w:bCs w:val="0"/>
                <w:i w:val="0"/>
                <w:iCs w:val="0"/>
                <w:sz w:val="24"/>
                <w:szCs w:val="24"/>
                <w:lang w:val="en-US"/>
              </w:rPr>
              <w:t xml:space="preserve"> surface rotates on a single point on another articular surface.</w:t>
            </w:r>
          </w:p>
        </w:tc>
        <w:tc>
          <w:tcPr>
            <w:tcW w:w="3105" w:type="dxa"/>
            <w:tcMar/>
            <w:vAlign w:val="top"/>
          </w:tcPr>
          <w:p w:rsidR="799089E6" w:rsidP="799089E6" w:rsidRDefault="799089E6" w14:paraId="36293F88" w14:textId="7832DF06">
            <w:pPr>
              <w:spacing w:line="360" w:lineRule="auto"/>
              <w:rPr>
                <w:rFonts w:ascii="Times New Roman" w:hAnsi="Times New Roman" w:eastAsia="Times New Roman" w:cs="Times New Roman"/>
                <w:b w:val="0"/>
                <w:bCs w:val="0"/>
                <w:i w:val="0"/>
                <w:iCs w:val="0"/>
                <w:sz w:val="24"/>
                <w:szCs w:val="24"/>
              </w:rPr>
            </w:pPr>
            <w:r w:rsidRPr="799089E6" w:rsidR="799089E6">
              <w:rPr>
                <w:rFonts w:ascii="Times New Roman" w:hAnsi="Times New Roman" w:eastAsia="Times New Roman" w:cs="Times New Roman"/>
                <w:b w:val="0"/>
                <w:bCs w:val="0"/>
                <w:i w:val="0"/>
                <w:iCs w:val="0"/>
                <w:sz w:val="24"/>
                <w:szCs w:val="24"/>
                <w:lang w:val="en-US"/>
              </w:rPr>
              <w:t xml:space="preserve">A toy top rotating on one spot on the floor. </w:t>
            </w:r>
          </w:p>
        </w:tc>
      </w:tr>
    </w:tbl>
    <w:p w:rsidRPr="00A406E5" w:rsidR="0029197D" w:rsidP="799089E6" w:rsidRDefault="0029197D" w14:paraId="0E416B6C" w14:textId="4D658358">
      <w:pPr>
        <w:spacing w:after="160" w:line="36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Pr="00A406E5" w:rsidR="0029197D" w:rsidP="44C0871E" w:rsidRDefault="0029197D" w14:paraId="55DB4AEE" w14:textId="3F97AC37">
      <w:pPr>
        <w:spacing w:after="160" w:line="36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The roll, spin and glide theory also </w:t>
      </w:r>
      <w:r w:rsidRPr="44C0871E" w:rsidR="18035B70">
        <w:rPr>
          <w:rFonts w:ascii="Times New Roman" w:hAnsi="Times New Roman" w:eastAsia="Times New Roman" w:cs="Times New Roman"/>
          <w:b w:val="0"/>
          <w:bCs w:val="0"/>
          <w:i w:val="0"/>
          <w:iCs w:val="0"/>
          <w:noProof w:val="0"/>
          <w:color w:val="000000" w:themeColor="text1" w:themeTint="FF" w:themeShade="FF"/>
          <w:sz w:val="24"/>
          <w:szCs w:val="24"/>
          <w:lang w:val="en-US"/>
        </w:rPr>
        <w:t>work</w:t>
      </w:r>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alongside the ‘convex-concave rule’ proposed by </w:t>
      </w:r>
      <w:proofErr w:type="spellStart"/>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Schohmacher</w:t>
      </w:r>
      <w:proofErr w:type="spellEnd"/>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(2009). This rule suggests that in every joint there is a convex and concave surface to the two bones (Hengeveld and Banks, 2014). An example of the convex-concave rule is the medial epicondyle of the humerus (convex) and olecranon (concave) (Mangus </w:t>
      </w:r>
      <w:r w:rsidRPr="44C0871E" w:rsidR="2F24B3AD">
        <w:rPr>
          <w:rFonts w:ascii="Times New Roman" w:hAnsi="Times New Roman" w:eastAsia="Times New Roman" w:cs="Times New Roman"/>
          <w:b w:val="0"/>
          <w:bCs w:val="0"/>
          <w:i w:val="1"/>
          <w:iCs w:val="1"/>
          <w:noProof w:val="0"/>
          <w:color w:val="000000" w:themeColor="text1" w:themeTint="FF" w:themeShade="FF"/>
          <w:sz w:val="24"/>
          <w:szCs w:val="24"/>
          <w:lang w:val="en-US"/>
        </w:rPr>
        <w:t>et al</w:t>
      </w:r>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2002). The rule also suggests that when the concave bone moves</w:t>
      </w:r>
      <w:r w:rsidRPr="44C0871E" w:rsidR="25A5BF75">
        <w:rPr>
          <w:rFonts w:ascii="Times New Roman" w:hAnsi="Times New Roman" w:eastAsia="Times New Roman" w:cs="Times New Roman"/>
          <w:b w:val="0"/>
          <w:bCs w:val="0"/>
          <w:i w:val="0"/>
          <w:iCs w:val="0"/>
          <w:noProof w:val="0"/>
          <w:color w:val="000000" w:themeColor="text1" w:themeTint="FF" w:themeShade="FF"/>
          <w:sz w:val="24"/>
          <w:szCs w:val="24"/>
          <w:lang w:val="en-US"/>
        </w:rPr>
        <w:t>,</w:t>
      </w:r>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the joint surface also moves in the same direction, however, when the convex bone moves the joint surface will move in the opposite direction (Hengeveld and Banks, 2014). This movement of the joint surfaces also reinforces the Neumann's theory of roll, spin and glide as these movements must occur to allow the </w:t>
      </w:r>
      <w:r w:rsidRPr="44C0871E" w:rsidR="589A62C9">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gross </w:t>
      </w:r>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movement (Neumann</w:t>
      </w:r>
      <w:r w:rsidRPr="44C0871E" w:rsidR="635E5130">
        <w:rPr>
          <w:rFonts w:ascii="Times New Roman" w:hAnsi="Times New Roman" w:eastAsia="Times New Roman" w:cs="Times New Roman"/>
          <w:b w:val="0"/>
          <w:bCs w:val="0"/>
          <w:i w:val="0"/>
          <w:iCs w:val="0"/>
          <w:noProof w:val="0"/>
          <w:color w:val="000000" w:themeColor="text1" w:themeTint="FF" w:themeShade="FF"/>
          <w:sz w:val="24"/>
          <w:szCs w:val="24"/>
          <w:lang w:val="en-US"/>
        </w:rPr>
        <w:t>,</w:t>
      </w:r>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2017). Maitland’s theory is that there are four grades of </w:t>
      </w:r>
      <w:proofErr w:type="spellStart"/>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mobilisation</w:t>
      </w:r>
      <w:proofErr w:type="spellEnd"/>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which can be used to treat a patient's pain and ROM as can be seen in table 2 (Hengeveld and Banks, 2014).</w:t>
      </w:r>
    </w:p>
    <w:p w:rsidRPr="00A406E5" w:rsidR="0029197D" w:rsidP="799089E6" w:rsidRDefault="0029197D" w14:paraId="715349FE" w14:textId="3D0FAD9E">
      <w:pPr>
        <w:spacing w:after="160" w:line="36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Table 2 Maitland’s proposed grades and application of grades (Hengeveld and Banks, 2014).</w:t>
      </w:r>
    </w:p>
    <w:tbl>
      <w:tblPr>
        <w:tblStyle w:val="TableGrid"/>
        <w:tblW w:w="0" w:type="auto"/>
        <w:tblLayout w:type="fixed"/>
        <w:tblLook w:val="06A0" w:firstRow="1" w:lastRow="0" w:firstColumn="1" w:lastColumn="0" w:noHBand="1" w:noVBand="1"/>
      </w:tblPr>
      <w:tblGrid>
        <w:gridCol w:w="1860"/>
        <w:gridCol w:w="1860"/>
        <w:gridCol w:w="1860"/>
        <w:gridCol w:w="1860"/>
        <w:gridCol w:w="1860"/>
      </w:tblGrid>
      <w:tr w:rsidR="799089E6" w:rsidTr="799089E6" w14:paraId="599CF3E0">
        <w:tc>
          <w:tcPr>
            <w:tcW w:w="1860" w:type="dxa"/>
            <w:tcMar/>
            <w:vAlign w:val="top"/>
          </w:tcPr>
          <w:p w:rsidR="799089E6" w:rsidP="799089E6" w:rsidRDefault="799089E6" w14:paraId="6DFBAF45" w14:textId="68D7257E">
            <w:pPr>
              <w:spacing w:line="360" w:lineRule="auto"/>
              <w:rPr>
                <w:rFonts w:ascii="Times New Roman" w:hAnsi="Times New Roman" w:eastAsia="Times New Roman" w:cs="Times New Roman"/>
                <w:b w:val="0"/>
                <w:bCs w:val="0"/>
                <w:i w:val="0"/>
                <w:iCs w:val="0"/>
                <w:sz w:val="24"/>
                <w:szCs w:val="24"/>
              </w:rPr>
            </w:pPr>
          </w:p>
        </w:tc>
        <w:tc>
          <w:tcPr>
            <w:tcW w:w="1860" w:type="dxa"/>
            <w:tcMar/>
            <w:vAlign w:val="top"/>
          </w:tcPr>
          <w:p w:rsidR="799089E6" w:rsidP="799089E6" w:rsidRDefault="799089E6" w14:paraId="1273322B" w14:textId="13FB4F88">
            <w:pPr>
              <w:spacing w:line="360" w:lineRule="auto"/>
              <w:rPr>
                <w:rFonts w:ascii="Times New Roman" w:hAnsi="Times New Roman" w:eastAsia="Times New Roman" w:cs="Times New Roman"/>
                <w:b w:val="0"/>
                <w:bCs w:val="0"/>
                <w:i w:val="0"/>
                <w:iCs w:val="0"/>
                <w:sz w:val="24"/>
                <w:szCs w:val="24"/>
              </w:rPr>
            </w:pPr>
            <w:r w:rsidRPr="799089E6" w:rsidR="799089E6">
              <w:rPr>
                <w:rFonts w:ascii="Times New Roman" w:hAnsi="Times New Roman" w:eastAsia="Times New Roman" w:cs="Times New Roman"/>
                <w:b w:val="0"/>
                <w:bCs w:val="0"/>
                <w:i w:val="0"/>
                <w:iCs w:val="0"/>
                <w:sz w:val="24"/>
                <w:szCs w:val="24"/>
                <w:lang w:val="en-US"/>
              </w:rPr>
              <w:t>Grade I</w:t>
            </w:r>
          </w:p>
        </w:tc>
        <w:tc>
          <w:tcPr>
            <w:tcW w:w="1860" w:type="dxa"/>
            <w:tcMar/>
            <w:vAlign w:val="top"/>
          </w:tcPr>
          <w:p w:rsidR="799089E6" w:rsidP="799089E6" w:rsidRDefault="799089E6" w14:paraId="313A2F65" w14:textId="5A0E0BE8">
            <w:pPr>
              <w:spacing w:line="360" w:lineRule="auto"/>
              <w:rPr>
                <w:rFonts w:ascii="Times New Roman" w:hAnsi="Times New Roman" w:eastAsia="Times New Roman" w:cs="Times New Roman"/>
                <w:b w:val="0"/>
                <w:bCs w:val="0"/>
                <w:i w:val="0"/>
                <w:iCs w:val="0"/>
                <w:sz w:val="24"/>
                <w:szCs w:val="24"/>
              </w:rPr>
            </w:pPr>
            <w:r w:rsidRPr="799089E6" w:rsidR="799089E6">
              <w:rPr>
                <w:rFonts w:ascii="Times New Roman" w:hAnsi="Times New Roman" w:eastAsia="Times New Roman" w:cs="Times New Roman"/>
                <w:b w:val="0"/>
                <w:bCs w:val="0"/>
                <w:i w:val="0"/>
                <w:iCs w:val="0"/>
                <w:sz w:val="24"/>
                <w:szCs w:val="24"/>
                <w:lang w:val="en-US"/>
              </w:rPr>
              <w:t>Grade II</w:t>
            </w:r>
          </w:p>
        </w:tc>
        <w:tc>
          <w:tcPr>
            <w:tcW w:w="1860" w:type="dxa"/>
            <w:tcMar/>
            <w:vAlign w:val="top"/>
          </w:tcPr>
          <w:p w:rsidR="799089E6" w:rsidP="799089E6" w:rsidRDefault="799089E6" w14:paraId="73B69DAE" w14:textId="59896335">
            <w:pPr>
              <w:spacing w:line="360" w:lineRule="auto"/>
              <w:rPr>
                <w:rFonts w:ascii="Times New Roman" w:hAnsi="Times New Roman" w:eastAsia="Times New Roman" w:cs="Times New Roman"/>
                <w:b w:val="0"/>
                <w:bCs w:val="0"/>
                <w:i w:val="0"/>
                <w:iCs w:val="0"/>
                <w:sz w:val="24"/>
                <w:szCs w:val="24"/>
              </w:rPr>
            </w:pPr>
            <w:r w:rsidRPr="799089E6" w:rsidR="799089E6">
              <w:rPr>
                <w:rFonts w:ascii="Times New Roman" w:hAnsi="Times New Roman" w:eastAsia="Times New Roman" w:cs="Times New Roman"/>
                <w:b w:val="0"/>
                <w:bCs w:val="0"/>
                <w:i w:val="0"/>
                <w:iCs w:val="0"/>
                <w:sz w:val="24"/>
                <w:szCs w:val="24"/>
                <w:lang w:val="en-US"/>
              </w:rPr>
              <w:t>Grade III</w:t>
            </w:r>
          </w:p>
        </w:tc>
        <w:tc>
          <w:tcPr>
            <w:tcW w:w="1860" w:type="dxa"/>
            <w:tcMar/>
            <w:vAlign w:val="top"/>
          </w:tcPr>
          <w:p w:rsidR="799089E6" w:rsidP="799089E6" w:rsidRDefault="799089E6" w14:paraId="43E637B5" w14:textId="617A67D8">
            <w:pPr>
              <w:spacing w:line="360" w:lineRule="auto"/>
              <w:rPr>
                <w:rFonts w:ascii="Times New Roman" w:hAnsi="Times New Roman" w:eastAsia="Times New Roman" w:cs="Times New Roman"/>
                <w:b w:val="0"/>
                <w:bCs w:val="0"/>
                <w:i w:val="0"/>
                <w:iCs w:val="0"/>
                <w:sz w:val="24"/>
                <w:szCs w:val="24"/>
              </w:rPr>
            </w:pPr>
            <w:r w:rsidRPr="799089E6" w:rsidR="799089E6">
              <w:rPr>
                <w:rFonts w:ascii="Times New Roman" w:hAnsi="Times New Roman" w:eastAsia="Times New Roman" w:cs="Times New Roman"/>
                <w:b w:val="0"/>
                <w:bCs w:val="0"/>
                <w:i w:val="0"/>
                <w:iCs w:val="0"/>
                <w:sz w:val="24"/>
                <w:szCs w:val="24"/>
                <w:lang w:val="en-US"/>
              </w:rPr>
              <w:t>Grade IV</w:t>
            </w:r>
          </w:p>
        </w:tc>
      </w:tr>
      <w:tr w:rsidR="799089E6" w:rsidTr="799089E6" w14:paraId="5D10E773">
        <w:tc>
          <w:tcPr>
            <w:tcW w:w="1860" w:type="dxa"/>
            <w:tcMar/>
            <w:vAlign w:val="top"/>
          </w:tcPr>
          <w:p w:rsidR="799089E6" w:rsidP="799089E6" w:rsidRDefault="799089E6" w14:paraId="76AFCCF5" w14:textId="3BB5C21B">
            <w:pPr>
              <w:spacing w:line="360" w:lineRule="auto"/>
              <w:rPr>
                <w:rFonts w:ascii="Times New Roman" w:hAnsi="Times New Roman" w:eastAsia="Times New Roman" w:cs="Times New Roman"/>
                <w:b w:val="0"/>
                <w:bCs w:val="0"/>
                <w:i w:val="0"/>
                <w:iCs w:val="0"/>
                <w:sz w:val="24"/>
                <w:szCs w:val="24"/>
              </w:rPr>
            </w:pPr>
            <w:r w:rsidRPr="799089E6" w:rsidR="799089E6">
              <w:rPr>
                <w:rFonts w:ascii="Times New Roman" w:hAnsi="Times New Roman" w:eastAsia="Times New Roman" w:cs="Times New Roman"/>
                <w:b w:val="0"/>
                <w:bCs w:val="0"/>
                <w:i w:val="0"/>
                <w:iCs w:val="0"/>
                <w:sz w:val="24"/>
                <w:szCs w:val="24"/>
                <w:lang w:val="en-US"/>
              </w:rPr>
              <w:t>Grade Range</w:t>
            </w:r>
          </w:p>
        </w:tc>
        <w:tc>
          <w:tcPr>
            <w:tcW w:w="1860" w:type="dxa"/>
            <w:tcMar/>
            <w:vAlign w:val="top"/>
          </w:tcPr>
          <w:p w:rsidR="799089E6" w:rsidP="799089E6" w:rsidRDefault="799089E6" w14:paraId="7AE6D436" w14:textId="445B8F67">
            <w:pPr>
              <w:spacing w:line="360" w:lineRule="auto"/>
              <w:rPr>
                <w:rFonts w:ascii="Times New Roman" w:hAnsi="Times New Roman" w:eastAsia="Times New Roman" w:cs="Times New Roman"/>
                <w:b w:val="0"/>
                <w:bCs w:val="0"/>
                <w:i w:val="0"/>
                <w:iCs w:val="0"/>
                <w:sz w:val="24"/>
                <w:szCs w:val="24"/>
              </w:rPr>
            </w:pPr>
            <w:r w:rsidRPr="799089E6" w:rsidR="799089E6">
              <w:rPr>
                <w:rFonts w:ascii="Times New Roman" w:hAnsi="Times New Roman" w:eastAsia="Times New Roman" w:cs="Times New Roman"/>
                <w:b w:val="0"/>
                <w:bCs w:val="0"/>
                <w:i w:val="0"/>
                <w:iCs w:val="0"/>
                <w:sz w:val="24"/>
                <w:szCs w:val="24"/>
                <w:lang w:val="en-US"/>
              </w:rPr>
              <w:t>Beginning of range</w:t>
            </w:r>
          </w:p>
        </w:tc>
        <w:tc>
          <w:tcPr>
            <w:tcW w:w="1860" w:type="dxa"/>
            <w:tcMar/>
            <w:vAlign w:val="top"/>
          </w:tcPr>
          <w:p w:rsidR="799089E6" w:rsidP="799089E6" w:rsidRDefault="799089E6" w14:paraId="7C072634" w14:textId="57E9F280">
            <w:pPr>
              <w:spacing w:line="360" w:lineRule="auto"/>
              <w:rPr>
                <w:rFonts w:ascii="Times New Roman" w:hAnsi="Times New Roman" w:eastAsia="Times New Roman" w:cs="Times New Roman"/>
                <w:b w:val="0"/>
                <w:bCs w:val="0"/>
                <w:i w:val="0"/>
                <w:iCs w:val="0"/>
                <w:sz w:val="24"/>
                <w:szCs w:val="24"/>
              </w:rPr>
            </w:pPr>
            <w:r w:rsidRPr="799089E6" w:rsidR="799089E6">
              <w:rPr>
                <w:rFonts w:ascii="Times New Roman" w:hAnsi="Times New Roman" w:eastAsia="Times New Roman" w:cs="Times New Roman"/>
                <w:b w:val="0"/>
                <w:bCs w:val="0"/>
                <w:i w:val="0"/>
                <w:iCs w:val="0"/>
                <w:sz w:val="24"/>
                <w:szCs w:val="24"/>
                <w:lang w:val="en-US"/>
              </w:rPr>
              <w:t xml:space="preserve">Within available range </w:t>
            </w:r>
          </w:p>
        </w:tc>
        <w:tc>
          <w:tcPr>
            <w:tcW w:w="1860" w:type="dxa"/>
            <w:tcMar/>
            <w:vAlign w:val="top"/>
          </w:tcPr>
          <w:p w:rsidR="799089E6" w:rsidP="799089E6" w:rsidRDefault="799089E6" w14:paraId="6E708113" w14:textId="70EA6C55">
            <w:pPr>
              <w:spacing w:line="360" w:lineRule="auto"/>
              <w:rPr>
                <w:rFonts w:ascii="Times New Roman" w:hAnsi="Times New Roman" w:eastAsia="Times New Roman" w:cs="Times New Roman"/>
                <w:b w:val="0"/>
                <w:bCs w:val="0"/>
                <w:i w:val="0"/>
                <w:iCs w:val="0"/>
                <w:sz w:val="24"/>
                <w:szCs w:val="24"/>
              </w:rPr>
            </w:pPr>
            <w:r w:rsidRPr="799089E6" w:rsidR="799089E6">
              <w:rPr>
                <w:rFonts w:ascii="Times New Roman" w:hAnsi="Times New Roman" w:eastAsia="Times New Roman" w:cs="Times New Roman"/>
                <w:b w:val="0"/>
                <w:bCs w:val="0"/>
                <w:i w:val="0"/>
                <w:iCs w:val="0"/>
                <w:sz w:val="24"/>
                <w:szCs w:val="24"/>
                <w:lang w:val="en-US"/>
              </w:rPr>
              <w:t>Available range- point of firm resistance</w:t>
            </w:r>
          </w:p>
        </w:tc>
        <w:tc>
          <w:tcPr>
            <w:tcW w:w="1860" w:type="dxa"/>
            <w:tcMar/>
            <w:vAlign w:val="top"/>
          </w:tcPr>
          <w:p w:rsidR="799089E6" w:rsidP="799089E6" w:rsidRDefault="799089E6" w14:paraId="072D9601" w14:textId="3F24A2DB">
            <w:pPr>
              <w:spacing w:line="360" w:lineRule="auto"/>
              <w:rPr>
                <w:rFonts w:ascii="Times New Roman" w:hAnsi="Times New Roman" w:eastAsia="Times New Roman" w:cs="Times New Roman"/>
                <w:b w:val="0"/>
                <w:bCs w:val="0"/>
                <w:i w:val="0"/>
                <w:iCs w:val="0"/>
                <w:sz w:val="24"/>
                <w:szCs w:val="24"/>
              </w:rPr>
            </w:pPr>
            <w:r w:rsidRPr="799089E6" w:rsidR="799089E6">
              <w:rPr>
                <w:rFonts w:ascii="Times New Roman" w:hAnsi="Times New Roman" w:eastAsia="Times New Roman" w:cs="Times New Roman"/>
                <w:b w:val="0"/>
                <w:bCs w:val="0"/>
                <w:i w:val="0"/>
                <w:iCs w:val="0"/>
                <w:sz w:val="24"/>
                <w:szCs w:val="24"/>
                <w:lang w:val="en-US"/>
              </w:rPr>
              <w:t>Firm resistance-limit of the available range</w:t>
            </w:r>
            <w:r>
              <w:br/>
            </w:r>
          </w:p>
        </w:tc>
      </w:tr>
      <w:tr w:rsidR="799089E6" w:rsidTr="799089E6" w14:paraId="0F359818">
        <w:tc>
          <w:tcPr>
            <w:tcW w:w="1860" w:type="dxa"/>
            <w:tcMar/>
            <w:vAlign w:val="top"/>
          </w:tcPr>
          <w:p w:rsidR="799089E6" w:rsidP="799089E6" w:rsidRDefault="799089E6" w14:paraId="7FC2583A" w14:textId="290A80CB">
            <w:pPr>
              <w:spacing w:line="360" w:lineRule="auto"/>
              <w:rPr>
                <w:rFonts w:ascii="Times New Roman" w:hAnsi="Times New Roman" w:eastAsia="Times New Roman" w:cs="Times New Roman"/>
                <w:b w:val="0"/>
                <w:bCs w:val="0"/>
                <w:i w:val="0"/>
                <w:iCs w:val="0"/>
                <w:sz w:val="24"/>
                <w:szCs w:val="24"/>
              </w:rPr>
            </w:pPr>
            <w:r w:rsidRPr="799089E6" w:rsidR="799089E6">
              <w:rPr>
                <w:rFonts w:ascii="Times New Roman" w:hAnsi="Times New Roman" w:eastAsia="Times New Roman" w:cs="Times New Roman"/>
                <w:b w:val="0"/>
                <w:bCs w:val="0"/>
                <w:i w:val="0"/>
                <w:iCs w:val="0"/>
                <w:sz w:val="24"/>
                <w:szCs w:val="24"/>
                <w:lang w:val="en-US"/>
              </w:rPr>
              <w:t>Amplitude of movement</w:t>
            </w:r>
          </w:p>
        </w:tc>
        <w:tc>
          <w:tcPr>
            <w:tcW w:w="1860" w:type="dxa"/>
            <w:tcMar/>
            <w:vAlign w:val="top"/>
          </w:tcPr>
          <w:p w:rsidR="799089E6" w:rsidP="799089E6" w:rsidRDefault="799089E6" w14:paraId="490901D4" w14:textId="292EED0A">
            <w:pPr>
              <w:spacing w:line="360" w:lineRule="auto"/>
              <w:rPr>
                <w:rFonts w:ascii="Times New Roman" w:hAnsi="Times New Roman" w:eastAsia="Times New Roman" w:cs="Times New Roman"/>
                <w:b w:val="0"/>
                <w:bCs w:val="0"/>
                <w:i w:val="0"/>
                <w:iCs w:val="0"/>
                <w:sz w:val="24"/>
                <w:szCs w:val="24"/>
              </w:rPr>
            </w:pPr>
            <w:r w:rsidRPr="799089E6" w:rsidR="799089E6">
              <w:rPr>
                <w:rFonts w:ascii="Times New Roman" w:hAnsi="Times New Roman" w:eastAsia="Times New Roman" w:cs="Times New Roman"/>
                <w:b w:val="0"/>
                <w:bCs w:val="0"/>
                <w:i w:val="0"/>
                <w:iCs w:val="0"/>
                <w:sz w:val="24"/>
                <w:szCs w:val="24"/>
                <w:lang w:val="en-US"/>
              </w:rPr>
              <w:t>Small</w:t>
            </w:r>
          </w:p>
        </w:tc>
        <w:tc>
          <w:tcPr>
            <w:tcW w:w="1860" w:type="dxa"/>
            <w:tcMar/>
            <w:vAlign w:val="top"/>
          </w:tcPr>
          <w:p w:rsidR="799089E6" w:rsidP="799089E6" w:rsidRDefault="799089E6" w14:paraId="2428FE37" w14:textId="2D627E3A">
            <w:pPr>
              <w:spacing w:line="360" w:lineRule="auto"/>
              <w:rPr>
                <w:rFonts w:ascii="Times New Roman" w:hAnsi="Times New Roman" w:eastAsia="Times New Roman" w:cs="Times New Roman"/>
                <w:b w:val="0"/>
                <w:bCs w:val="0"/>
                <w:i w:val="0"/>
                <w:iCs w:val="0"/>
                <w:sz w:val="24"/>
                <w:szCs w:val="24"/>
              </w:rPr>
            </w:pPr>
            <w:r w:rsidRPr="799089E6" w:rsidR="799089E6">
              <w:rPr>
                <w:rFonts w:ascii="Times New Roman" w:hAnsi="Times New Roman" w:eastAsia="Times New Roman" w:cs="Times New Roman"/>
                <w:b w:val="0"/>
                <w:bCs w:val="0"/>
                <w:i w:val="0"/>
                <w:iCs w:val="0"/>
                <w:sz w:val="24"/>
                <w:szCs w:val="24"/>
                <w:lang w:val="en-US"/>
              </w:rPr>
              <w:t>Large</w:t>
            </w:r>
          </w:p>
        </w:tc>
        <w:tc>
          <w:tcPr>
            <w:tcW w:w="1860" w:type="dxa"/>
            <w:tcMar/>
            <w:vAlign w:val="top"/>
          </w:tcPr>
          <w:p w:rsidR="799089E6" w:rsidP="799089E6" w:rsidRDefault="799089E6" w14:paraId="7B5D883B" w14:textId="34E136A5">
            <w:pPr>
              <w:spacing w:line="360" w:lineRule="auto"/>
              <w:rPr>
                <w:rFonts w:ascii="Times New Roman" w:hAnsi="Times New Roman" w:eastAsia="Times New Roman" w:cs="Times New Roman"/>
                <w:b w:val="0"/>
                <w:bCs w:val="0"/>
                <w:i w:val="0"/>
                <w:iCs w:val="0"/>
                <w:sz w:val="24"/>
                <w:szCs w:val="24"/>
              </w:rPr>
            </w:pPr>
            <w:r w:rsidRPr="799089E6" w:rsidR="799089E6">
              <w:rPr>
                <w:rFonts w:ascii="Times New Roman" w:hAnsi="Times New Roman" w:eastAsia="Times New Roman" w:cs="Times New Roman"/>
                <w:b w:val="0"/>
                <w:bCs w:val="0"/>
                <w:i w:val="0"/>
                <w:iCs w:val="0"/>
                <w:sz w:val="24"/>
                <w:szCs w:val="24"/>
                <w:lang w:val="en-US"/>
              </w:rPr>
              <w:t>Large</w:t>
            </w:r>
          </w:p>
        </w:tc>
        <w:tc>
          <w:tcPr>
            <w:tcW w:w="1860" w:type="dxa"/>
            <w:tcMar/>
            <w:vAlign w:val="top"/>
          </w:tcPr>
          <w:p w:rsidR="799089E6" w:rsidP="799089E6" w:rsidRDefault="799089E6" w14:paraId="4E233B87" w14:textId="7E5D6B71">
            <w:pPr>
              <w:spacing w:line="360" w:lineRule="auto"/>
              <w:rPr>
                <w:rFonts w:ascii="Times New Roman" w:hAnsi="Times New Roman" w:eastAsia="Times New Roman" w:cs="Times New Roman"/>
                <w:b w:val="0"/>
                <w:bCs w:val="0"/>
                <w:i w:val="0"/>
                <w:iCs w:val="0"/>
                <w:sz w:val="24"/>
                <w:szCs w:val="24"/>
              </w:rPr>
            </w:pPr>
            <w:r w:rsidRPr="799089E6" w:rsidR="799089E6">
              <w:rPr>
                <w:rFonts w:ascii="Times New Roman" w:hAnsi="Times New Roman" w:eastAsia="Times New Roman" w:cs="Times New Roman"/>
                <w:b w:val="0"/>
                <w:bCs w:val="0"/>
                <w:i w:val="0"/>
                <w:iCs w:val="0"/>
                <w:sz w:val="24"/>
                <w:szCs w:val="24"/>
                <w:lang w:val="en-US"/>
              </w:rPr>
              <w:t>Small</w:t>
            </w:r>
          </w:p>
        </w:tc>
      </w:tr>
      <w:tr w:rsidR="799089E6" w:rsidTr="799089E6" w14:paraId="09BEBDB8">
        <w:tc>
          <w:tcPr>
            <w:tcW w:w="1860" w:type="dxa"/>
            <w:tcMar/>
            <w:vAlign w:val="top"/>
          </w:tcPr>
          <w:p w:rsidR="799089E6" w:rsidP="799089E6" w:rsidRDefault="799089E6" w14:paraId="070B57B4" w14:textId="3D8B64F5">
            <w:pPr>
              <w:spacing w:line="360" w:lineRule="auto"/>
              <w:rPr>
                <w:rFonts w:ascii="Times New Roman" w:hAnsi="Times New Roman" w:eastAsia="Times New Roman" w:cs="Times New Roman"/>
                <w:b w:val="0"/>
                <w:bCs w:val="0"/>
                <w:i w:val="0"/>
                <w:iCs w:val="0"/>
                <w:sz w:val="24"/>
                <w:szCs w:val="24"/>
              </w:rPr>
            </w:pPr>
            <w:r w:rsidRPr="799089E6" w:rsidR="799089E6">
              <w:rPr>
                <w:rFonts w:ascii="Times New Roman" w:hAnsi="Times New Roman" w:eastAsia="Times New Roman" w:cs="Times New Roman"/>
                <w:b w:val="0"/>
                <w:bCs w:val="0"/>
                <w:i w:val="0"/>
                <w:iCs w:val="0"/>
                <w:sz w:val="24"/>
                <w:szCs w:val="24"/>
                <w:lang w:val="en-US"/>
              </w:rPr>
              <w:t>Used to treat</w:t>
            </w:r>
          </w:p>
        </w:tc>
        <w:tc>
          <w:tcPr>
            <w:tcW w:w="1860" w:type="dxa"/>
            <w:tcMar/>
            <w:vAlign w:val="top"/>
          </w:tcPr>
          <w:p w:rsidR="799089E6" w:rsidP="799089E6" w:rsidRDefault="799089E6" w14:paraId="3A36D36F" w14:textId="5472F429">
            <w:pPr>
              <w:spacing w:line="360" w:lineRule="auto"/>
              <w:rPr>
                <w:rFonts w:ascii="Times New Roman" w:hAnsi="Times New Roman" w:eastAsia="Times New Roman" w:cs="Times New Roman"/>
                <w:b w:val="0"/>
                <w:bCs w:val="0"/>
                <w:i w:val="0"/>
                <w:iCs w:val="0"/>
                <w:sz w:val="24"/>
                <w:szCs w:val="24"/>
              </w:rPr>
            </w:pPr>
            <w:r w:rsidRPr="799089E6" w:rsidR="799089E6">
              <w:rPr>
                <w:rFonts w:ascii="Times New Roman" w:hAnsi="Times New Roman" w:eastAsia="Times New Roman" w:cs="Times New Roman"/>
                <w:b w:val="0"/>
                <w:bCs w:val="0"/>
                <w:i w:val="0"/>
                <w:iCs w:val="0"/>
                <w:sz w:val="24"/>
                <w:szCs w:val="24"/>
                <w:lang w:val="en-US"/>
              </w:rPr>
              <w:t>Pain</w:t>
            </w:r>
          </w:p>
        </w:tc>
        <w:tc>
          <w:tcPr>
            <w:tcW w:w="1860" w:type="dxa"/>
            <w:tcMar/>
            <w:vAlign w:val="top"/>
          </w:tcPr>
          <w:p w:rsidR="799089E6" w:rsidP="799089E6" w:rsidRDefault="799089E6" w14:paraId="253E00AD" w14:textId="0B466C23">
            <w:pPr>
              <w:spacing w:line="360" w:lineRule="auto"/>
              <w:rPr>
                <w:rFonts w:ascii="Times New Roman" w:hAnsi="Times New Roman" w:eastAsia="Times New Roman" w:cs="Times New Roman"/>
                <w:b w:val="0"/>
                <w:bCs w:val="0"/>
                <w:i w:val="0"/>
                <w:iCs w:val="0"/>
                <w:sz w:val="24"/>
                <w:szCs w:val="24"/>
              </w:rPr>
            </w:pPr>
            <w:r w:rsidRPr="799089E6" w:rsidR="799089E6">
              <w:rPr>
                <w:rFonts w:ascii="Times New Roman" w:hAnsi="Times New Roman" w:eastAsia="Times New Roman" w:cs="Times New Roman"/>
                <w:b w:val="0"/>
                <w:bCs w:val="0"/>
                <w:i w:val="0"/>
                <w:iCs w:val="0"/>
                <w:sz w:val="24"/>
                <w:szCs w:val="24"/>
                <w:lang w:val="en-US"/>
              </w:rPr>
              <w:t>Pain</w:t>
            </w:r>
          </w:p>
        </w:tc>
        <w:tc>
          <w:tcPr>
            <w:tcW w:w="1860" w:type="dxa"/>
            <w:tcMar/>
            <w:vAlign w:val="top"/>
          </w:tcPr>
          <w:p w:rsidR="799089E6" w:rsidP="799089E6" w:rsidRDefault="799089E6" w14:paraId="25934B1A" w14:textId="185EF772">
            <w:pPr>
              <w:spacing w:line="360" w:lineRule="auto"/>
              <w:rPr>
                <w:rFonts w:ascii="Times New Roman" w:hAnsi="Times New Roman" w:eastAsia="Times New Roman" w:cs="Times New Roman"/>
                <w:b w:val="0"/>
                <w:bCs w:val="0"/>
                <w:i w:val="0"/>
                <w:iCs w:val="0"/>
                <w:sz w:val="24"/>
                <w:szCs w:val="24"/>
              </w:rPr>
            </w:pPr>
            <w:r w:rsidRPr="799089E6" w:rsidR="799089E6">
              <w:rPr>
                <w:rFonts w:ascii="Times New Roman" w:hAnsi="Times New Roman" w:eastAsia="Times New Roman" w:cs="Times New Roman"/>
                <w:b w:val="0"/>
                <w:bCs w:val="0"/>
                <w:i w:val="0"/>
                <w:iCs w:val="0"/>
                <w:sz w:val="24"/>
                <w:szCs w:val="24"/>
                <w:lang w:val="en-US"/>
              </w:rPr>
              <w:t xml:space="preserve">ROM </w:t>
            </w:r>
          </w:p>
        </w:tc>
        <w:tc>
          <w:tcPr>
            <w:tcW w:w="1860" w:type="dxa"/>
            <w:tcMar/>
            <w:vAlign w:val="top"/>
          </w:tcPr>
          <w:p w:rsidR="799089E6" w:rsidP="799089E6" w:rsidRDefault="799089E6" w14:paraId="66B10433" w14:textId="7765E1E4">
            <w:pPr>
              <w:spacing w:line="360" w:lineRule="auto"/>
              <w:rPr>
                <w:rFonts w:ascii="Times New Roman" w:hAnsi="Times New Roman" w:eastAsia="Times New Roman" w:cs="Times New Roman"/>
                <w:b w:val="0"/>
                <w:bCs w:val="0"/>
                <w:i w:val="0"/>
                <w:iCs w:val="0"/>
                <w:sz w:val="24"/>
                <w:szCs w:val="24"/>
              </w:rPr>
            </w:pPr>
            <w:r w:rsidRPr="799089E6" w:rsidR="799089E6">
              <w:rPr>
                <w:rFonts w:ascii="Times New Roman" w:hAnsi="Times New Roman" w:eastAsia="Times New Roman" w:cs="Times New Roman"/>
                <w:b w:val="0"/>
                <w:bCs w:val="0"/>
                <w:i w:val="0"/>
                <w:iCs w:val="0"/>
                <w:sz w:val="24"/>
                <w:szCs w:val="24"/>
                <w:lang w:val="en-US"/>
              </w:rPr>
              <w:t>ROM</w:t>
            </w:r>
          </w:p>
        </w:tc>
      </w:tr>
    </w:tbl>
    <w:p w:rsidRPr="00A406E5" w:rsidR="0029197D" w:rsidP="799089E6" w:rsidRDefault="0029197D" w14:paraId="5B10DC45" w14:textId="2CA6A95B">
      <w:pPr>
        <w:spacing w:after="160" w:line="360" w:lineRule="auto"/>
        <w:jc w:val="left"/>
        <w:rPr>
          <w:rFonts w:ascii="Times New Roman" w:hAnsi="Times New Roman" w:eastAsia="Times New Roman" w:cs="Times New Roman"/>
          <w:b w:val="0"/>
          <w:bCs w:val="0"/>
          <w:i w:val="0"/>
          <w:iCs w:val="0"/>
          <w:noProof w:val="0"/>
          <w:color w:val="000000" w:themeColor="text1" w:themeTint="FF" w:themeShade="FF"/>
          <w:sz w:val="24"/>
          <w:szCs w:val="24"/>
          <w:u w:val="single"/>
          <w:lang w:val="en-US"/>
        </w:rPr>
      </w:pPr>
    </w:p>
    <w:p w:rsidRPr="00A406E5" w:rsidR="0029197D" w:rsidP="799089E6" w:rsidRDefault="0029197D" w14:paraId="31845BB4" w14:textId="0607DF40">
      <w:pPr>
        <w:spacing w:after="160" w:line="360" w:lineRule="auto"/>
        <w:jc w:val="left"/>
        <w:rPr>
          <w:rFonts w:ascii="Times New Roman" w:hAnsi="Times New Roman" w:eastAsia="Times New Roman" w:cs="Times New Roman"/>
          <w:b w:val="0"/>
          <w:bCs w:val="0"/>
          <w:i w:val="0"/>
          <w:iCs w:val="0"/>
          <w:noProof w:val="0"/>
          <w:color w:val="000000" w:themeColor="text1" w:themeTint="FF" w:themeShade="FF"/>
          <w:sz w:val="28"/>
          <w:szCs w:val="28"/>
          <w:u w:val="none"/>
          <w:lang w:val="en-GB"/>
        </w:rPr>
      </w:pPr>
      <w:r w:rsidRPr="44C0871E" w:rsidR="2F24B3AD">
        <w:rPr>
          <w:rFonts w:ascii="Times New Roman" w:hAnsi="Times New Roman" w:eastAsia="Times New Roman" w:cs="Times New Roman"/>
          <w:b w:val="0"/>
          <w:bCs w:val="0"/>
          <w:i w:val="0"/>
          <w:iCs w:val="0"/>
          <w:noProof w:val="0"/>
          <w:color w:val="000000" w:themeColor="text1" w:themeTint="FF" w:themeShade="FF"/>
          <w:sz w:val="28"/>
          <w:szCs w:val="28"/>
          <w:u w:val="none"/>
          <w:lang w:val="en-US"/>
        </w:rPr>
        <w:t>Pain</w:t>
      </w:r>
    </w:p>
    <w:p w:rsidR="44C0871E" w:rsidP="44C0871E" w:rsidRDefault="44C0871E" w14:paraId="27545571" w14:textId="28133A8C">
      <w:pPr>
        <w:spacing w:after="160" w:line="36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p>
    <w:p w:rsidRPr="00A406E5" w:rsidR="0029197D" w:rsidP="799089E6" w:rsidRDefault="0029197D" w14:paraId="59E7E0E6" w14:textId="75CB7590">
      <w:pPr>
        <w:spacing w:after="160" w:line="36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The sensation of pain occurs from a noxious stimulus for example scraping your knee or picking up a hot cup of tea. The noxious stimulus stimulates mechanical, thermal and mechano-thermal nociceptors in the joint or the skin (Dubin and </w:t>
      </w:r>
      <w:proofErr w:type="spellStart"/>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Patapoutian</w:t>
      </w:r>
      <w:proofErr w:type="spellEnd"/>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2010). The types of nociceptors are high-threshold mechanoreceptors (respond to mechanical dysfunction) and polymodal nociceptors (respond to chemical and thermal deformation) (Steeds, 2009). When a noxious stimulus stimulates one of these nociceptors an afferent signal will be sent to the dorsal horn along the first-order neuron, two nerve </w:t>
      </w:r>
      <w:proofErr w:type="spellStart"/>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fibres</w:t>
      </w:r>
      <w:proofErr w:type="spellEnd"/>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transmit this signal either A-Delta </w:t>
      </w:r>
      <w:proofErr w:type="spellStart"/>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fibres</w:t>
      </w:r>
      <w:proofErr w:type="spellEnd"/>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which are myelinated and transmit sharp </w:t>
      </w:r>
      <w:proofErr w:type="spellStart"/>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localised</w:t>
      </w:r>
      <w:proofErr w:type="spellEnd"/>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pain at the speed of 5-15m/s these are usually the first pain response (Almeida, </w:t>
      </w:r>
      <w:proofErr w:type="spellStart"/>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Roizenblatt</w:t>
      </w:r>
      <w:proofErr w:type="spellEnd"/>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and </w:t>
      </w:r>
      <w:proofErr w:type="spellStart"/>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Tufik</w:t>
      </w:r>
      <w:proofErr w:type="spellEnd"/>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2004). C </w:t>
      </w:r>
      <w:proofErr w:type="spellStart"/>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fibres</w:t>
      </w:r>
      <w:proofErr w:type="spellEnd"/>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which are unmyelinated and transmit dull, deep, throbbing pain at the speed of 0.5-2m/s and are usually a secondary pain response (Almeida, </w:t>
      </w:r>
      <w:proofErr w:type="spellStart"/>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Roizenblatt</w:t>
      </w:r>
      <w:proofErr w:type="spellEnd"/>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and </w:t>
      </w:r>
      <w:proofErr w:type="spellStart"/>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Tufik</w:t>
      </w:r>
      <w:proofErr w:type="spellEnd"/>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2004). Then travel into the dorsal horn, the </w:t>
      </w:r>
      <w:proofErr w:type="spellStart"/>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fibres</w:t>
      </w:r>
      <w:proofErr w:type="spellEnd"/>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synapse with specific portions A-Delta </w:t>
      </w:r>
      <w:proofErr w:type="spellStart"/>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fibres</w:t>
      </w:r>
      <w:proofErr w:type="spellEnd"/>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synapse within laminae I and V, C-</w:t>
      </w:r>
      <w:proofErr w:type="spellStart"/>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fibres</w:t>
      </w:r>
      <w:proofErr w:type="spellEnd"/>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synapse within laminae II (substantia </w:t>
      </w:r>
      <w:proofErr w:type="spellStart"/>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gelatinosa</w:t>
      </w:r>
      <w:proofErr w:type="spellEnd"/>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(Almeida, </w:t>
      </w:r>
      <w:proofErr w:type="spellStart"/>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Roizenblatt</w:t>
      </w:r>
      <w:proofErr w:type="spellEnd"/>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and </w:t>
      </w:r>
      <w:proofErr w:type="spellStart"/>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Tufik</w:t>
      </w:r>
      <w:proofErr w:type="spellEnd"/>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2004; Todd, 2010). In the substantia </w:t>
      </w:r>
      <w:proofErr w:type="spellStart"/>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gelatinosa</w:t>
      </w:r>
      <w:proofErr w:type="spellEnd"/>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C-</w:t>
      </w:r>
      <w:proofErr w:type="spellStart"/>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fibres</w:t>
      </w:r>
      <w:proofErr w:type="spellEnd"/>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will release the neurotransmitter substance-P (Yam </w:t>
      </w:r>
      <w:r w:rsidRPr="799089E6" w:rsidR="2F24B3AD">
        <w:rPr>
          <w:rFonts w:ascii="Times New Roman" w:hAnsi="Times New Roman" w:eastAsia="Times New Roman" w:cs="Times New Roman"/>
          <w:b w:val="0"/>
          <w:bCs w:val="0"/>
          <w:i w:val="1"/>
          <w:iCs w:val="1"/>
          <w:noProof w:val="0"/>
          <w:color w:val="000000" w:themeColor="text1" w:themeTint="FF" w:themeShade="FF"/>
          <w:sz w:val="24"/>
          <w:szCs w:val="24"/>
          <w:lang w:val="en-US"/>
        </w:rPr>
        <w:t>et al</w:t>
      </w:r>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2018). The neurotransmitter then synapses with the second-order neuron which travels across the grey matter to the spinothalamic tract from this point the neuron travels up the spinal cord to the thalamus in the brain (Steeds, 2009; Todd, 2010). In the thalamus the second-order neuron synapses with the third-order neuron which then stimulates the corresponding area in the cerebral cortex to the painful area (Steeds, 2009; Todd, 2010; Yam </w:t>
      </w:r>
      <w:r w:rsidRPr="799089E6" w:rsidR="2F24B3AD">
        <w:rPr>
          <w:rFonts w:ascii="Times New Roman" w:hAnsi="Times New Roman" w:eastAsia="Times New Roman" w:cs="Times New Roman"/>
          <w:b w:val="0"/>
          <w:bCs w:val="0"/>
          <w:i w:val="1"/>
          <w:iCs w:val="1"/>
          <w:noProof w:val="0"/>
          <w:color w:val="000000" w:themeColor="text1" w:themeTint="FF" w:themeShade="FF"/>
          <w:sz w:val="24"/>
          <w:szCs w:val="24"/>
          <w:lang w:val="en-US"/>
        </w:rPr>
        <w:t>et al</w:t>
      </w:r>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2018).</w:t>
      </w:r>
    </w:p>
    <w:p w:rsidRPr="00A406E5" w:rsidR="0029197D" w:rsidP="799089E6" w:rsidRDefault="0029197D" w14:paraId="5EFA54FA" w14:textId="52C766AA">
      <w:pPr>
        <w:spacing w:after="160" w:line="36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The stimulation of a non-noxious stimulus for example rubbing your knee or simply a touch from another person can stimulate the mechanoreceptors in the skin or joint (Yam </w:t>
      </w:r>
      <w:r w:rsidRPr="799089E6" w:rsidR="2F24B3AD">
        <w:rPr>
          <w:rFonts w:ascii="Times New Roman" w:hAnsi="Times New Roman" w:eastAsia="Times New Roman" w:cs="Times New Roman"/>
          <w:b w:val="0"/>
          <w:bCs w:val="0"/>
          <w:i w:val="1"/>
          <w:iCs w:val="1"/>
          <w:noProof w:val="0"/>
          <w:color w:val="000000" w:themeColor="text1" w:themeTint="FF" w:themeShade="FF"/>
          <w:sz w:val="24"/>
          <w:szCs w:val="24"/>
          <w:lang w:val="en-US"/>
        </w:rPr>
        <w:t>et al</w:t>
      </w:r>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2018). When the non-noxious stimulus is applied a signal is sent to the dorsal horn via the A-Beta </w:t>
      </w:r>
      <w:proofErr w:type="spellStart"/>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fibre</w:t>
      </w:r>
      <w:proofErr w:type="spellEnd"/>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which is myelinated, traves at 30-100m/s and is a first response (Almeida, </w:t>
      </w:r>
      <w:proofErr w:type="spellStart"/>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Roizenblatt</w:t>
      </w:r>
      <w:proofErr w:type="spellEnd"/>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and </w:t>
      </w:r>
      <w:proofErr w:type="spellStart"/>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Tufik</w:t>
      </w:r>
      <w:proofErr w:type="spellEnd"/>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2004). When entering the dorsal horn, the </w:t>
      </w:r>
      <w:proofErr w:type="spellStart"/>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fibre</w:t>
      </w:r>
      <w:proofErr w:type="spellEnd"/>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will synapse in the II-V laminae (Almeida, </w:t>
      </w:r>
      <w:proofErr w:type="spellStart"/>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Roizenblatt</w:t>
      </w:r>
      <w:proofErr w:type="spellEnd"/>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and </w:t>
      </w:r>
      <w:proofErr w:type="spellStart"/>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Tufik</w:t>
      </w:r>
      <w:proofErr w:type="spellEnd"/>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2004).</w:t>
      </w:r>
    </w:p>
    <w:p w:rsidRPr="00A406E5" w:rsidR="0029197D" w:rsidP="44C0871E" w:rsidRDefault="0029197D" w14:paraId="4A003BFD" w14:textId="44D59AEF">
      <w:pPr>
        <w:spacing w:after="160" w:line="36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Th</w:t>
      </w:r>
      <w:r w:rsidRPr="44C0871E" w:rsidR="5E7A53F3">
        <w:rPr>
          <w:rFonts w:ascii="Times New Roman" w:hAnsi="Times New Roman" w:eastAsia="Times New Roman" w:cs="Times New Roman"/>
          <w:b w:val="0"/>
          <w:bCs w:val="0"/>
          <w:i w:val="0"/>
          <w:iCs w:val="0"/>
          <w:noProof w:val="0"/>
          <w:color w:val="000000" w:themeColor="text1" w:themeTint="FF" w:themeShade="FF"/>
          <w:sz w:val="24"/>
          <w:szCs w:val="24"/>
          <w:lang w:val="en-US"/>
        </w:rPr>
        <w:t>rough</w:t>
      </w:r>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the stimulation of a noxious </w:t>
      </w:r>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fibre</w:t>
      </w:r>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(A-Delta or C </w:t>
      </w:r>
      <w:proofErr w:type="spellStart"/>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fibre</w:t>
      </w:r>
      <w:proofErr w:type="spellEnd"/>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and stimulation of the non-noxious A-Beta </w:t>
      </w:r>
      <w:proofErr w:type="spellStart"/>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fibre</w:t>
      </w:r>
      <w:proofErr w:type="spellEnd"/>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 pain gating mechanism proposed by </w:t>
      </w:r>
      <w:proofErr w:type="spellStart"/>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Melzack</w:t>
      </w:r>
      <w:proofErr w:type="spellEnd"/>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and Wall (1965) will occur. The pain gate theory suggested occurs in the dorsal horn, due to the A-Beta </w:t>
      </w:r>
      <w:proofErr w:type="spellStart"/>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fibres</w:t>
      </w:r>
      <w:proofErr w:type="spellEnd"/>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having a faster conduction velocity this means they reach the dorsal horn before the slower A-Delta or C </w:t>
      </w:r>
      <w:proofErr w:type="spellStart"/>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fibres</w:t>
      </w:r>
      <w:proofErr w:type="spellEnd"/>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(Mendell, 2014). Once the A-Beta reaches the dorsal horn it will synapse with the inhibitory T-cell which acts as a gate stopping the noxious stimuli from synapsing with the second-order neuron (</w:t>
      </w:r>
      <w:proofErr w:type="spellStart"/>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Melzack</w:t>
      </w:r>
      <w:proofErr w:type="spellEnd"/>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and Wall, 1965; Mendell, 2014).</w:t>
      </w:r>
    </w:p>
    <w:p w:rsidR="571A4507" w:rsidP="51DE9C60" w:rsidRDefault="571A4507" w14:paraId="36DD51C5" w14:textId="5FAE2991">
      <w:pPr>
        <w:spacing w:after="160" w:line="36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571A4507">
        <w:drawing>
          <wp:inline wp14:editId="2A987EF3" wp14:anchorId="2D3B7E6E">
            <wp:extent cx="4229100" cy="3705225"/>
            <wp:effectExtent l="0" t="0" r="0" b="0"/>
            <wp:docPr id="166215985" name="" title=""/>
            <wp:cNvGraphicFramePr>
              <a:graphicFrameLocks noChangeAspect="1"/>
            </wp:cNvGraphicFramePr>
            <a:graphic>
              <a:graphicData uri="http://schemas.openxmlformats.org/drawingml/2006/picture">
                <pic:pic>
                  <pic:nvPicPr>
                    <pic:cNvPr id="0" name=""/>
                    <pic:cNvPicPr/>
                  </pic:nvPicPr>
                  <pic:blipFill>
                    <a:blip r:embed="Rdd79fe5e8f834f52">
                      <a:extLst>
                        <a:ext xmlns:a="http://schemas.openxmlformats.org/drawingml/2006/main" uri="{28A0092B-C50C-407E-A947-70E740481C1C}">
                          <a14:useLocalDpi val="0"/>
                        </a:ext>
                      </a:extLst>
                    </a:blip>
                    <a:stretch>
                      <a:fillRect/>
                    </a:stretch>
                  </pic:blipFill>
                  <pic:spPr>
                    <a:xfrm>
                      <a:off x="0" y="0"/>
                      <a:ext cx="4229100" cy="3705225"/>
                    </a:xfrm>
                    <a:prstGeom prst="rect">
                      <a:avLst/>
                    </a:prstGeom>
                  </pic:spPr>
                </pic:pic>
              </a:graphicData>
            </a:graphic>
          </wp:inline>
        </w:drawing>
      </w:r>
    </w:p>
    <w:p w:rsidR="571A4507" w:rsidP="51DE9C60" w:rsidRDefault="571A4507" w14:paraId="427DAB48" w14:textId="2D4C8978">
      <w:pPr>
        <w:pStyle w:val="Normal"/>
        <w:spacing w:after="160" w:line="36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51DE9C60" w:rsidR="571A4507">
        <w:rPr>
          <w:rFonts w:ascii="Times New Roman" w:hAnsi="Times New Roman" w:eastAsia="Times New Roman" w:cs="Times New Roman"/>
          <w:b w:val="0"/>
          <w:bCs w:val="0"/>
          <w:i w:val="0"/>
          <w:iCs w:val="0"/>
          <w:noProof w:val="0"/>
          <w:color w:val="000000" w:themeColor="text1" w:themeTint="FF" w:themeShade="FF"/>
          <w:sz w:val="24"/>
          <w:szCs w:val="24"/>
          <w:lang w:val="en-US"/>
        </w:rPr>
        <w:t>Figure 1 Desc</w:t>
      </w:r>
      <w:r w:rsidRPr="51DE9C60" w:rsidR="5044E5F9">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ending pain pathway traveling from </w:t>
      </w:r>
      <w:r w:rsidRPr="51DE9C60" w:rsidR="19601AD7">
        <w:rPr>
          <w:rFonts w:ascii="Times New Roman" w:hAnsi="Times New Roman" w:eastAsia="Times New Roman" w:cs="Times New Roman"/>
          <w:b w:val="0"/>
          <w:bCs w:val="0"/>
          <w:i w:val="0"/>
          <w:iCs w:val="0"/>
          <w:noProof w:val="0"/>
          <w:color w:val="000000" w:themeColor="text1" w:themeTint="FF" w:themeShade="FF"/>
          <w:sz w:val="24"/>
          <w:szCs w:val="24"/>
          <w:lang w:val="en-US"/>
        </w:rPr>
        <w:t>periaqueductal grey to the dorsal horn (</w:t>
      </w:r>
      <w:r w:rsidRPr="51DE9C60" w:rsidR="6704304B">
        <w:rPr>
          <w:rFonts w:ascii="Times New Roman" w:hAnsi="Times New Roman" w:eastAsia="Times New Roman" w:cs="Times New Roman"/>
          <w:b w:val="0"/>
          <w:bCs w:val="0"/>
          <w:i w:val="0"/>
          <w:iCs w:val="0"/>
          <w:noProof w:val="0"/>
          <w:color w:val="000000" w:themeColor="text1" w:themeTint="FF" w:themeShade="FF"/>
          <w:sz w:val="24"/>
          <w:szCs w:val="24"/>
          <w:lang w:val="en-US"/>
        </w:rPr>
        <w:t>Lau and Vaughan., 2014)</w:t>
      </w:r>
    </w:p>
    <w:p w:rsidRPr="00A406E5" w:rsidR="0029197D" w:rsidP="44C0871E" w:rsidRDefault="0029197D" w14:paraId="6EF465C0" w14:textId="36BF9E0C">
      <w:pPr>
        <w:pStyle w:val="Normal"/>
        <w:spacing w:after="160" w:line="36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In response to pain, there is also a second mechanism in order to reduce the pain sensation. This mechanism occurs from signals being sent from the cerebral cortex down the descending pathway th</w:t>
      </w:r>
      <w:r w:rsidRPr="44C0871E" w:rsidR="28DB6BC7">
        <w:rPr>
          <w:rFonts w:ascii="Times New Roman" w:hAnsi="Times New Roman" w:eastAsia="Times New Roman" w:cs="Times New Roman"/>
          <w:b w:val="0"/>
          <w:bCs w:val="0"/>
          <w:i w:val="0"/>
          <w:iCs w:val="0"/>
          <w:noProof w:val="0"/>
          <w:color w:val="000000" w:themeColor="text1" w:themeTint="FF" w:themeShade="FF"/>
          <w:sz w:val="24"/>
          <w:szCs w:val="24"/>
          <w:lang w:val="en-US"/>
        </w:rPr>
        <w:t>rough</w:t>
      </w:r>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the periaqueductal grey matter in the midbrain and then synapses with the nucleus raphe magnus in the medulla </w:t>
      </w:r>
      <w:r w:rsidRPr="44C0871E" w:rsidR="7DA1F6E5">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as seen in figure 1 </w:t>
      </w:r>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(Kwon </w:t>
      </w:r>
      <w:r w:rsidRPr="44C0871E" w:rsidR="2F24B3AD">
        <w:rPr>
          <w:rFonts w:ascii="Times New Roman" w:hAnsi="Times New Roman" w:eastAsia="Times New Roman" w:cs="Times New Roman"/>
          <w:b w:val="0"/>
          <w:bCs w:val="0"/>
          <w:i w:val="1"/>
          <w:iCs w:val="1"/>
          <w:noProof w:val="0"/>
          <w:color w:val="000000" w:themeColor="text1" w:themeTint="FF" w:themeShade="FF"/>
          <w:sz w:val="24"/>
          <w:szCs w:val="24"/>
          <w:lang w:val="en-US"/>
        </w:rPr>
        <w:t>et al</w:t>
      </w:r>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2014</w:t>
      </w:r>
      <w:r w:rsidRPr="44C0871E" w:rsidR="2A987EF3">
        <w:rPr>
          <w:rFonts w:ascii="Times New Roman" w:hAnsi="Times New Roman" w:eastAsia="Times New Roman" w:cs="Times New Roman"/>
          <w:b w:val="0"/>
          <w:bCs w:val="0"/>
          <w:i w:val="0"/>
          <w:iCs w:val="0"/>
          <w:noProof w:val="0"/>
          <w:color w:val="000000" w:themeColor="text1" w:themeTint="FF" w:themeShade="FF"/>
          <w:sz w:val="24"/>
          <w:szCs w:val="24"/>
          <w:lang w:val="en-US"/>
        </w:rPr>
        <w:t>; Lau and Vaughan., 2014)</w:t>
      </w:r>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The signal is then sent down the noradrenergic neuron which then enters the substantia </w:t>
      </w:r>
      <w:proofErr w:type="spellStart"/>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gelatinosa</w:t>
      </w:r>
      <w:proofErr w:type="spellEnd"/>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(Kwon </w:t>
      </w:r>
      <w:r w:rsidRPr="44C0871E" w:rsidR="2F24B3AD">
        <w:rPr>
          <w:rFonts w:ascii="Times New Roman" w:hAnsi="Times New Roman" w:eastAsia="Times New Roman" w:cs="Times New Roman"/>
          <w:b w:val="0"/>
          <w:bCs w:val="0"/>
          <w:i w:val="1"/>
          <w:iCs w:val="1"/>
          <w:noProof w:val="0"/>
          <w:color w:val="000000" w:themeColor="text1" w:themeTint="FF" w:themeShade="FF"/>
          <w:sz w:val="24"/>
          <w:szCs w:val="24"/>
          <w:lang w:val="en-US"/>
        </w:rPr>
        <w:t>et al</w:t>
      </w:r>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2014). This descending pathway has two ways reducing pain the first being a release of noradrenaline and serotonin these chemicals synapse with the first-order neuron which causes a reduction in substance P production (</w:t>
      </w:r>
      <w:proofErr w:type="spellStart"/>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Tobaldini</w:t>
      </w:r>
      <w:proofErr w:type="spellEnd"/>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44C0871E" w:rsidR="2F24B3AD">
        <w:rPr>
          <w:rFonts w:ascii="Times New Roman" w:hAnsi="Times New Roman" w:eastAsia="Times New Roman" w:cs="Times New Roman"/>
          <w:b w:val="0"/>
          <w:bCs w:val="0"/>
          <w:i w:val="1"/>
          <w:iCs w:val="1"/>
          <w:noProof w:val="0"/>
          <w:color w:val="000000" w:themeColor="text1" w:themeTint="FF" w:themeShade="FF"/>
          <w:sz w:val="24"/>
          <w:szCs w:val="24"/>
          <w:lang w:val="en-US"/>
        </w:rPr>
        <w:t>et al</w:t>
      </w:r>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2019). The second way in which it reduces pain is a synapse with the intra neuron, this causes a release of Enkephalin (opioid) (</w:t>
      </w:r>
      <w:proofErr w:type="spellStart"/>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Tobaldini</w:t>
      </w:r>
      <w:proofErr w:type="spellEnd"/>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44C0871E" w:rsidR="2F24B3AD">
        <w:rPr>
          <w:rFonts w:ascii="Times New Roman" w:hAnsi="Times New Roman" w:eastAsia="Times New Roman" w:cs="Times New Roman"/>
          <w:b w:val="0"/>
          <w:bCs w:val="0"/>
          <w:i w:val="1"/>
          <w:iCs w:val="1"/>
          <w:noProof w:val="0"/>
          <w:color w:val="000000" w:themeColor="text1" w:themeTint="FF" w:themeShade="FF"/>
          <w:sz w:val="24"/>
          <w:szCs w:val="24"/>
          <w:lang w:val="en-US"/>
        </w:rPr>
        <w:t>et al</w:t>
      </w:r>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2019). Opioids synapse with the first-order neuron to cause a reduction in the production of substance P, opioids also synapse with the second-order neuron to cause</w:t>
      </w:r>
      <w:r w:rsidRPr="44C0871E" w:rsidR="5D4098C8">
        <w:rPr>
          <w:rFonts w:ascii="Times New Roman" w:hAnsi="Times New Roman" w:eastAsia="Times New Roman" w:cs="Times New Roman"/>
          <w:b w:val="0"/>
          <w:bCs w:val="0"/>
          <w:i w:val="0"/>
          <w:iCs w:val="0"/>
          <w:noProof w:val="0"/>
          <w:color w:val="000000" w:themeColor="text1" w:themeTint="FF" w:themeShade="FF"/>
          <w:sz w:val="24"/>
          <w:szCs w:val="24"/>
          <w:lang w:val="en-US"/>
        </w:rPr>
        <w:t>s</w:t>
      </w:r>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 higher threshold against substance P cause a reduction in pain sensation (Kwon </w:t>
      </w:r>
      <w:r w:rsidRPr="44C0871E" w:rsidR="2F24B3AD">
        <w:rPr>
          <w:rFonts w:ascii="Times New Roman" w:hAnsi="Times New Roman" w:eastAsia="Times New Roman" w:cs="Times New Roman"/>
          <w:b w:val="0"/>
          <w:bCs w:val="0"/>
          <w:i w:val="1"/>
          <w:iCs w:val="1"/>
          <w:noProof w:val="0"/>
          <w:color w:val="000000" w:themeColor="text1" w:themeTint="FF" w:themeShade="FF"/>
          <w:sz w:val="24"/>
          <w:szCs w:val="24"/>
          <w:lang w:val="en-US"/>
        </w:rPr>
        <w:t>et al</w:t>
      </w:r>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2014; </w:t>
      </w:r>
      <w:proofErr w:type="spellStart"/>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Tobaldini</w:t>
      </w:r>
      <w:proofErr w:type="spellEnd"/>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44C0871E" w:rsidR="2F24B3AD">
        <w:rPr>
          <w:rFonts w:ascii="Times New Roman" w:hAnsi="Times New Roman" w:eastAsia="Times New Roman" w:cs="Times New Roman"/>
          <w:b w:val="0"/>
          <w:bCs w:val="0"/>
          <w:i w:val="1"/>
          <w:iCs w:val="1"/>
          <w:noProof w:val="0"/>
          <w:color w:val="000000" w:themeColor="text1" w:themeTint="FF" w:themeShade="FF"/>
          <w:sz w:val="24"/>
          <w:szCs w:val="24"/>
          <w:lang w:val="en-US"/>
        </w:rPr>
        <w:t>et al</w:t>
      </w:r>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2019).  </w:t>
      </w:r>
    </w:p>
    <w:p w:rsidRPr="00A406E5" w:rsidR="0029197D" w:rsidP="799089E6" w:rsidRDefault="0029197D" w14:paraId="7A8322F6" w14:textId="1674A651">
      <w:pPr>
        <w:spacing w:after="160" w:line="360" w:lineRule="auto"/>
        <w:jc w:val="left"/>
        <w:rPr>
          <w:rFonts w:ascii="Times New Roman" w:hAnsi="Times New Roman" w:eastAsia="Times New Roman" w:cs="Times New Roman"/>
          <w:b w:val="0"/>
          <w:bCs w:val="0"/>
          <w:i w:val="0"/>
          <w:iCs w:val="0"/>
          <w:noProof w:val="0"/>
          <w:color w:val="000000" w:themeColor="text1" w:themeTint="FF" w:themeShade="FF"/>
          <w:sz w:val="28"/>
          <w:szCs w:val="28"/>
          <w:u w:val="none"/>
          <w:lang w:val="en-US"/>
        </w:rPr>
      </w:pPr>
    </w:p>
    <w:p w:rsidRPr="00A406E5" w:rsidR="0029197D" w:rsidP="799089E6" w:rsidRDefault="0029197D" w14:paraId="0AB11C60" w14:textId="26696870">
      <w:pPr>
        <w:spacing w:after="160" w:line="360" w:lineRule="auto"/>
        <w:jc w:val="left"/>
        <w:rPr>
          <w:rFonts w:ascii="Times New Roman" w:hAnsi="Times New Roman" w:eastAsia="Times New Roman" w:cs="Times New Roman"/>
          <w:b w:val="0"/>
          <w:bCs w:val="0"/>
          <w:i w:val="0"/>
          <w:iCs w:val="0"/>
          <w:noProof w:val="0"/>
          <w:color w:val="000000" w:themeColor="text1" w:themeTint="FF" w:themeShade="FF"/>
          <w:sz w:val="28"/>
          <w:szCs w:val="28"/>
          <w:u w:val="none"/>
          <w:lang w:val="en-US"/>
        </w:rPr>
      </w:pPr>
      <w:r w:rsidRPr="44C0871E" w:rsidR="572FFFFB">
        <w:rPr>
          <w:rFonts w:ascii="Times New Roman" w:hAnsi="Times New Roman" w:eastAsia="Times New Roman" w:cs="Times New Roman"/>
          <w:b w:val="0"/>
          <w:bCs w:val="0"/>
          <w:i w:val="0"/>
          <w:iCs w:val="0"/>
          <w:noProof w:val="0"/>
          <w:color w:val="000000" w:themeColor="text1" w:themeTint="FF" w:themeShade="FF"/>
          <w:sz w:val="28"/>
          <w:szCs w:val="28"/>
          <w:u w:val="none"/>
          <w:lang w:val="en-US"/>
        </w:rPr>
        <w:t xml:space="preserve">Evaluation of evidence for Maitland </w:t>
      </w:r>
      <w:r w:rsidRPr="44C0871E" w:rsidR="572FFFFB">
        <w:rPr>
          <w:rFonts w:ascii="Times New Roman" w:hAnsi="Times New Roman" w:eastAsia="Times New Roman" w:cs="Times New Roman"/>
          <w:b w:val="0"/>
          <w:bCs w:val="0"/>
          <w:i w:val="0"/>
          <w:iCs w:val="0"/>
          <w:noProof w:val="0"/>
          <w:color w:val="000000" w:themeColor="text1" w:themeTint="FF" w:themeShade="FF"/>
          <w:sz w:val="28"/>
          <w:szCs w:val="28"/>
          <w:u w:val="none"/>
          <w:lang w:val="en-US"/>
        </w:rPr>
        <w:t>Mobilisations</w:t>
      </w:r>
    </w:p>
    <w:p w:rsidR="44C0871E" w:rsidP="44C0871E" w:rsidRDefault="44C0871E" w14:paraId="09DF0EE5" w14:textId="3E27D312">
      <w:pPr>
        <w:pStyle w:val="Normal"/>
        <w:spacing w:after="160" w:line="36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p>
    <w:p w:rsidRPr="00A406E5" w:rsidR="0029197D" w:rsidP="44C0871E" w:rsidRDefault="0029197D" w14:paraId="2F994C6E" w14:textId="3B153419">
      <w:pPr>
        <w:pStyle w:val="Normal"/>
        <w:spacing w:after="160" w:line="36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Peer-reviewed research articles are a </w:t>
      </w:r>
      <w:proofErr w:type="gramStart"/>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key way</w:t>
      </w:r>
      <w:proofErr w:type="gramEnd"/>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of determining if a manual therapy technique is effective in its proposed effects on the patients. A study performed by Abe, </w:t>
      </w:r>
      <w:proofErr w:type="spellStart"/>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Tozim</w:t>
      </w:r>
      <w:proofErr w:type="spellEnd"/>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and </w:t>
      </w:r>
      <w:proofErr w:type="spellStart"/>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Navega</w:t>
      </w:r>
      <w:proofErr w:type="spellEnd"/>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(2015) </w:t>
      </w:r>
      <w:proofErr w:type="gramStart"/>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looked into</w:t>
      </w:r>
      <w:proofErr w:type="gramEnd"/>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the acute effects of Maitland </w:t>
      </w:r>
      <w:proofErr w:type="spellStart"/>
      <w:r w:rsidRPr="44C0871E" w:rsidR="1AF6FE1F">
        <w:rPr>
          <w:rFonts w:ascii="Times New Roman" w:hAnsi="Times New Roman" w:eastAsia="Times New Roman" w:cs="Times New Roman"/>
          <w:b w:val="0"/>
          <w:bCs w:val="0"/>
          <w:i w:val="0"/>
          <w:iCs w:val="0"/>
          <w:noProof w:val="0"/>
          <w:color w:val="000000" w:themeColor="text1" w:themeTint="FF" w:themeShade="FF"/>
          <w:sz w:val="24"/>
          <w:szCs w:val="24"/>
          <w:lang w:val="en-US"/>
        </w:rPr>
        <w:t>mobilisation</w:t>
      </w:r>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s</w:t>
      </w:r>
      <w:proofErr w:type="spellEnd"/>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on youths with lower back pain. This study involved 16 females aged 22</w:t>
      </w:r>
      <w:r w:rsidRPr="44C0871E" w:rsidR="2F24B3AD">
        <w:rPr>
          <w:rFonts w:ascii="Times New Roman" w:hAnsi="Times New Roman" w:eastAsia="Times New Roman" w:cs="Times New Roman"/>
          <w:b w:val="0"/>
          <w:bCs w:val="0"/>
          <w:i w:val="0"/>
          <w:iCs w:val="0"/>
          <w:noProof w:val="0"/>
          <w:color w:val="000000" w:themeColor="text1" w:themeTint="FF" w:themeShade="FF"/>
          <w:sz w:val="24"/>
          <w:szCs w:val="24"/>
          <w:u w:val="single"/>
          <w:lang w:val="en-US"/>
        </w:rPr>
        <w:t>+</w:t>
      </w:r>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3.03 years and had one group which received a grade III </w:t>
      </w:r>
      <w:proofErr w:type="spellStart"/>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mobilisation</w:t>
      </w:r>
      <w:proofErr w:type="spellEnd"/>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for 3 sets of one minute on each of the 5 lumbar vertebrae. </w:t>
      </w:r>
      <w:r w:rsidRPr="44C0871E" w:rsidR="1D599D8B">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A P value under &lt;0.05 suggests that there is a significant difference (Cristea and Ioannidis, 2018; McShane </w:t>
      </w:r>
      <w:r w:rsidRPr="44C0871E" w:rsidR="1D599D8B">
        <w:rPr>
          <w:rFonts w:ascii="Times New Roman" w:hAnsi="Times New Roman" w:eastAsia="Times New Roman" w:cs="Times New Roman"/>
          <w:b w:val="0"/>
          <w:bCs w:val="0"/>
          <w:i w:val="1"/>
          <w:iCs w:val="1"/>
          <w:noProof w:val="0"/>
          <w:color w:val="000000" w:themeColor="text1" w:themeTint="FF" w:themeShade="FF"/>
          <w:sz w:val="24"/>
          <w:szCs w:val="24"/>
          <w:lang w:val="en-US"/>
        </w:rPr>
        <w:t>et al</w:t>
      </w:r>
      <w:r w:rsidRPr="44C0871E" w:rsidR="1D599D8B">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2019). </w:t>
      </w:r>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The </w:t>
      </w:r>
      <w:r w:rsidRPr="44C0871E" w:rsidR="386E312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reported </w:t>
      </w:r>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findings from this study found that there was a reduction in pain (p=0.269) as well as an increase in strength (p=0.032), flexibility (p=0.086) and mobility (0.774), however,</w:t>
      </w:r>
      <w:r w:rsidRPr="44C0871E" w:rsidR="22F6FE01">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there</w:t>
      </w:r>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was only a significant difference in strength and muscular endurance (p=0.047). A fault with this is ther</w:t>
      </w:r>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e is a miss reporting of results, if the results are non-significant it should not be concluded that there was a reduction in pain or an increase in flexibility and mobility. The reason for these results </w:t>
      </w:r>
      <w:r w:rsidRPr="44C0871E" w:rsidR="1AF9FC18">
        <w:rPr>
          <w:rFonts w:ascii="Times New Roman" w:hAnsi="Times New Roman" w:eastAsia="Times New Roman" w:cs="Times New Roman"/>
          <w:b w:val="0"/>
          <w:bCs w:val="0"/>
          <w:i w:val="0"/>
          <w:iCs w:val="0"/>
          <w:noProof w:val="0"/>
          <w:color w:val="000000" w:themeColor="text1" w:themeTint="FF" w:themeShade="FF"/>
          <w:sz w:val="24"/>
          <w:szCs w:val="24"/>
          <w:lang w:val="en-US"/>
        </w:rPr>
        <w:t>could be</w:t>
      </w:r>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that grade III is not proposed to be the most effective to reduce pain and is more strongly proposed to increase ROM. The reason for a reduction but not a significant reduction is a grade III </w:t>
      </w:r>
      <w:proofErr w:type="spellStart"/>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mobilisations</w:t>
      </w:r>
      <w:proofErr w:type="spellEnd"/>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is proposed to stimulate the deeper mechanoreceptors which will cause the pain gating theory to occur.</w:t>
      </w:r>
    </w:p>
    <w:p w:rsidRPr="00A406E5" w:rsidR="0029197D" w:rsidP="44C0871E" w:rsidRDefault="0029197D" w14:paraId="0992C8D1" w14:textId="2142B9DA">
      <w:pPr>
        <w:spacing w:after="160" w:line="36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Gautam </w:t>
      </w:r>
      <w:r w:rsidRPr="44C0871E" w:rsidR="2F24B3AD">
        <w:rPr>
          <w:rFonts w:ascii="Times New Roman" w:hAnsi="Times New Roman" w:eastAsia="Times New Roman" w:cs="Times New Roman"/>
          <w:b w:val="0"/>
          <w:bCs w:val="0"/>
          <w:i w:val="1"/>
          <w:iCs w:val="1"/>
          <w:noProof w:val="0"/>
          <w:color w:val="000000" w:themeColor="text1" w:themeTint="FF" w:themeShade="FF"/>
          <w:sz w:val="24"/>
          <w:szCs w:val="24"/>
          <w:lang w:val="en-US"/>
        </w:rPr>
        <w:t>et al</w:t>
      </w:r>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(2014) researched into the comparison of Maitland and Mulligan </w:t>
      </w:r>
      <w:proofErr w:type="spellStart"/>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mobilisations</w:t>
      </w:r>
      <w:proofErr w:type="spellEnd"/>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in improving neck pain, ROM and disability. Mulligan </w:t>
      </w:r>
      <w:proofErr w:type="spellStart"/>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mobilisations</w:t>
      </w:r>
      <w:proofErr w:type="spellEnd"/>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include three techniques natural apophyseal glides (NAGs), sustained natural apophyseal glides (SNAGs) which is when the g</w:t>
      </w:r>
      <w:r w:rsidRPr="44C0871E" w:rsidR="528DBF24">
        <w:rPr>
          <w:rFonts w:ascii="Times New Roman" w:hAnsi="Times New Roman" w:eastAsia="Times New Roman" w:cs="Times New Roman"/>
          <w:b w:val="0"/>
          <w:bCs w:val="0"/>
          <w:i w:val="0"/>
          <w:iCs w:val="0"/>
          <w:noProof w:val="0"/>
          <w:color w:val="000000" w:themeColor="text1" w:themeTint="FF" w:themeShade="FF"/>
          <w:sz w:val="24"/>
          <w:szCs w:val="24"/>
          <w:lang w:val="en-US"/>
        </w:rPr>
        <w:t>li</w:t>
      </w:r>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d</w:t>
      </w:r>
      <w:r w:rsidRPr="44C0871E" w:rsidR="64C70D50">
        <w:rPr>
          <w:rFonts w:ascii="Times New Roman" w:hAnsi="Times New Roman" w:eastAsia="Times New Roman" w:cs="Times New Roman"/>
          <w:b w:val="0"/>
          <w:bCs w:val="0"/>
          <w:i w:val="0"/>
          <w:iCs w:val="0"/>
          <w:noProof w:val="0"/>
          <w:color w:val="000000" w:themeColor="text1" w:themeTint="FF" w:themeShade="FF"/>
          <w:sz w:val="24"/>
          <w:szCs w:val="24"/>
          <w:lang w:val="en-US"/>
        </w:rPr>
        <w:t>e</w:t>
      </w:r>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is applied and the patient moves actively through ROM, and </w:t>
      </w:r>
      <w:proofErr w:type="spellStart"/>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mobilisations</w:t>
      </w:r>
      <w:proofErr w:type="spellEnd"/>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with movement (MWMs) </w:t>
      </w:r>
      <w:r w:rsidRPr="44C0871E" w:rsidR="6D6D8A21">
        <w:rPr>
          <w:rFonts w:ascii="Times New Roman" w:hAnsi="Times New Roman" w:eastAsia="Times New Roman" w:cs="Times New Roman"/>
          <w:b w:val="0"/>
          <w:bCs w:val="0"/>
          <w:i w:val="0"/>
          <w:iCs w:val="0"/>
          <w:noProof w:val="0"/>
          <w:color w:val="000000" w:themeColor="text1" w:themeTint="FF" w:themeShade="FF"/>
          <w:sz w:val="24"/>
          <w:szCs w:val="24"/>
          <w:lang w:val="en-US"/>
        </w:rPr>
        <w:t>which are</w:t>
      </w:r>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performed in the peripheral joints. In this study there were 30 participants split into 3 groups a control conventional physiotherapy (CP) group, CP with Maitland </w:t>
      </w:r>
      <w:proofErr w:type="spellStart"/>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mobilisations</w:t>
      </w:r>
      <w:proofErr w:type="spellEnd"/>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received grade 2 for 60 seconds, however, they do not state what type </w:t>
      </w:r>
      <w:proofErr w:type="spellStart"/>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mobilisation</w:t>
      </w:r>
      <w:proofErr w:type="spellEnd"/>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will be given and where on the body as well as not stating how many sets for the treatment. CP with Mulligans received NAGs and SNAGs for 6 repetitions for 3 sets</w:t>
      </w:r>
      <w:r w:rsidRPr="44C0871E" w:rsidR="2501D931">
        <w:rPr>
          <w:rFonts w:ascii="Times New Roman" w:hAnsi="Times New Roman" w:eastAsia="Times New Roman" w:cs="Times New Roman"/>
          <w:b w:val="0"/>
          <w:bCs w:val="0"/>
          <w:i w:val="0"/>
          <w:iCs w:val="0"/>
          <w:noProof w:val="0"/>
          <w:color w:val="000000" w:themeColor="text1" w:themeTint="FF" w:themeShade="FF"/>
          <w:sz w:val="24"/>
          <w:szCs w:val="24"/>
          <w:lang w:val="en-US"/>
        </w:rPr>
        <w:t>. All</w:t>
      </w:r>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treatment was given 4 times a week for 30 days. The results from this paper concluded that all three groups were found to have a significant reduction on the numeric pain rating scale (NPRS) and ROM. </w:t>
      </w:r>
      <w:r w:rsidRPr="44C0871E" w:rsidR="22447336">
        <w:rPr>
          <w:rFonts w:ascii="Times New Roman" w:hAnsi="Times New Roman" w:eastAsia="Times New Roman" w:cs="Times New Roman"/>
          <w:b w:val="0"/>
          <w:bCs w:val="0"/>
          <w:i w:val="0"/>
          <w:iCs w:val="0"/>
          <w:noProof w:val="0"/>
          <w:color w:val="000000" w:themeColor="text1" w:themeTint="FF" w:themeShade="FF"/>
          <w:sz w:val="24"/>
          <w:szCs w:val="24"/>
          <w:lang w:val="en-US"/>
        </w:rPr>
        <w:t>E</w:t>
      </w:r>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ach group were tested between 0-30 days, 0-15 days and 15-30 days. The results were published were at 0-30 days, the CP group scored p=0.013 and Mulligan group scored p=0.013. The results were also published at 0-15 days however only for the Maitland group who scored p=0.001 and Mulligan groups results were p=0.004. The paper suggests that </w:t>
      </w:r>
      <w:r w:rsidRPr="44C0871E" w:rsidR="34F40440">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the CP and </w:t>
      </w:r>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Mulligan</w:t>
      </w:r>
      <w:r w:rsidRPr="44C0871E" w:rsidR="5333563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group</w:t>
      </w:r>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is the best at reducing scores on the NPRS</w:t>
      </w:r>
      <w:r w:rsidRPr="44C0871E" w:rsidR="4E520E00">
        <w:rPr>
          <w:rFonts w:ascii="Times New Roman" w:hAnsi="Times New Roman" w:eastAsia="Times New Roman" w:cs="Times New Roman"/>
          <w:b w:val="0"/>
          <w:bCs w:val="0"/>
          <w:i w:val="0"/>
          <w:iCs w:val="0"/>
          <w:noProof w:val="0"/>
          <w:color w:val="000000" w:themeColor="text1" w:themeTint="FF" w:themeShade="FF"/>
          <w:sz w:val="24"/>
          <w:szCs w:val="24"/>
          <w:lang w:val="en-US"/>
        </w:rPr>
        <w:t>,</w:t>
      </w:r>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however from the results published there is a stronger significant difference in the CP and Maitland group. A drawback of the results is that the same testing data for each group is not all published which does not allow for a clear conclusion to be drawn.</w:t>
      </w:r>
    </w:p>
    <w:p w:rsidRPr="00A406E5" w:rsidR="0029197D" w:rsidP="44C0871E" w:rsidRDefault="0029197D" w14:paraId="387EAAAD" w14:textId="60384E9F">
      <w:pPr>
        <w:spacing w:after="160" w:line="36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Samir, Zak and Soliman (2016) also performed a research study comparing Mulligan and Maitland </w:t>
      </w:r>
      <w:proofErr w:type="spellStart"/>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mobilisations</w:t>
      </w:r>
      <w:proofErr w:type="spellEnd"/>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on patients with chronic lower back dysfunction. The study included 30 participants split into two groups, the first group received Mulligan </w:t>
      </w:r>
      <w:proofErr w:type="spellStart"/>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mobilisations</w:t>
      </w:r>
      <w:proofErr w:type="spellEnd"/>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with movement at L4-5 spinous process, the second group received a posterior-anterior Maitland </w:t>
      </w:r>
      <w:proofErr w:type="spellStart"/>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mobilisation</w:t>
      </w:r>
      <w:proofErr w:type="spellEnd"/>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at L4-L5 both groups also received conventional physiotherapy and received treatment 10 times for 12 sessions on every other day for 4 weeks. The results found a significant reduction in the visual analogue scale score in both groups each score a significance value of p=0.000 when being compared pre-and post-treatment, however, there was no significant difference when comparing the two groups pre-treatment p=0.204 and post-treatment p=0.053 showing that both treatment methods where equally significantly effective at reducing a patients VAS pain score. The drawbacks of this study are that there is no detail about the methods used to perform both the Milligan and Maitland treatments also no prescriptions for either </w:t>
      </w:r>
      <w:proofErr w:type="spellStart"/>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mobilisation</w:t>
      </w:r>
      <w:proofErr w:type="spellEnd"/>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there was also no grade identified in the Maitland treatment</w:t>
      </w:r>
      <w:r w:rsidRPr="44C0871E" w:rsidR="68CA1536">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There was also no control group </w:t>
      </w:r>
      <w:r w:rsidRPr="44C0871E" w:rsidR="46BAC459">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which is needed to be able to </w:t>
      </w:r>
      <w:r w:rsidRPr="44C0871E" w:rsidR="48155771">
        <w:rPr>
          <w:rFonts w:ascii="Times New Roman" w:hAnsi="Times New Roman" w:eastAsia="Times New Roman" w:cs="Times New Roman"/>
          <w:b w:val="0"/>
          <w:bCs w:val="0"/>
          <w:i w:val="0"/>
          <w:iCs w:val="0"/>
          <w:noProof w:val="0"/>
          <w:color w:val="000000" w:themeColor="text1" w:themeTint="FF" w:themeShade="FF"/>
          <w:sz w:val="24"/>
          <w:szCs w:val="24"/>
          <w:lang w:val="en-US"/>
        </w:rPr>
        <w:t>compare</w:t>
      </w:r>
      <w:r w:rsidRPr="44C0871E" w:rsidR="46BAC459">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the intervention to and allows the </w:t>
      </w:r>
      <w:r w:rsidRPr="44C0871E" w:rsidR="61D474D9">
        <w:rPr>
          <w:rFonts w:ascii="Times New Roman" w:hAnsi="Times New Roman" w:eastAsia="Times New Roman" w:cs="Times New Roman"/>
          <w:b w:val="0"/>
          <w:bCs w:val="0"/>
          <w:i w:val="0"/>
          <w:iCs w:val="0"/>
          <w:noProof w:val="0"/>
          <w:color w:val="000000" w:themeColor="text1" w:themeTint="FF" w:themeShade="FF"/>
          <w:sz w:val="24"/>
          <w:szCs w:val="24"/>
          <w:lang w:val="en-US"/>
        </w:rPr>
        <w:t>elimination</w:t>
      </w:r>
      <w:r w:rsidRPr="44C0871E" w:rsidR="46BAC459">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and </w:t>
      </w:r>
      <w:r w:rsidRPr="44C0871E" w:rsidR="6744D3B1">
        <w:rPr>
          <w:rFonts w:ascii="Times New Roman" w:hAnsi="Times New Roman" w:eastAsia="Times New Roman" w:cs="Times New Roman"/>
          <w:b w:val="0"/>
          <w:bCs w:val="0"/>
          <w:i w:val="0"/>
          <w:iCs w:val="0"/>
          <w:noProof w:val="0"/>
          <w:color w:val="000000" w:themeColor="text1" w:themeTint="FF" w:themeShade="FF"/>
          <w:sz w:val="24"/>
          <w:szCs w:val="24"/>
          <w:lang w:val="en-US"/>
        </w:rPr>
        <w:t>isolation</w:t>
      </w:r>
      <w:r w:rsidRPr="44C0871E" w:rsidR="2767CA0A">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of any </w:t>
      </w:r>
      <w:r w:rsidRPr="44C0871E" w:rsidR="051E8AA1">
        <w:rPr>
          <w:rFonts w:ascii="Times New Roman" w:hAnsi="Times New Roman" w:eastAsia="Times New Roman" w:cs="Times New Roman"/>
          <w:b w:val="0"/>
          <w:bCs w:val="0"/>
          <w:i w:val="0"/>
          <w:iCs w:val="0"/>
          <w:noProof w:val="0"/>
          <w:color w:val="000000" w:themeColor="text1" w:themeTint="FF" w:themeShade="FF"/>
          <w:sz w:val="24"/>
          <w:szCs w:val="24"/>
          <w:lang w:val="en-US"/>
        </w:rPr>
        <w:t>variables</w:t>
      </w:r>
      <w:r w:rsidRPr="44C0871E" w:rsidR="2767CA0A">
        <w:rPr>
          <w:rFonts w:ascii="Times New Roman" w:hAnsi="Times New Roman" w:eastAsia="Times New Roman" w:cs="Times New Roman"/>
          <w:b w:val="0"/>
          <w:bCs w:val="0"/>
          <w:i w:val="0"/>
          <w:iCs w:val="0"/>
          <w:noProof w:val="0"/>
          <w:color w:val="000000" w:themeColor="text1" w:themeTint="FF" w:themeShade="FF"/>
          <w:sz w:val="24"/>
          <w:szCs w:val="24"/>
          <w:lang w:val="en-US"/>
        </w:rPr>
        <w:t>,</w:t>
      </w:r>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these strong drawbacks make the studies meth</w:t>
      </w:r>
      <w:r w:rsidRPr="44C0871E" w:rsidR="69BD1002">
        <w:rPr>
          <w:rFonts w:ascii="Times New Roman" w:hAnsi="Times New Roman" w:eastAsia="Times New Roman" w:cs="Times New Roman"/>
          <w:b w:val="0"/>
          <w:bCs w:val="0"/>
          <w:i w:val="0"/>
          <w:iCs w:val="0"/>
          <w:noProof w:val="0"/>
          <w:color w:val="000000" w:themeColor="text1" w:themeTint="FF" w:themeShade="FF"/>
          <w:sz w:val="24"/>
          <w:szCs w:val="24"/>
          <w:lang w:val="en-US"/>
        </w:rPr>
        <w:t>od</w:t>
      </w:r>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44C0871E" w:rsidR="6F9F7444">
        <w:rPr>
          <w:rFonts w:ascii="Times New Roman" w:hAnsi="Times New Roman" w:eastAsia="Times New Roman" w:cs="Times New Roman"/>
          <w:b w:val="0"/>
          <w:bCs w:val="0"/>
          <w:i w:val="0"/>
          <w:iCs w:val="0"/>
          <w:noProof w:val="0"/>
          <w:color w:val="000000" w:themeColor="text1" w:themeTint="FF" w:themeShade="FF"/>
          <w:sz w:val="24"/>
          <w:szCs w:val="24"/>
          <w:lang w:val="en-US"/>
        </w:rPr>
        <w:t>unrepeatable</w:t>
      </w:r>
      <w:r w:rsidRPr="44C0871E" w:rsidR="1E059E90">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and </w:t>
      </w:r>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unreliable</w:t>
      </w:r>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w:t>
      </w:r>
    </w:p>
    <w:p w:rsidRPr="00A406E5" w:rsidR="0029197D" w:rsidP="799089E6" w:rsidRDefault="0029197D" w14:paraId="0D106CAA" w14:textId="383C2F93">
      <w:pPr>
        <w:spacing w:after="160" w:line="36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Deepa, Dabholkar and Yardi (2014) researched into the comparison of Maitland </w:t>
      </w:r>
      <w:proofErr w:type="spellStart"/>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mobilisation</w:t>
      </w:r>
      <w:proofErr w:type="spellEnd"/>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with deep neck flexor (DNF) endurance training against DNF endurance training on its own in patients with mechanical neck pain. The DNF endurance treatment was given with the use of a pressure biofeedback device which was inflated to 20 mmHg and the participant was asked to move into flexion to a rise of 2 mmHg and hold for a contraction of 10 seconds for 3 sets and was increased at the end of every week until 30 mmHg could be held. The Maitland group included a posterior-anterior </w:t>
      </w:r>
      <w:proofErr w:type="spellStart"/>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mobilisation</w:t>
      </w:r>
      <w:proofErr w:type="spellEnd"/>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of the upper thoracic (T1-T5) spine at grade I or II, he however if the pain reduced then they were progressed to grade III or IV. A drawback to this method is that there is no defined grade being used this means that the treatment being given is not reliable, also there are no prescriptions for the </w:t>
      </w:r>
      <w:proofErr w:type="spellStart"/>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mobilisations</w:t>
      </w:r>
      <w:proofErr w:type="spellEnd"/>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given therefore </w:t>
      </w:r>
      <w:proofErr w:type="gramStart"/>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can not</w:t>
      </w:r>
      <w:proofErr w:type="gramEnd"/>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be replicated. Another drawback is that the treatment is on two different areas of the spine the cervical and thoracic this means that in the Maitland group more mechanoreceptors are being stimulated which may cause a greater reduction in pain. The results found a significant decrease in NPRS between pre-and post-intervention in the Maitland group with a p-value of p=0.00 and found a significant decrease in the DNF endurance-trained group of p=0.00. In post-intervention testing, there was also found to have a significant difference between the two groups NPRS scores of p=0.000. From these results, the paper concluded that Maitland </w:t>
      </w:r>
      <w:proofErr w:type="spellStart"/>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mobilisations</w:t>
      </w:r>
      <w:proofErr w:type="spellEnd"/>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complemented with DNF endurance training is significantly more effective compared to only DNF endurance training. It is suggested that patients with neck pain also have altered motor control of the muscles in the neck, in both the deep muscles including longus </w:t>
      </w:r>
      <w:proofErr w:type="spellStart"/>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capitus</w:t>
      </w:r>
      <w:proofErr w:type="spellEnd"/>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and longus </w:t>
      </w:r>
      <w:proofErr w:type="spellStart"/>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colli</w:t>
      </w:r>
      <w:proofErr w:type="spellEnd"/>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and the superficial muscles including anterior scalenes and sternocleidomastoid</w:t>
      </w:r>
      <w:r w:rsidRPr="799089E6" w:rsidR="550F2171">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w:t>
      </w:r>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Johnston </w:t>
      </w:r>
      <w:r w:rsidRPr="799089E6" w:rsidR="2F24B3AD">
        <w:rPr>
          <w:rFonts w:ascii="Times New Roman" w:hAnsi="Times New Roman" w:eastAsia="Times New Roman" w:cs="Times New Roman"/>
          <w:b w:val="0"/>
          <w:bCs w:val="0"/>
          <w:i w:val="1"/>
          <w:iCs w:val="1"/>
          <w:noProof w:val="0"/>
          <w:color w:val="000000" w:themeColor="text1" w:themeTint="FF" w:themeShade="FF"/>
          <w:sz w:val="24"/>
          <w:szCs w:val="24"/>
          <w:lang w:val="en-US"/>
        </w:rPr>
        <w:t>et al</w:t>
      </w:r>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2008; Jull, O'leary and Falla, 2008). This altered motor control leads to reduced activity of the deep flexors and overuse of the superficial flexors (Johnston </w:t>
      </w:r>
      <w:r w:rsidRPr="799089E6" w:rsidR="2F24B3AD">
        <w:rPr>
          <w:rFonts w:ascii="Times New Roman" w:hAnsi="Times New Roman" w:eastAsia="Times New Roman" w:cs="Times New Roman"/>
          <w:b w:val="0"/>
          <w:bCs w:val="0"/>
          <w:i w:val="1"/>
          <w:iCs w:val="1"/>
          <w:noProof w:val="0"/>
          <w:color w:val="000000" w:themeColor="text1" w:themeTint="FF" w:themeShade="FF"/>
          <w:sz w:val="24"/>
          <w:szCs w:val="24"/>
          <w:lang w:val="en-US"/>
        </w:rPr>
        <w:t>et al</w:t>
      </w:r>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2008; Jull, O'leary and Falla, 2008). This then leads to an exaggeration of altered postures which puts further stress on the supporting structures leading to increased pain (Johnston </w:t>
      </w:r>
      <w:r w:rsidRPr="799089E6" w:rsidR="2F24B3AD">
        <w:rPr>
          <w:rFonts w:ascii="Times New Roman" w:hAnsi="Times New Roman" w:eastAsia="Times New Roman" w:cs="Times New Roman"/>
          <w:b w:val="0"/>
          <w:bCs w:val="0"/>
          <w:i w:val="1"/>
          <w:iCs w:val="1"/>
          <w:noProof w:val="0"/>
          <w:color w:val="000000" w:themeColor="text1" w:themeTint="FF" w:themeShade="FF"/>
          <w:sz w:val="24"/>
          <w:szCs w:val="24"/>
          <w:lang w:val="en-US"/>
        </w:rPr>
        <w:t>et al</w:t>
      </w:r>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2008; Jull, O'leary and Falla, 2008).</w:t>
      </w:r>
      <w:r>
        <w:br/>
      </w:r>
    </w:p>
    <w:p w:rsidRPr="00A406E5" w:rsidR="0029197D" w:rsidP="799089E6" w:rsidRDefault="0029197D" w14:paraId="16BAE567" w14:textId="456E7697">
      <w:pPr>
        <w:spacing w:after="160" w:line="360" w:lineRule="auto"/>
        <w:jc w:val="left"/>
        <w:rPr>
          <w:rFonts w:ascii="Times New Roman" w:hAnsi="Times New Roman" w:eastAsia="Times New Roman" w:cs="Times New Roman"/>
          <w:b w:val="0"/>
          <w:bCs w:val="0"/>
          <w:i w:val="0"/>
          <w:iCs w:val="0"/>
          <w:noProof w:val="0"/>
          <w:color w:val="000000" w:themeColor="text1" w:themeTint="FF" w:themeShade="FF"/>
          <w:sz w:val="28"/>
          <w:szCs w:val="28"/>
          <w:u w:val="none"/>
          <w:lang w:val="en-US"/>
        </w:rPr>
      </w:pPr>
      <w:r w:rsidRPr="44C0871E" w:rsidR="7B09BC07">
        <w:rPr>
          <w:rFonts w:ascii="Times New Roman" w:hAnsi="Times New Roman" w:eastAsia="Times New Roman" w:cs="Times New Roman"/>
          <w:b w:val="0"/>
          <w:bCs w:val="0"/>
          <w:i w:val="0"/>
          <w:iCs w:val="0"/>
          <w:noProof w:val="0"/>
          <w:color w:val="000000" w:themeColor="text1" w:themeTint="FF" w:themeShade="FF"/>
          <w:sz w:val="28"/>
          <w:szCs w:val="28"/>
          <w:u w:val="none"/>
          <w:lang w:val="en-US"/>
        </w:rPr>
        <w:t>My conclusion</w:t>
      </w:r>
    </w:p>
    <w:p w:rsidR="44C0871E" w:rsidP="44C0871E" w:rsidRDefault="44C0871E" w14:paraId="6F894058" w14:textId="11BE2091">
      <w:pPr>
        <w:pStyle w:val="Normal"/>
        <w:spacing w:after="160" w:line="36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p>
    <w:p w:rsidRPr="00A406E5" w:rsidR="0029197D" w:rsidP="44C0871E" w:rsidRDefault="0029197D" w14:paraId="38B21EEB" w14:textId="366C2AD6">
      <w:pPr>
        <w:pStyle w:val="Normal"/>
        <w:spacing w:after="160" w:line="36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I believe Maitland </w:t>
      </w:r>
      <w:proofErr w:type="spellStart"/>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mobilisation</w:t>
      </w:r>
      <w:proofErr w:type="spellEnd"/>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techniques are an effective complementary treatment modality to reduce pain only when coupled with another treatment method. The paper discussed by Abe, </w:t>
      </w:r>
      <w:proofErr w:type="spellStart"/>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Tozim</w:t>
      </w:r>
      <w:proofErr w:type="spellEnd"/>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and </w:t>
      </w:r>
      <w:proofErr w:type="spellStart"/>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Navega</w:t>
      </w:r>
      <w:proofErr w:type="spellEnd"/>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(2015) found a non-significant reduction in pain with Maitland </w:t>
      </w:r>
      <w:proofErr w:type="spellStart"/>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mobilisations</w:t>
      </w:r>
      <w:proofErr w:type="spellEnd"/>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being the only treatment method, this suggests that Maitland </w:t>
      </w:r>
      <w:proofErr w:type="spellStart"/>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mobilisations</w:t>
      </w:r>
      <w:proofErr w:type="spellEnd"/>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are not effective in its proposed effects of reducing pain via stimulation of the pain gate theory (</w:t>
      </w:r>
      <w:proofErr w:type="spellStart"/>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Melzack</w:t>
      </w:r>
      <w:proofErr w:type="spellEnd"/>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and Wall 1965). Gautam </w:t>
      </w:r>
      <w:r w:rsidRPr="44C0871E" w:rsidR="2F24B3AD">
        <w:rPr>
          <w:rFonts w:ascii="Times New Roman" w:hAnsi="Times New Roman" w:eastAsia="Times New Roman" w:cs="Times New Roman"/>
          <w:b w:val="0"/>
          <w:bCs w:val="0"/>
          <w:i w:val="1"/>
          <w:iCs w:val="1"/>
          <w:noProof w:val="0"/>
          <w:color w:val="000000" w:themeColor="text1" w:themeTint="FF" w:themeShade="FF"/>
          <w:sz w:val="24"/>
          <w:szCs w:val="24"/>
          <w:lang w:val="en-US"/>
        </w:rPr>
        <w:t>et al</w:t>
      </w:r>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(2014) found a significant reduction in pain however this is complemented with CP the same is true in Deepa, Dabholkar and Yardi (2014) research which found a significant difference in pain with a complemented treatment of DNF endurance training. Both studies found a significant reduction in pain also in the control groups receiving CP and DNF endurance training this suggests that these types of training are as effective at reducing pain on their own can be become more effective with the addition of the Maitland </w:t>
      </w:r>
      <w:proofErr w:type="spellStart"/>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mobilisations</w:t>
      </w:r>
      <w:proofErr w:type="spellEnd"/>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Mulligan </w:t>
      </w:r>
      <w:proofErr w:type="spellStart"/>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mobilisations</w:t>
      </w:r>
      <w:proofErr w:type="spellEnd"/>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complemented with CP</w:t>
      </w:r>
      <w:r w:rsidRPr="44C0871E" w:rsidR="5621B48A">
        <w:rPr>
          <w:rFonts w:ascii="Times New Roman" w:hAnsi="Times New Roman" w:eastAsia="Times New Roman" w:cs="Times New Roman"/>
          <w:b w:val="0"/>
          <w:bCs w:val="0"/>
          <w:i w:val="0"/>
          <w:iCs w:val="0"/>
          <w:noProof w:val="0"/>
          <w:color w:val="000000" w:themeColor="text1" w:themeTint="FF" w:themeShade="FF"/>
          <w:sz w:val="24"/>
          <w:szCs w:val="24"/>
          <w:lang w:val="en-US"/>
        </w:rPr>
        <w:t>,</w:t>
      </w:r>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have been found to be as effective and, in some cases, more effective when compared to Maitland, this suggests that Mulligan </w:t>
      </w:r>
      <w:proofErr w:type="spellStart"/>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mobilisations</w:t>
      </w:r>
      <w:proofErr w:type="spellEnd"/>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should be used as a priority treatment before Maitland (Deepa, Dabholkar and Yardi, 2014</w:t>
      </w:r>
      <w:r w:rsidRPr="44C0871E" w:rsidR="030BD531">
        <w:rPr>
          <w:rFonts w:ascii="Times New Roman" w:hAnsi="Times New Roman" w:eastAsia="Times New Roman" w:cs="Times New Roman"/>
          <w:b w:val="0"/>
          <w:bCs w:val="0"/>
          <w:i w:val="0"/>
          <w:iCs w:val="0"/>
          <w:noProof w:val="0"/>
          <w:color w:val="000000" w:themeColor="text1" w:themeTint="FF" w:themeShade="FF"/>
          <w:sz w:val="24"/>
          <w:szCs w:val="24"/>
          <w:lang w:val="en-US"/>
        </w:rPr>
        <w:t>; Samir, Zak and Soliman., 2016</w:t>
      </w:r>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However, from the published research there are many faults either in the methods carried out or in the analysis of results and discussion, therefore these results </w:t>
      </w:r>
      <w:proofErr w:type="gramStart"/>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can not</w:t>
      </w:r>
      <w:proofErr w:type="gramEnd"/>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be taken as concrete evidence and require further research into the subject matter with improved regulations of methods for reliability and repeatability. There is evidence that Maitland </w:t>
      </w:r>
      <w:proofErr w:type="spellStart"/>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mobilisations</w:t>
      </w:r>
      <w:proofErr w:type="spellEnd"/>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with conventual treatments can reduce pain however there is little evidence to show that the proposed effects occur and there are no other ways in which pain is reduced for example </w:t>
      </w:r>
      <w:r w:rsidRPr="44C0871E" w:rsidR="59C97F6F">
        <w:rPr>
          <w:rFonts w:ascii="Times New Roman" w:hAnsi="Times New Roman" w:eastAsia="Times New Roman" w:cs="Times New Roman"/>
          <w:b w:val="0"/>
          <w:bCs w:val="0"/>
          <w:i w:val="0"/>
          <w:iCs w:val="0"/>
          <w:noProof w:val="0"/>
          <w:color w:val="000000" w:themeColor="text1" w:themeTint="FF" w:themeShade="FF"/>
          <w:sz w:val="24"/>
          <w:szCs w:val="24"/>
          <w:lang w:val="en-US"/>
        </w:rPr>
        <w:t>psychologically</w:t>
      </w:r>
      <w:r w:rsidRPr="44C0871E"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w:t>
      </w:r>
    </w:p>
    <w:p w:rsidRPr="00A406E5" w:rsidR="0029197D" w:rsidP="799089E6" w:rsidRDefault="0029197D" w14:paraId="071E8C91" w14:textId="14019D58">
      <w:pPr>
        <w:spacing w:after="160" w:line="36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Therefore, I would choose to use a more effective treatment method, for example, Mulligan's </w:t>
      </w:r>
      <w:proofErr w:type="spellStart"/>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mobilisation</w:t>
      </w:r>
      <w:proofErr w:type="spellEnd"/>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before using a Maitland </w:t>
      </w:r>
      <w:proofErr w:type="spellStart"/>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mobilisation</w:t>
      </w:r>
      <w:proofErr w:type="spellEnd"/>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in order to reduce a patient's pain and would also look to use a complementary treatment, for example, DNF endurance training for patients with neck pain or CP for thoracic, lumbar and sacrum pain. </w:t>
      </w:r>
    </w:p>
    <w:p w:rsidRPr="00A406E5" w:rsidR="0029197D" w:rsidP="799089E6" w:rsidRDefault="0029197D" w14:paraId="61375543" w14:textId="3DED6490">
      <w:pPr>
        <w:spacing w:after="160" w:line="360" w:lineRule="auto"/>
        <w:jc w:val="center"/>
        <w:rPr>
          <w:rFonts w:ascii="Times New Roman" w:hAnsi="Times New Roman" w:eastAsia="Times New Roman" w:cs="Times New Roman"/>
          <w:b w:val="0"/>
          <w:bCs w:val="0"/>
          <w:i w:val="0"/>
          <w:iCs w:val="0"/>
          <w:noProof w:val="0"/>
          <w:color w:val="000000" w:themeColor="text1" w:themeTint="FF" w:themeShade="FF"/>
          <w:sz w:val="24"/>
          <w:szCs w:val="24"/>
          <w:lang w:val="en-US"/>
        </w:rPr>
      </w:pPr>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Word count 2,1</w:t>
      </w:r>
      <w:r w:rsidRPr="799089E6" w:rsidR="69F7E654">
        <w:rPr>
          <w:rFonts w:ascii="Times New Roman" w:hAnsi="Times New Roman" w:eastAsia="Times New Roman" w:cs="Times New Roman"/>
          <w:b w:val="0"/>
          <w:bCs w:val="0"/>
          <w:i w:val="0"/>
          <w:iCs w:val="0"/>
          <w:noProof w:val="0"/>
          <w:color w:val="000000" w:themeColor="text1" w:themeTint="FF" w:themeShade="FF"/>
          <w:sz w:val="24"/>
          <w:szCs w:val="24"/>
          <w:lang w:val="en-US"/>
        </w:rPr>
        <w:t>23</w:t>
      </w:r>
    </w:p>
    <w:p w:rsidRPr="00A406E5" w:rsidR="0029197D" w:rsidP="799089E6" w:rsidRDefault="0029197D" w14:paraId="2D48E0D7" w14:textId="06904C8C">
      <w:pPr>
        <w:spacing w:after="160" w:line="360" w:lineRule="auto"/>
        <w:jc w:val="both"/>
        <w:rPr>
          <w:rFonts w:ascii="Times New Roman" w:hAnsi="Times New Roman" w:eastAsia="Times New Roman" w:cs="Times New Roman"/>
          <w:b w:val="0"/>
          <w:bCs w:val="0"/>
          <w:i w:val="0"/>
          <w:iCs w:val="0"/>
          <w:noProof w:val="0"/>
          <w:color w:val="000000" w:themeColor="text1" w:themeTint="FF" w:themeShade="FF"/>
          <w:sz w:val="28"/>
          <w:szCs w:val="28"/>
          <w:lang w:val="en-GB"/>
        </w:rPr>
      </w:pPr>
      <w:r w:rsidRPr="44C0871E" w:rsidR="2F24B3AD">
        <w:rPr>
          <w:rFonts w:ascii="Times New Roman" w:hAnsi="Times New Roman" w:eastAsia="Times New Roman" w:cs="Times New Roman"/>
          <w:b w:val="0"/>
          <w:bCs w:val="0"/>
          <w:i w:val="0"/>
          <w:iCs w:val="0"/>
          <w:noProof w:val="0"/>
          <w:color w:val="000000" w:themeColor="text1" w:themeTint="FF" w:themeShade="FF"/>
          <w:sz w:val="28"/>
          <w:szCs w:val="28"/>
          <w:lang w:val="en-US"/>
        </w:rPr>
        <w:t>Reference List</w:t>
      </w:r>
    </w:p>
    <w:p w:rsidR="44C0871E" w:rsidP="44C0871E" w:rsidRDefault="44C0871E" w14:paraId="0BBEB3A6" w14:textId="40E7065F">
      <w:pPr>
        <w:spacing w:after="160" w:line="36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US"/>
        </w:rPr>
      </w:pPr>
    </w:p>
    <w:p w:rsidRPr="00A406E5" w:rsidR="0029197D" w:rsidP="799089E6" w:rsidRDefault="0029197D" w14:paraId="1FAA2E17" w14:textId="32CD6475">
      <w:pPr>
        <w:spacing w:after="160" w:line="36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Abe, K.Y., </w:t>
      </w:r>
      <w:proofErr w:type="spellStart"/>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Tozim</w:t>
      </w:r>
      <w:proofErr w:type="spellEnd"/>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B.M. and </w:t>
      </w:r>
      <w:proofErr w:type="spellStart"/>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Navega</w:t>
      </w:r>
      <w:proofErr w:type="spellEnd"/>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M.T., (2015). ‘Acute effects of Maitland’s central posteroanterior mobilization on youth with low back pain’. </w:t>
      </w:r>
      <w:r w:rsidRPr="799089E6" w:rsidR="2F24B3AD">
        <w:rPr>
          <w:rFonts w:ascii="Times New Roman" w:hAnsi="Times New Roman" w:eastAsia="Times New Roman" w:cs="Times New Roman"/>
          <w:b w:val="0"/>
          <w:bCs w:val="0"/>
          <w:i w:val="1"/>
          <w:iCs w:val="1"/>
          <w:noProof w:val="0"/>
          <w:color w:val="000000" w:themeColor="text1" w:themeTint="FF" w:themeShade="FF"/>
          <w:sz w:val="24"/>
          <w:szCs w:val="24"/>
          <w:lang w:val="en-US"/>
        </w:rPr>
        <w:t xml:space="preserve">Manual Therapy, </w:t>
      </w:r>
      <w:proofErr w:type="spellStart"/>
      <w:r w:rsidRPr="799089E6" w:rsidR="2F24B3AD">
        <w:rPr>
          <w:rFonts w:ascii="Times New Roman" w:hAnsi="Times New Roman" w:eastAsia="Times New Roman" w:cs="Times New Roman"/>
          <w:b w:val="0"/>
          <w:bCs w:val="0"/>
          <w:i w:val="1"/>
          <w:iCs w:val="1"/>
          <w:noProof w:val="0"/>
          <w:color w:val="000000" w:themeColor="text1" w:themeTint="FF" w:themeShade="FF"/>
          <w:sz w:val="24"/>
          <w:szCs w:val="24"/>
          <w:lang w:val="en-US"/>
        </w:rPr>
        <w:t>Posturology</w:t>
      </w:r>
      <w:proofErr w:type="spellEnd"/>
      <w:r w:rsidRPr="799089E6" w:rsidR="2F24B3AD">
        <w:rPr>
          <w:rFonts w:ascii="Times New Roman" w:hAnsi="Times New Roman" w:eastAsia="Times New Roman" w:cs="Times New Roman"/>
          <w:b w:val="0"/>
          <w:bCs w:val="0"/>
          <w:i w:val="1"/>
          <w:iCs w:val="1"/>
          <w:noProof w:val="0"/>
          <w:color w:val="000000" w:themeColor="text1" w:themeTint="FF" w:themeShade="FF"/>
          <w:sz w:val="24"/>
          <w:szCs w:val="24"/>
          <w:lang w:val="en-US"/>
        </w:rPr>
        <w:t xml:space="preserve"> &amp; Rehabilitation Journal</w:t>
      </w:r>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pp.1-5.</w:t>
      </w:r>
    </w:p>
    <w:p w:rsidRPr="00A406E5" w:rsidR="0029197D" w:rsidP="799089E6" w:rsidRDefault="0029197D" w14:paraId="699F8EDF" w14:textId="2BD7FD3A">
      <w:pPr>
        <w:spacing w:after="160" w:line="36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Almeida, T.F., </w:t>
      </w:r>
      <w:proofErr w:type="spellStart"/>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Roizenblatt</w:t>
      </w:r>
      <w:proofErr w:type="spellEnd"/>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S. and Tufik, S., (2004).</w:t>
      </w:r>
      <w:r w:rsidRPr="799089E6" w:rsidR="33CC3CF7">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‘Afferent pain pathways: a neuroanatomical review’. </w:t>
      </w:r>
      <w:r w:rsidRPr="799089E6" w:rsidR="2F24B3AD">
        <w:rPr>
          <w:rFonts w:ascii="Times New Roman" w:hAnsi="Times New Roman" w:eastAsia="Times New Roman" w:cs="Times New Roman"/>
          <w:b w:val="0"/>
          <w:bCs w:val="0"/>
          <w:i w:val="1"/>
          <w:iCs w:val="1"/>
          <w:noProof w:val="0"/>
          <w:color w:val="000000" w:themeColor="text1" w:themeTint="FF" w:themeShade="FF"/>
          <w:sz w:val="24"/>
          <w:szCs w:val="24"/>
          <w:lang w:val="en-US"/>
        </w:rPr>
        <w:t>Brain Research</w:t>
      </w:r>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1000(1-2), pp.40-56. </w:t>
      </w:r>
    </w:p>
    <w:p w:rsidRPr="00A406E5" w:rsidR="0029197D" w:rsidP="799089E6" w:rsidRDefault="0029197D" w14:paraId="4AAEF02E" w14:textId="59280D4C">
      <w:pPr>
        <w:spacing w:after="160" w:line="36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Cristea, I.A. and Ioannidis, J.P., (2018). ‘P values in display items are ubiquitous and almost invariably significant: A survey of top science </w:t>
      </w:r>
      <w:proofErr w:type="gramStart"/>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journals’</w:t>
      </w:r>
      <w:proofErr w:type="gramEnd"/>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proofErr w:type="spellStart"/>
      <w:r w:rsidRPr="799089E6" w:rsidR="2F24B3AD">
        <w:rPr>
          <w:rFonts w:ascii="Times New Roman" w:hAnsi="Times New Roman" w:eastAsia="Times New Roman" w:cs="Times New Roman"/>
          <w:b w:val="0"/>
          <w:bCs w:val="0"/>
          <w:i w:val="1"/>
          <w:iCs w:val="1"/>
          <w:noProof w:val="0"/>
          <w:color w:val="000000" w:themeColor="text1" w:themeTint="FF" w:themeShade="FF"/>
          <w:sz w:val="24"/>
          <w:szCs w:val="24"/>
          <w:lang w:val="en-US"/>
        </w:rPr>
        <w:t>PloS</w:t>
      </w:r>
      <w:proofErr w:type="spellEnd"/>
      <w:r w:rsidRPr="799089E6" w:rsidR="2F24B3AD">
        <w:rPr>
          <w:rFonts w:ascii="Times New Roman" w:hAnsi="Times New Roman" w:eastAsia="Times New Roman" w:cs="Times New Roman"/>
          <w:b w:val="0"/>
          <w:bCs w:val="0"/>
          <w:i w:val="1"/>
          <w:iCs w:val="1"/>
          <w:noProof w:val="0"/>
          <w:color w:val="000000" w:themeColor="text1" w:themeTint="FF" w:themeShade="FF"/>
          <w:sz w:val="24"/>
          <w:szCs w:val="24"/>
          <w:lang w:val="en-US"/>
        </w:rPr>
        <w:t xml:space="preserve"> One</w:t>
      </w:r>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13(5), p.e0197440.</w:t>
      </w:r>
    </w:p>
    <w:p w:rsidRPr="00A406E5" w:rsidR="0029197D" w:rsidP="799089E6" w:rsidRDefault="0029197D" w14:paraId="619A521C" w14:textId="362AE952">
      <w:pPr>
        <w:spacing w:after="160" w:line="36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Deepa, A., Dabholkar, T.Y. and Yardi, S., (2014). ‘Comparison of the efficacy of Maitland thoracic mobilization and deep neck flexor endurance training versus only deep neck flexor endurance training in patients with mechanical neck pain’. </w:t>
      </w:r>
      <w:r w:rsidRPr="799089E6" w:rsidR="2F24B3AD">
        <w:rPr>
          <w:rFonts w:ascii="Times New Roman" w:hAnsi="Times New Roman" w:eastAsia="Times New Roman" w:cs="Times New Roman"/>
          <w:b w:val="0"/>
          <w:bCs w:val="0"/>
          <w:i w:val="1"/>
          <w:iCs w:val="1"/>
          <w:noProof w:val="0"/>
          <w:color w:val="000000" w:themeColor="text1" w:themeTint="FF" w:themeShade="FF"/>
          <w:sz w:val="24"/>
          <w:szCs w:val="24"/>
          <w:lang w:val="en-US"/>
        </w:rPr>
        <w:t>Indian Journal of Physiotherapy and Occupational Therapy</w:t>
      </w:r>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8(3), p.77.</w:t>
      </w:r>
    </w:p>
    <w:p w:rsidRPr="00A406E5" w:rsidR="0029197D" w:rsidP="799089E6" w:rsidRDefault="0029197D" w14:paraId="19195D96" w14:textId="27662686">
      <w:pPr>
        <w:spacing w:after="160" w:line="36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Dubin, A.E. and </w:t>
      </w:r>
      <w:proofErr w:type="spellStart"/>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Patapoutian</w:t>
      </w:r>
      <w:proofErr w:type="spellEnd"/>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 (2010). ‘Nociceptors: the sensors of the pain pathway’. </w:t>
      </w:r>
      <w:r w:rsidRPr="799089E6" w:rsidR="2F24B3AD">
        <w:rPr>
          <w:rFonts w:ascii="Times New Roman" w:hAnsi="Times New Roman" w:eastAsia="Times New Roman" w:cs="Times New Roman"/>
          <w:b w:val="0"/>
          <w:bCs w:val="0"/>
          <w:i w:val="1"/>
          <w:iCs w:val="1"/>
          <w:noProof w:val="0"/>
          <w:color w:val="000000" w:themeColor="text1" w:themeTint="FF" w:themeShade="FF"/>
          <w:sz w:val="24"/>
          <w:szCs w:val="24"/>
          <w:lang w:val="en-US"/>
        </w:rPr>
        <w:t>The Journal of Clinical Investigation</w:t>
      </w:r>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120(11), pp.3760-3772.</w:t>
      </w:r>
    </w:p>
    <w:p w:rsidRPr="00A406E5" w:rsidR="0029197D" w:rsidP="799089E6" w:rsidRDefault="0029197D" w14:paraId="33AABB21" w14:textId="6DBE006A">
      <w:pPr>
        <w:spacing w:after="160" w:line="36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Gautam, R., Dhamija, J.K., Puri, A., Trivedi, P., </w:t>
      </w:r>
      <w:proofErr w:type="spellStart"/>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Sathiyavani</w:t>
      </w:r>
      <w:proofErr w:type="spellEnd"/>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D. and Nambi, G., (2014). ‘Comparison of Maitland and Mulligan mobilization in improving neck pain, ROM and disability’. </w:t>
      </w:r>
      <w:r w:rsidRPr="799089E6" w:rsidR="2F24B3AD">
        <w:rPr>
          <w:rFonts w:ascii="Times New Roman" w:hAnsi="Times New Roman" w:eastAsia="Times New Roman" w:cs="Times New Roman"/>
          <w:b w:val="0"/>
          <w:bCs w:val="0"/>
          <w:i w:val="1"/>
          <w:iCs w:val="1"/>
          <w:noProof w:val="0"/>
          <w:color w:val="000000" w:themeColor="text1" w:themeTint="FF" w:themeShade="FF"/>
          <w:sz w:val="24"/>
          <w:szCs w:val="24"/>
          <w:lang w:val="en-US"/>
        </w:rPr>
        <w:t>International Journal of Physiotherapy and Research</w:t>
      </w:r>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2(3), pp.561-6.</w:t>
      </w:r>
    </w:p>
    <w:p w:rsidRPr="00A406E5" w:rsidR="0029197D" w:rsidP="799089E6" w:rsidRDefault="0029197D" w14:paraId="5D358346" w14:textId="58600286">
      <w:pPr>
        <w:spacing w:after="160" w:line="36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US"/>
        </w:rPr>
      </w:pPr>
      <w:r w:rsidRPr="799089E6" w:rsidR="0FDEE036">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Hengeveld, E and Banks, K., (2014). </w:t>
      </w:r>
      <w:r w:rsidRPr="799089E6" w:rsidR="0FDEE036">
        <w:rPr>
          <w:rFonts w:ascii="Times New Roman" w:hAnsi="Times New Roman" w:eastAsia="Times New Roman" w:cs="Times New Roman"/>
          <w:b w:val="0"/>
          <w:bCs w:val="0"/>
          <w:i w:val="1"/>
          <w:iCs w:val="1"/>
          <w:noProof w:val="0"/>
          <w:color w:val="000000" w:themeColor="text1" w:themeTint="FF" w:themeShade="FF"/>
          <w:sz w:val="24"/>
          <w:szCs w:val="24"/>
          <w:lang w:val="en-US"/>
        </w:rPr>
        <w:t xml:space="preserve">Maitland Vertebral Manipulation. </w:t>
      </w:r>
      <w:r w:rsidRPr="799089E6" w:rsidR="0FDEE036">
        <w:rPr>
          <w:rFonts w:ascii="Times New Roman" w:hAnsi="Times New Roman" w:eastAsia="Times New Roman" w:cs="Times New Roman"/>
          <w:b w:val="0"/>
          <w:bCs w:val="0"/>
          <w:i w:val="0"/>
          <w:iCs w:val="0"/>
          <w:noProof w:val="0"/>
          <w:color w:val="000000" w:themeColor="text1" w:themeTint="FF" w:themeShade="FF"/>
          <w:sz w:val="24"/>
          <w:szCs w:val="24"/>
          <w:lang w:val="en-US"/>
        </w:rPr>
        <w:t>5</w:t>
      </w:r>
      <w:r w:rsidRPr="799089E6" w:rsidR="0FDEE036">
        <w:rPr>
          <w:rFonts w:ascii="Times New Roman" w:hAnsi="Times New Roman" w:eastAsia="Times New Roman" w:cs="Times New Roman"/>
          <w:b w:val="0"/>
          <w:bCs w:val="0"/>
          <w:i w:val="0"/>
          <w:iCs w:val="0"/>
          <w:noProof w:val="0"/>
          <w:color w:val="000000" w:themeColor="text1" w:themeTint="FF" w:themeShade="FF"/>
          <w:sz w:val="24"/>
          <w:szCs w:val="24"/>
          <w:vertAlign w:val="baseline"/>
          <w:lang w:val="en-US"/>
        </w:rPr>
        <w:t>th</w:t>
      </w:r>
      <w:r w:rsidRPr="799089E6" w:rsidR="423ACAC1">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proofErr w:type="spellStart"/>
      <w:r w:rsidRPr="799089E6" w:rsidR="423ACAC1">
        <w:rPr>
          <w:rFonts w:ascii="Times New Roman" w:hAnsi="Times New Roman" w:eastAsia="Times New Roman" w:cs="Times New Roman"/>
          <w:b w:val="0"/>
          <w:bCs w:val="0"/>
          <w:i w:val="0"/>
          <w:iCs w:val="0"/>
          <w:noProof w:val="0"/>
          <w:color w:val="000000" w:themeColor="text1" w:themeTint="FF" w:themeShade="FF"/>
          <w:sz w:val="24"/>
          <w:szCs w:val="24"/>
          <w:lang w:val="en-US"/>
        </w:rPr>
        <w:t>e</w:t>
      </w:r>
      <w:r w:rsidRPr="799089E6" w:rsidR="6BF6EB0F">
        <w:rPr>
          <w:rFonts w:ascii="Times New Roman" w:hAnsi="Times New Roman" w:eastAsia="Times New Roman" w:cs="Times New Roman"/>
          <w:b w:val="0"/>
          <w:bCs w:val="0"/>
          <w:i w:val="0"/>
          <w:iCs w:val="0"/>
          <w:noProof w:val="0"/>
          <w:color w:val="000000" w:themeColor="text1" w:themeTint="FF" w:themeShade="FF"/>
          <w:sz w:val="24"/>
          <w:szCs w:val="24"/>
          <w:lang w:val="en-US"/>
        </w:rPr>
        <w:t>dn</w:t>
      </w:r>
      <w:proofErr w:type="spellEnd"/>
      <w:r w:rsidRPr="799089E6" w:rsidR="6BF6EB0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Edinburgh: </w:t>
      </w:r>
      <w:proofErr w:type="spellStart"/>
      <w:r w:rsidRPr="799089E6" w:rsidR="6BF6EB0F">
        <w:rPr>
          <w:rFonts w:ascii="Times New Roman" w:hAnsi="Times New Roman" w:eastAsia="Times New Roman" w:cs="Times New Roman"/>
          <w:b w:val="0"/>
          <w:bCs w:val="0"/>
          <w:i w:val="0"/>
          <w:iCs w:val="0"/>
          <w:noProof w:val="0"/>
          <w:color w:val="000000" w:themeColor="text1" w:themeTint="FF" w:themeShade="FF"/>
          <w:sz w:val="24"/>
          <w:szCs w:val="24"/>
          <w:lang w:val="en-US"/>
        </w:rPr>
        <w:t>Churchhill</w:t>
      </w:r>
      <w:proofErr w:type="spellEnd"/>
      <w:r w:rsidRPr="799089E6" w:rsidR="6BF6EB0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Livingstone Elsevier.</w:t>
      </w:r>
    </w:p>
    <w:p w:rsidRPr="00A406E5" w:rsidR="0029197D" w:rsidP="799089E6" w:rsidRDefault="0029197D" w14:paraId="30D3E3F1" w14:textId="7F8FC7C4">
      <w:pPr>
        <w:spacing w:after="160" w:line="36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Johnston, V., Jull, G., Darnell, R., </w:t>
      </w:r>
      <w:proofErr w:type="spellStart"/>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Jimmieson</w:t>
      </w:r>
      <w:proofErr w:type="spellEnd"/>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N.L. and </w:t>
      </w:r>
      <w:proofErr w:type="spellStart"/>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Souvlis</w:t>
      </w:r>
      <w:proofErr w:type="spellEnd"/>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T., (2008). ‘Alterations in cervical muscle activity in functional and stressful tasks in female office workers with neck pain’. </w:t>
      </w:r>
      <w:r w:rsidRPr="799089E6" w:rsidR="2F24B3AD">
        <w:rPr>
          <w:rFonts w:ascii="Times New Roman" w:hAnsi="Times New Roman" w:eastAsia="Times New Roman" w:cs="Times New Roman"/>
          <w:b w:val="0"/>
          <w:bCs w:val="0"/>
          <w:i w:val="1"/>
          <w:iCs w:val="1"/>
          <w:noProof w:val="0"/>
          <w:color w:val="000000" w:themeColor="text1" w:themeTint="FF" w:themeShade="FF"/>
          <w:sz w:val="24"/>
          <w:szCs w:val="24"/>
          <w:lang w:val="en-US"/>
        </w:rPr>
        <w:t>European Journal of Applied Physiology</w:t>
      </w:r>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103(3), pp.253-264.</w:t>
      </w:r>
    </w:p>
    <w:p w:rsidRPr="00A406E5" w:rsidR="0029197D" w:rsidP="799089E6" w:rsidRDefault="0029197D" w14:paraId="5AC90AC1" w14:textId="65DF012D">
      <w:pPr>
        <w:spacing w:after="160" w:line="36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Jull, G.A., O'leary, S.P. and Falla, D.L., (2008). ‘Clinical assessment of the deep cervical flexor muscles: the </w:t>
      </w:r>
      <w:proofErr w:type="spellStart"/>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craniocervical</w:t>
      </w:r>
      <w:proofErr w:type="spellEnd"/>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flexion test’. </w:t>
      </w:r>
      <w:r w:rsidRPr="799089E6" w:rsidR="2F24B3AD">
        <w:rPr>
          <w:rFonts w:ascii="Times New Roman" w:hAnsi="Times New Roman" w:eastAsia="Times New Roman" w:cs="Times New Roman"/>
          <w:b w:val="0"/>
          <w:bCs w:val="0"/>
          <w:i w:val="1"/>
          <w:iCs w:val="1"/>
          <w:noProof w:val="0"/>
          <w:color w:val="000000" w:themeColor="text1" w:themeTint="FF" w:themeShade="FF"/>
          <w:sz w:val="24"/>
          <w:szCs w:val="24"/>
          <w:lang w:val="en-US"/>
        </w:rPr>
        <w:t>Journal of Manipulative and Physiological Therapeutics</w:t>
      </w:r>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31(7), pp.525-533.</w:t>
      </w:r>
    </w:p>
    <w:p w:rsidRPr="00A406E5" w:rsidR="0029197D" w:rsidP="51DE9C60" w:rsidRDefault="0029197D" w14:paraId="7083D6DF" w14:textId="7AD01AAC">
      <w:pPr>
        <w:spacing w:after="160" w:line="36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51DE9C60"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Kwon, M., Altin, M., Duenas, H. and Alev, L., (2014). ‘The role of descending inhibitory pathways on chronic pain modulation and clinical </w:t>
      </w:r>
      <w:proofErr w:type="gramStart"/>
      <w:r w:rsidRPr="51DE9C60"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implications’</w:t>
      </w:r>
      <w:proofErr w:type="gramEnd"/>
      <w:r w:rsidRPr="51DE9C60"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51DE9C60" w:rsidR="2F24B3AD">
        <w:rPr>
          <w:rFonts w:ascii="Times New Roman" w:hAnsi="Times New Roman" w:eastAsia="Times New Roman" w:cs="Times New Roman"/>
          <w:b w:val="0"/>
          <w:bCs w:val="0"/>
          <w:i w:val="1"/>
          <w:iCs w:val="1"/>
          <w:noProof w:val="0"/>
          <w:color w:val="000000" w:themeColor="text1" w:themeTint="FF" w:themeShade="FF"/>
          <w:sz w:val="24"/>
          <w:szCs w:val="24"/>
          <w:lang w:val="en-US"/>
        </w:rPr>
        <w:t>Pain Practice</w:t>
      </w:r>
      <w:r w:rsidRPr="51DE9C60"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14(7), pp.656-667.</w:t>
      </w:r>
    </w:p>
    <w:p w:rsidR="4656A2E4" w:rsidP="51DE9C60" w:rsidRDefault="4656A2E4" w14:paraId="3E9B95E3" w14:textId="63D824EE">
      <w:pPr>
        <w:pStyle w:val="Normal"/>
        <w:spacing w:after="160" w:line="36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US"/>
        </w:rPr>
      </w:pPr>
      <w:r w:rsidRPr="51DE9C60" w:rsidR="4656A2E4">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Lau, B.K. and Vaughan, C.W., (2014). ‘Descending modulation of pain: the GABA disinhibition hypothesis of analgesia’. </w:t>
      </w:r>
      <w:r w:rsidRPr="51DE9C60" w:rsidR="4656A2E4">
        <w:rPr>
          <w:rFonts w:ascii="Times New Roman" w:hAnsi="Times New Roman" w:eastAsia="Times New Roman" w:cs="Times New Roman"/>
          <w:b w:val="0"/>
          <w:bCs w:val="0"/>
          <w:i w:val="1"/>
          <w:iCs w:val="1"/>
          <w:noProof w:val="0"/>
          <w:color w:val="000000" w:themeColor="text1" w:themeTint="FF" w:themeShade="FF"/>
          <w:sz w:val="24"/>
          <w:szCs w:val="24"/>
          <w:lang w:val="en-US"/>
        </w:rPr>
        <w:t>Current Opinion in Neurobiology</w:t>
      </w:r>
      <w:r w:rsidRPr="51DE9C60" w:rsidR="4656A2E4">
        <w:rPr>
          <w:rFonts w:ascii="Times New Roman" w:hAnsi="Times New Roman" w:eastAsia="Times New Roman" w:cs="Times New Roman"/>
          <w:b w:val="0"/>
          <w:bCs w:val="0"/>
          <w:i w:val="0"/>
          <w:iCs w:val="0"/>
          <w:noProof w:val="0"/>
          <w:color w:val="000000" w:themeColor="text1" w:themeTint="FF" w:themeShade="FF"/>
          <w:sz w:val="24"/>
          <w:szCs w:val="24"/>
          <w:lang w:val="en-US"/>
        </w:rPr>
        <w:t>, 29, pp.159-164.</w:t>
      </w:r>
    </w:p>
    <w:p w:rsidRPr="00A406E5" w:rsidR="0029197D" w:rsidP="799089E6" w:rsidRDefault="0029197D" w14:paraId="0C79E330" w14:textId="1F5923E7">
      <w:pPr>
        <w:spacing w:after="160" w:line="36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Mangus, B.C., Hoffman, L.A., Hoffman, M.A. and Altenburger, P., (2002). ‘Basic principles of extremity joint mobilization using a </w:t>
      </w:r>
      <w:proofErr w:type="spellStart"/>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Kaltenborn</w:t>
      </w:r>
      <w:proofErr w:type="spellEnd"/>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approach’. </w:t>
      </w:r>
      <w:r w:rsidRPr="799089E6" w:rsidR="2F24B3AD">
        <w:rPr>
          <w:rFonts w:ascii="Times New Roman" w:hAnsi="Times New Roman" w:eastAsia="Times New Roman" w:cs="Times New Roman"/>
          <w:b w:val="0"/>
          <w:bCs w:val="0"/>
          <w:i w:val="1"/>
          <w:iCs w:val="1"/>
          <w:noProof w:val="0"/>
          <w:color w:val="000000" w:themeColor="text1" w:themeTint="FF" w:themeShade="FF"/>
          <w:sz w:val="24"/>
          <w:szCs w:val="24"/>
          <w:lang w:val="en-US"/>
        </w:rPr>
        <w:t>Journal of Sport Rehabilitation</w:t>
      </w:r>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11(4), pp.235-250.</w:t>
      </w:r>
    </w:p>
    <w:p w:rsidRPr="00A406E5" w:rsidR="0029197D" w:rsidP="799089E6" w:rsidRDefault="0029197D" w14:paraId="7461E5D4" w14:textId="40441141">
      <w:pPr>
        <w:spacing w:after="160" w:line="36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McShane, B.B., Gal, D., Gelman, A., Robert, C. and Tackett, J.L., (2019). ‘Abandon statistical significance’. </w:t>
      </w:r>
      <w:r w:rsidRPr="799089E6" w:rsidR="2F24B3AD">
        <w:rPr>
          <w:rFonts w:ascii="Times New Roman" w:hAnsi="Times New Roman" w:eastAsia="Times New Roman" w:cs="Times New Roman"/>
          <w:b w:val="0"/>
          <w:bCs w:val="0"/>
          <w:i w:val="1"/>
          <w:iCs w:val="1"/>
          <w:noProof w:val="0"/>
          <w:color w:val="000000" w:themeColor="text1" w:themeTint="FF" w:themeShade="FF"/>
          <w:sz w:val="24"/>
          <w:szCs w:val="24"/>
          <w:lang w:val="en-US"/>
        </w:rPr>
        <w:t>The American Statistician</w:t>
      </w:r>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73(sup1), pp.235-245.</w:t>
      </w:r>
    </w:p>
    <w:p w:rsidRPr="00A406E5" w:rsidR="0029197D" w:rsidP="799089E6" w:rsidRDefault="0029197D" w14:paraId="48B6168E" w14:textId="5C462B84">
      <w:pPr>
        <w:spacing w:after="160" w:line="36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proofErr w:type="spellStart"/>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Melzack</w:t>
      </w:r>
      <w:proofErr w:type="spellEnd"/>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R. and Wall, P.D., (1965). ‘Pain mechanisms: a new theory’. </w:t>
      </w:r>
      <w:r w:rsidRPr="799089E6" w:rsidR="2F24B3AD">
        <w:rPr>
          <w:rFonts w:ascii="Times New Roman" w:hAnsi="Times New Roman" w:eastAsia="Times New Roman" w:cs="Times New Roman"/>
          <w:b w:val="0"/>
          <w:bCs w:val="0"/>
          <w:i w:val="1"/>
          <w:iCs w:val="1"/>
          <w:noProof w:val="0"/>
          <w:color w:val="000000" w:themeColor="text1" w:themeTint="FF" w:themeShade="FF"/>
          <w:sz w:val="24"/>
          <w:szCs w:val="24"/>
          <w:lang w:val="en-US"/>
        </w:rPr>
        <w:t>Science</w:t>
      </w:r>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150(3699), pp.971-979.</w:t>
      </w:r>
    </w:p>
    <w:p w:rsidRPr="00A406E5" w:rsidR="0029197D" w:rsidP="799089E6" w:rsidRDefault="0029197D" w14:paraId="6311428D" w14:textId="75C07BFB">
      <w:pPr>
        <w:spacing w:after="160" w:line="36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Mendell, L.M., (2014). ‘Constructing and deconstructing the gate theory of pain’. </w:t>
      </w:r>
      <w:r w:rsidRPr="799089E6" w:rsidR="2F24B3AD">
        <w:rPr>
          <w:rFonts w:ascii="Times New Roman" w:hAnsi="Times New Roman" w:eastAsia="Times New Roman" w:cs="Times New Roman"/>
          <w:b w:val="0"/>
          <w:bCs w:val="0"/>
          <w:i w:val="1"/>
          <w:iCs w:val="1"/>
          <w:noProof w:val="0"/>
          <w:color w:val="000000" w:themeColor="text1" w:themeTint="FF" w:themeShade="FF"/>
          <w:sz w:val="24"/>
          <w:szCs w:val="24"/>
          <w:lang w:val="en-US"/>
        </w:rPr>
        <w:t>Pain</w:t>
      </w:r>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155(2), pp.210-216.</w:t>
      </w:r>
    </w:p>
    <w:p w:rsidRPr="00A406E5" w:rsidR="0029197D" w:rsidP="799089E6" w:rsidRDefault="0029197D" w14:paraId="1AD09A0C" w14:textId="29012407">
      <w:pPr>
        <w:spacing w:after="160" w:line="36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proofErr w:type="spellStart"/>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Neumans</w:t>
      </w:r>
      <w:proofErr w:type="spellEnd"/>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D., (2017) </w:t>
      </w:r>
      <w:r w:rsidRPr="799089E6" w:rsidR="2F24B3AD">
        <w:rPr>
          <w:rFonts w:ascii="Times New Roman" w:hAnsi="Times New Roman" w:eastAsia="Times New Roman" w:cs="Times New Roman"/>
          <w:b w:val="0"/>
          <w:bCs w:val="0"/>
          <w:i w:val="1"/>
          <w:iCs w:val="1"/>
          <w:noProof w:val="0"/>
          <w:color w:val="000000" w:themeColor="text1" w:themeTint="FF" w:themeShade="FF"/>
          <w:sz w:val="24"/>
          <w:szCs w:val="24"/>
          <w:lang w:val="en-US"/>
        </w:rPr>
        <w:t>Kinesiology of the Musculoskeletal System</w:t>
      </w:r>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3rd </w:t>
      </w:r>
      <w:proofErr w:type="spellStart"/>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edn</w:t>
      </w:r>
      <w:proofErr w:type="spellEnd"/>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Canada: Elsevier.</w:t>
      </w:r>
    </w:p>
    <w:p w:rsidRPr="00A406E5" w:rsidR="0029197D" w:rsidP="799089E6" w:rsidRDefault="0029197D" w14:paraId="62ABEC6D" w14:textId="0F9ADE07">
      <w:pPr>
        <w:spacing w:after="160" w:line="36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Samir, S.M., Zak, Y.L.A. and Soliman, M.O., (2016). ‘Mulligan versus Maitland mobilizations in patients with chronic low back dysfunction’. </w:t>
      </w:r>
      <w:r w:rsidRPr="799089E6" w:rsidR="2F24B3AD">
        <w:rPr>
          <w:rFonts w:ascii="Times New Roman" w:hAnsi="Times New Roman" w:eastAsia="Times New Roman" w:cs="Times New Roman"/>
          <w:b w:val="0"/>
          <w:bCs w:val="0"/>
          <w:i w:val="1"/>
          <w:iCs w:val="1"/>
          <w:noProof w:val="0"/>
          <w:color w:val="000000" w:themeColor="text1" w:themeTint="FF" w:themeShade="FF"/>
          <w:sz w:val="24"/>
          <w:szCs w:val="24"/>
          <w:lang w:val="en-US"/>
        </w:rPr>
        <w:t xml:space="preserve">International Journal of </w:t>
      </w:r>
      <w:proofErr w:type="spellStart"/>
      <w:r w:rsidRPr="799089E6" w:rsidR="2F24B3AD">
        <w:rPr>
          <w:rFonts w:ascii="Times New Roman" w:hAnsi="Times New Roman" w:eastAsia="Times New Roman" w:cs="Times New Roman"/>
          <w:b w:val="0"/>
          <w:bCs w:val="0"/>
          <w:i w:val="1"/>
          <w:iCs w:val="1"/>
          <w:noProof w:val="0"/>
          <w:color w:val="000000" w:themeColor="text1" w:themeTint="FF" w:themeShade="FF"/>
          <w:sz w:val="24"/>
          <w:szCs w:val="24"/>
          <w:lang w:val="en-US"/>
        </w:rPr>
        <w:t>PharmTech</w:t>
      </w:r>
      <w:proofErr w:type="spellEnd"/>
      <w:r w:rsidRPr="799089E6" w:rsidR="2F24B3AD">
        <w:rPr>
          <w:rFonts w:ascii="Times New Roman" w:hAnsi="Times New Roman" w:eastAsia="Times New Roman" w:cs="Times New Roman"/>
          <w:b w:val="0"/>
          <w:bCs w:val="0"/>
          <w:i w:val="1"/>
          <w:iCs w:val="1"/>
          <w:noProof w:val="0"/>
          <w:color w:val="000000" w:themeColor="text1" w:themeTint="FF" w:themeShade="FF"/>
          <w:sz w:val="24"/>
          <w:szCs w:val="24"/>
          <w:lang w:val="en-US"/>
        </w:rPr>
        <w:t xml:space="preserve"> Research</w:t>
      </w:r>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9, pp.92-9.</w:t>
      </w:r>
    </w:p>
    <w:p w:rsidRPr="00A406E5" w:rsidR="0029197D" w:rsidP="799089E6" w:rsidRDefault="0029197D" w14:paraId="187EA413" w14:textId="4D142E4E">
      <w:pPr>
        <w:spacing w:after="160" w:line="36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proofErr w:type="spellStart"/>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Schomacher</w:t>
      </w:r>
      <w:proofErr w:type="spellEnd"/>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J., (2009). 'The convex-concave rule and the aner law'. </w:t>
      </w:r>
      <w:r w:rsidRPr="799089E6" w:rsidR="2F24B3AD">
        <w:rPr>
          <w:rFonts w:ascii="Times New Roman" w:hAnsi="Times New Roman" w:eastAsia="Times New Roman" w:cs="Times New Roman"/>
          <w:b w:val="0"/>
          <w:bCs w:val="0"/>
          <w:i w:val="1"/>
          <w:iCs w:val="1"/>
          <w:noProof w:val="0"/>
          <w:color w:val="000000" w:themeColor="text1" w:themeTint="FF" w:themeShade="FF"/>
          <w:sz w:val="24"/>
          <w:szCs w:val="24"/>
          <w:lang w:val="en-US"/>
        </w:rPr>
        <w:t>Manual Therapy</w:t>
      </w:r>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14(5), p.579.</w:t>
      </w:r>
    </w:p>
    <w:p w:rsidRPr="00A406E5" w:rsidR="0029197D" w:rsidP="799089E6" w:rsidRDefault="0029197D" w14:paraId="72D4B3C7" w14:textId="45D28373">
      <w:pPr>
        <w:spacing w:after="160" w:line="36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Steeds, C.E., (2009). ‘The anatomy and physiology of pain’. </w:t>
      </w:r>
      <w:r w:rsidRPr="799089E6" w:rsidR="2F24B3AD">
        <w:rPr>
          <w:rFonts w:ascii="Times New Roman" w:hAnsi="Times New Roman" w:eastAsia="Times New Roman" w:cs="Times New Roman"/>
          <w:b w:val="0"/>
          <w:bCs w:val="0"/>
          <w:i w:val="1"/>
          <w:iCs w:val="1"/>
          <w:noProof w:val="0"/>
          <w:color w:val="000000" w:themeColor="text1" w:themeTint="FF" w:themeShade="FF"/>
          <w:sz w:val="24"/>
          <w:szCs w:val="24"/>
          <w:lang w:val="en-US"/>
        </w:rPr>
        <w:t>Surgery</w:t>
      </w:r>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27(12), pp.507-511.</w:t>
      </w:r>
    </w:p>
    <w:p w:rsidRPr="00A406E5" w:rsidR="0029197D" w:rsidP="799089E6" w:rsidRDefault="0029197D" w14:paraId="675739AE" w14:textId="194ED4C3">
      <w:pPr>
        <w:spacing w:after="160" w:line="36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US"/>
        </w:rPr>
      </w:pPr>
      <w:proofErr w:type="spellStart"/>
      <w:r w:rsidRPr="799089E6" w:rsidR="7EA67C19">
        <w:rPr>
          <w:rFonts w:ascii="Times New Roman" w:hAnsi="Times New Roman" w:eastAsia="Times New Roman" w:cs="Times New Roman"/>
          <w:b w:val="0"/>
          <w:bCs w:val="0"/>
          <w:i w:val="0"/>
          <w:iCs w:val="0"/>
          <w:noProof w:val="0"/>
          <w:color w:val="000000" w:themeColor="text1" w:themeTint="FF" w:themeShade="FF"/>
          <w:sz w:val="24"/>
          <w:szCs w:val="24"/>
          <w:lang w:val="en-US"/>
        </w:rPr>
        <w:t>Tobaldini</w:t>
      </w:r>
      <w:proofErr w:type="spellEnd"/>
      <w:r w:rsidRPr="799089E6" w:rsidR="7EA67C19">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G., Sardi, N.F., </w:t>
      </w:r>
      <w:proofErr w:type="spellStart"/>
      <w:r w:rsidRPr="799089E6" w:rsidR="7EA67C19">
        <w:rPr>
          <w:rFonts w:ascii="Times New Roman" w:hAnsi="Times New Roman" w:eastAsia="Times New Roman" w:cs="Times New Roman"/>
          <w:b w:val="0"/>
          <w:bCs w:val="0"/>
          <w:i w:val="0"/>
          <w:iCs w:val="0"/>
          <w:noProof w:val="0"/>
          <w:color w:val="000000" w:themeColor="text1" w:themeTint="FF" w:themeShade="FF"/>
          <w:sz w:val="24"/>
          <w:szCs w:val="24"/>
          <w:lang w:val="en-US"/>
        </w:rPr>
        <w:t>Guilhen</w:t>
      </w:r>
      <w:proofErr w:type="spellEnd"/>
      <w:r w:rsidRPr="799089E6" w:rsidR="7EA67C19">
        <w:rPr>
          <w:rFonts w:ascii="Times New Roman" w:hAnsi="Times New Roman" w:eastAsia="Times New Roman" w:cs="Times New Roman"/>
          <w:b w:val="0"/>
          <w:bCs w:val="0"/>
          <w:i w:val="0"/>
          <w:iCs w:val="0"/>
          <w:noProof w:val="0"/>
          <w:color w:val="000000" w:themeColor="text1" w:themeTint="FF" w:themeShade="FF"/>
          <w:sz w:val="24"/>
          <w:szCs w:val="24"/>
          <w:lang w:val="en-US"/>
        </w:rPr>
        <w:t>, V.A. and Fisher, L., (2019). ‘Pain inhibits pain: an ascending-de</w:t>
      </w:r>
      <w:r w:rsidRPr="799089E6" w:rsidR="75057DF6">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scending pain modulation pathway linking mesolimbic and classical descending </w:t>
      </w:r>
      <w:proofErr w:type="gramStart"/>
      <w:r w:rsidRPr="799089E6" w:rsidR="75057DF6">
        <w:rPr>
          <w:rFonts w:ascii="Times New Roman" w:hAnsi="Times New Roman" w:eastAsia="Times New Roman" w:cs="Times New Roman"/>
          <w:b w:val="0"/>
          <w:bCs w:val="0"/>
          <w:i w:val="0"/>
          <w:iCs w:val="0"/>
          <w:noProof w:val="0"/>
          <w:color w:val="000000" w:themeColor="text1" w:themeTint="FF" w:themeShade="FF"/>
          <w:sz w:val="24"/>
          <w:szCs w:val="24"/>
          <w:lang w:val="en-US"/>
        </w:rPr>
        <w:t>mechanisms’</w:t>
      </w:r>
      <w:proofErr w:type="gramEnd"/>
      <w:r w:rsidRPr="799089E6" w:rsidR="75057DF6">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799089E6" w:rsidR="75057DF6">
        <w:rPr>
          <w:rFonts w:ascii="Times New Roman" w:hAnsi="Times New Roman" w:eastAsia="Times New Roman" w:cs="Times New Roman"/>
          <w:b w:val="0"/>
          <w:bCs w:val="0"/>
          <w:i w:val="1"/>
          <w:iCs w:val="1"/>
          <w:noProof w:val="0"/>
          <w:color w:val="000000" w:themeColor="text1" w:themeTint="FF" w:themeShade="FF"/>
          <w:sz w:val="24"/>
          <w:szCs w:val="24"/>
          <w:lang w:val="en-US"/>
        </w:rPr>
        <w:t>Molecular Neurobiology</w:t>
      </w:r>
      <w:r w:rsidRPr="799089E6" w:rsidR="75057DF6">
        <w:rPr>
          <w:rFonts w:ascii="Times New Roman" w:hAnsi="Times New Roman" w:eastAsia="Times New Roman" w:cs="Times New Roman"/>
          <w:b w:val="0"/>
          <w:bCs w:val="0"/>
          <w:i w:val="0"/>
          <w:iCs w:val="0"/>
          <w:noProof w:val="0"/>
          <w:color w:val="000000" w:themeColor="text1" w:themeTint="FF" w:themeShade="FF"/>
          <w:sz w:val="24"/>
          <w:szCs w:val="24"/>
          <w:lang w:val="en-US"/>
        </w:rPr>
        <w:t>, 5</w:t>
      </w:r>
      <w:r w:rsidRPr="799089E6" w:rsidR="1C9DD3E4">
        <w:rPr>
          <w:rFonts w:ascii="Times New Roman" w:hAnsi="Times New Roman" w:eastAsia="Times New Roman" w:cs="Times New Roman"/>
          <w:b w:val="0"/>
          <w:bCs w:val="0"/>
          <w:i w:val="0"/>
          <w:iCs w:val="0"/>
          <w:noProof w:val="0"/>
          <w:color w:val="000000" w:themeColor="text1" w:themeTint="FF" w:themeShade="FF"/>
          <w:sz w:val="24"/>
          <w:szCs w:val="24"/>
          <w:lang w:val="en-US"/>
        </w:rPr>
        <w:t>6(2), pp.1000-1013.</w:t>
      </w:r>
    </w:p>
    <w:p w:rsidRPr="00A406E5" w:rsidR="0029197D" w:rsidP="799089E6" w:rsidRDefault="0029197D" w14:paraId="1C4A1307" w14:textId="602FF1ED">
      <w:pPr>
        <w:spacing w:after="160" w:line="36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Todd, A.J., (2010). ‘Neuronal circuitry for pain processing in the dorsal horn’. </w:t>
      </w:r>
      <w:r w:rsidRPr="799089E6" w:rsidR="2F24B3AD">
        <w:rPr>
          <w:rFonts w:ascii="Times New Roman" w:hAnsi="Times New Roman" w:eastAsia="Times New Roman" w:cs="Times New Roman"/>
          <w:b w:val="0"/>
          <w:bCs w:val="0"/>
          <w:i w:val="1"/>
          <w:iCs w:val="1"/>
          <w:noProof w:val="0"/>
          <w:color w:val="000000" w:themeColor="text1" w:themeTint="FF" w:themeShade="FF"/>
          <w:sz w:val="24"/>
          <w:szCs w:val="24"/>
          <w:lang w:val="en-US"/>
        </w:rPr>
        <w:t>Nature Reviews Neuroscience</w:t>
      </w:r>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11(12), pp.823-836.</w:t>
      </w:r>
    </w:p>
    <w:p w:rsidRPr="00A406E5" w:rsidR="0029197D" w:rsidP="799089E6" w:rsidRDefault="0029197D" w14:paraId="07525E36" w14:textId="6806FFB9">
      <w:pPr>
        <w:spacing w:after="160" w:line="36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Yam, M.F., Loh, Y.C., Tan, C.S., Khadijah Adam, S., Abdul Manan, N. and Basir, R., (2018). ‘General pathways of pain sensation and the major neurotransmitters involved in pain regulation’. </w:t>
      </w:r>
      <w:r w:rsidRPr="799089E6" w:rsidR="2F24B3AD">
        <w:rPr>
          <w:rFonts w:ascii="Times New Roman" w:hAnsi="Times New Roman" w:eastAsia="Times New Roman" w:cs="Times New Roman"/>
          <w:b w:val="0"/>
          <w:bCs w:val="0"/>
          <w:i w:val="1"/>
          <w:iCs w:val="1"/>
          <w:noProof w:val="0"/>
          <w:color w:val="000000" w:themeColor="text1" w:themeTint="FF" w:themeShade="FF"/>
          <w:sz w:val="24"/>
          <w:szCs w:val="24"/>
          <w:lang w:val="en-US"/>
        </w:rPr>
        <w:t xml:space="preserve">International Journal </w:t>
      </w:r>
      <w:proofErr w:type="gramStart"/>
      <w:r w:rsidRPr="799089E6" w:rsidR="2F24B3AD">
        <w:rPr>
          <w:rFonts w:ascii="Times New Roman" w:hAnsi="Times New Roman" w:eastAsia="Times New Roman" w:cs="Times New Roman"/>
          <w:b w:val="0"/>
          <w:bCs w:val="0"/>
          <w:i w:val="1"/>
          <w:iCs w:val="1"/>
          <w:noProof w:val="0"/>
          <w:color w:val="000000" w:themeColor="text1" w:themeTint="FF" w:themeShade="FF"/>
          <w:sz w:val="24"/>
          <w:szCs w:val="24"/>
          <w:lang w:val="en-US"/>
        </w:rPr>
        <w:t>Of</w:t>
      </w:r>
      <w:proofErr w:type="gramEnd"/>
      <w:r w:rsidRPr="799089E6" w:rsidR="2F24B3AD">
        <w:rPr>
          <w:rFonts w:ascii="Times New Roman" w:hAnsi="Times New Roman" w:eastAsia="Times New Roman" w:cs="Times New Roman"/>
          <w:b w:val="0"/>
          <w:bCs w:val="0"/>
          <w:i w:val="1"/>
          <w:iCs w:val="1"/>
          <w:noProof w:val="0"/>
          <w:color w:val="000000" w:themeColor="text1" w:themeTint="FF" w:themeShade="FF"/>
          <w:sz w:val="24"/>
          <w:szCs w:val="24"/>
          <w:lang w:val="en-US"/>
        </w:rPr>
        <w:t xml:space="preserve"> Molecular Sciences</w:t>
      </w:r>
      <w:r w:rsidRPr="799089E6" w:rsidR="2F24B3AD">
        <w:rPr>
          <w:rFonts w:ascii="Times New Roman" w:hAnsi="Times New Roman" w:eastAsia="Times New Roman" w:cs="Times New Roman"/>
          <w:b w:val="0"/>
          <w:bCs w:val="0"/>
          <w:i w:val="0"/>
          <w:iCs w:val="0"/>
          <w:noProof w:val="0"/>
          <w:color w:val="000000" w:themeColor="text1" w:themeTint="FF" w:themeShade="FF"/>
          <w:sz w:val="24"/>
          <w:szCs w:val="24"/>
          <w:lang w:val="en-US"/>
        </w:rPr>
        <w:t>, 19(8), p.2164.</w:t>
      </w:r>
    </w:p>
    <w:p w:rsidRPr="00A406E5" w:rsidR="0029197D" w:rsidP="799089E6" w:rsidRDefault="0029197D" w14:paraId="6BBA329F" w14:textId="4BC862D4">
      <w:pPr>
        <w:pStyle w:val="Normal"/>
        <w:spacing w:line="360" w:lineRule="auto"/>
        <w:rPr>
          <w:rFonts w:ascii="Times New Roman" w:hAnsi="Times New Roman" w:eastAsia="Times New Roman" w:cs="Times New Roman"/>
          <w:vanish/>
          <w:sz w:val="24"/>
          <w:szCs w:val="24"/>
        </w:rPr>
      </w:pPr>
    </w:p>
    <w:sectPr w:rsidRPr="00A406E5" w:rsidR="0029197D" w:rsidSect="004A2695">
      <w:type w:val="continuous"/>
      <w:pgSz w:w="11894" w:h="16834" w:orient="portrait"/>
      <w:pgMar w:top="720" w:right="720" w:bottom="720" w:left="720" w:header="706" w:footer="706" w:gutter="0"/>
      <w:paperSrc w:first="1" w:other="1"/>
      <w:cols w:space="720"/>
      <w:headerReference w:type="default" r:id="R3948c56f6c3b400b"/>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4A2695" w14:paraId="334B068E" w14:textId="77777777">
      <w:r>
        <w:separator/>
      </w:r>
    </w:p>
  </w:endnote>
  <w:endnote w:type="continuationSeparator" w:id="0">
    <w:p w:rsidR="00000000" w:rsidRDefault="004A2695" w14:paraId="42976D73"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799089E6" w:rsidP="799089E6" w:rsidRDefault="799089E6" w14:paraId="0C256A5B" w14:textId="4CD2D01B">
    <w:pPr>
      <w:pStyle w:val="Footer"/>
      <w:jc w:val="right"/>
    </w:pPr>
    <w:r>
      <w:fldChar w:fldCharType="begin"/>
    </w:r>
    <w:r>
      <w:instrText xml:space="preserve">PAGE</w:instrText>
    </w:r>
    <w:r>
      <w:fldChar w:fldCharType="separate"/>
    </w:r>
    <w:r>
      <w:fldChar w:fldCharType="end"/>
    </w:r>
  </w:p>
  <w:p w:rsidR="00152E9D" w:rsidRDefault="0029197D" w14:paraId="0989A78B" w14:textId="351F8A6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4A2695">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4A2695">
      <w:rPr>
        <w:b/>
        <w:noProof/>
      </w:rPr>
      <w:t>2</w:t>
    </w:r>
    <w:r>
      <w:rPr>
        <w:b/>
        <w:sz w:val="24"/>
        <w:szCs w:val="24"/>
      </w:rPr>
      <w:fldChar w:fldCharType="end"/>
    </w:r>
  </w:p>
  <w:p w:rsidR="00152E9D" w:rsidRDefault="004A2695" w14:paraId="00ED4449"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799089E6" w:rsidP="799089E6" w:rsidRDefault="799089E6" w14:paraId="514E243C" w14:textId="4884CD3E">
    <w:pPr>
      <w:pStyle w:val="Footer"/>
      <w:jc w:val="right"/>
    </w:pPr>
    <w:r>
      <w:fldChar w:fldCharType="begin"/>
    </w:r>
    <w:r>
      <w:instrText xml:space="preserve">PAGE</w:instrText>
    </w:r>
    <w:r>
      <w:fldChar w:fldCharType="separate"/>
    </w:r>
    <w:r>
      <w:fldChar w:fldCharType="end"/>
    </w:r>
  </w:p>
  <w:p w:rsidR="00152E9D" w:rsidRDefault="004A2695" w14:paraId="18761070"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4A2695" w14:paraId="24C7CF04" w14:textId="77777777">
      <w:r>
        <w:separator/>
      </w:r>
    </w:p>
  </w:footnote>
  <w:footnote w:type="continuationSeparator" w:id="0">
    <w:p w:rsidR="00000000" w:rsidRDefault="004A2695" w14:paraId="5D7C0E29" w14:textId="77777777">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80"/>
      <w:gridCol w:w="3480"/>
      <w:gridCol w:w="3480"/>
    </w:tblGrid>
    <w:tr w:rsidR="799089E6" w:rsidTr="799089E6" w14:paraId="58D18502">
      <w:tc>
        <w:tcPr>
          <w:tcW w:w="3480" w:type="dxa"/>
          <w:tcMar/>
        </w:tcPr>
        <w:p w:rsidR="799089E6" w:rsidP="799089E6" w:rsidRDefault="799089E6" w14:paraId="27527D69" w14:textId="5108965D">
          <w:pPr>
            <w:pStyle w:val="Header"/>
            <w:bidi w:val="0"/>
            <w:ind w:left="-115"/>
            <w:jc w:val="left"/>
          </w:pPr>
        </w:p>
      </w:tc>
      <w:tc>
        <w:tcPr>
          <w:tcW w:w="3480" w:type="dxa"/>
          <w:tcMar/>
        </w:tcPr>
        <w:p w:rsidR="799089E6" w:rsidP="799089E6" w:rsidRDefault="799089E6" w14:paraId="2ECF3996" w14:textId="70F026D5">
          <w:pPr>
            <w:pStyle w:val="Header"/>
            <w:bidi w:val="0"/>
            <w:jc w:val="center"/>
          </w:pPr>
        </w:p>
      </w:tc>
      <w:tc>
        <w:tcPr>
          <w:tcW w:w="3480" w:type="dxa"/>
          <w:tcMar/>
        </w:tcPr>
        <w:p w:rsidR="799089E6" w:rsidP="799089E6" w:rsidRDefault="799089E6" w14:paraId="66BA9373" w14:textId="05835599">
          <w:pPr>
            <w:pStyle w:val="Header"/>
            <w:bidi w:val="0"/>
            <w:ind w:right="-115"/>
            <w:jc w:val="right"/>
          </w:pPr>
        </w:p>
      </w:tc>
    </w:tr>
  </w:tbl>
  <w:p w:rsidR="799089E6" w:rsidP="799089E6" w:rsidRDefault="799089E6" w14:paraId="4FB52A34" w14:textId="178E2618">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80"/>
      <w:gridCol w:w="3480"/>
      <w:gridCol w:w="3480"/>
    </w:tblGrid>
    <w:tr w:rsidR="799089E6" w:rsidTr="799089E6" w14:paraId="60ED9929">
      <w:tc>
        <w:tcPr>
          <w:tcW w:w="3480" w:type="dxa"/>
          <w:tcMar/>
        </w:tcPr>
        <w:p w:rsidR="799089E6" w:rsidP="799089E6" w:rsidRDefault="799089E6" w14:paraId="6C0248DE" w14:textId="0EB5CD05">
          <w:pPr>
            <w:pStyle w:val="Header"/>
            <w:bidi w:val="0"/>
            <w:ind w:left="-115"/>
            <w:jc w:val="left"/>
          </w:pPr>
        </w:p>
      </w:tc>
      <w:tc>
        <w:tcPr>
          <w:tcW w:w="3480" w:type="dxa"/>
          <w:tcMar/>
        </w:tcPr>
        <w:p w:rsidR="799089E6" w:rsidP="799089E6" w:rsidRDefault="799089E6" w14:paraId="10E56FD3" w14:textId="38B0B8E6">
          <w:pPr>
            <w:pStyle w:val="Header"/>
            <w:bidi w:val="0"/>
            <w:jc w:val="center"/>
          </w:pPr>
        </w:p>
      </w:tc>
      <w:tc>
        <w:tcPr>
          <w:tcW w:w="3480" w:type="dxa"/>
          <w:tcMar/>
        </w:tcPr>
        <w:p w:rsidR="799089E6" w:rsidP="799089E6" w:rsidRDefault="799089E6" w14:paraId="00C8C8FE" w14:textId="429E630A">
          <w:pPr>
            <w:pStyle w:val="Header"/>
            <w:bidi w:val="0"/>
            <w:ind w:right="-115"/>
            <w:jc w:val="right"/>
          </w:pPr>
        </w:p>
      </w:tc>
    </w:tr>
  </w:tbl>
  <w:p w:rsidR="799089E6" w:rsidP="799089E6" w:rsidRDefault="799089E6" w14:paraId="5C2B4C39" w14:textId="54CE9516">
    <w:pPr>
      <w:pStyle w:val="Header"/>
      <w:bidi w:val="0"/>
    </w:pPr>
  </w:p>
</w:hdr>
</file>

<file path=word/header3.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5130"/>
      <w:gridCol w:w="5130"/>
      <w:gridCol w:w="5130"/>
    </w:tblGrid>
    <w:tr w:rsidR="799089E6" w:rsidTr="799089E6" w14:paraId="0BA2C7C9">
      <w:tc>
        <w:tcPr>
          <w:tcW w:w="5130" w:type="dxa"/>
          <w:tcMar/>
        </w:tcPr>
        <w:p w:rsidR="799089E6" w:rsidP="799089E6" w:rsidRDefault="799089E6" w14:paraId="436F66E8" w14:textId="0544439C">
          <w:pPr>
            <w:pStyle w:val="Header"/>
            <w:bidi w:val="0"/>
            <w:ind w:left="-115"/>
            <w:jc w:val="left"/>
          </w:pPr>
        </w:p>
      </w:tc>
      <w:tc>
        <w:tcPr>
          <w:tcW w:w="5130" w:type="dxa"/>
          <w:tcMar/>
        </w:tcPr>
        <w:p w:rsidR="799089E6" w:rsidP="799089E6" w:rsidRDefault="799089E6" w14:paraId="250B4218" w14:textId="5E356BAF">
          <w:pPr>
            <w:pStyle w:val="Header"/>
            <w:bidi w:val="0"/>
            <w:jc w:val="center"/>
          </w:pPr>
        </w:p>
      </w:tc>
      <w:tc>
        <w:tcPr>
          <w:tcW w:w="5130" w:type="dxa"/>
          <w:tcMar/>
        </w:tcPr>
        <w:p w:rsidR="799089E6" w:rsidP="799089E6" w:rsidRDefault="799089E6" w14:paraId="1D8C2CB4" w14:textId="06CA1303">
          <w:pPr>
            <w:pStyle w:val="Header"/>
            <w:bidi w:val="0"/>
            <w:ind w:right="-115"/>
            <w:jc w:val="right"/>
          </w:pPr>
        </w:p>
      </w:tc>
    </w:tr>
  </w:tbl>
  <w:p w:rsidR="799089E6" w:rsidP="799089E6" w:rsidRDefault="799089E6" w14:paraId="2B2AA3BB" w14:textId="62E1C773">
    <w:pPr>
      <w:pStyle w:val="Header"/>
      <w:bidi w:val="0"/>
    </w:pPr>
  </w:p>
</w:hdr>
</file>

<file path=word/header4.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80"/>
      <w:gridCol w:w="3480"/>
      <w:gridCol w:w="3480"/>
    </w:tblGrid>
    <w:tr w:rsidR="799089E6" w:rsidTr="799089E6" w14:paraId="7C70C6B0">
      <w:tc>
        <w:tcPr>
          <w:tcW w:w="3480" w:type="dxa"/>
          <w:tcMar/>
        </w:tcPr>
        <w:p w:rsidR="799089E6" w:rsidP="799089E6" w:rsidRDefault="799089E6" w14:paraId="35BAF71F" w14:textId="5423253C">
          <w:pPr>
            <w:pStyle w:val="Header"/>
            <w:bidi w:val="0"/>
            <w:ind w:left="-115"/>
            <w:jc w:val="left"/>
          </w:pPr>
        </w:p>
      </w:tc>
      <w:tc>
        <w:tcPr>
          <w:tcW w:w="3480" w:type="dxa"/>
          <w:tcMar/>
        </w:tcPr>
        <w:p w:rsidR="799089E6" w:rsidP="799089E6" w:rsidRDefault="799089E6" w14:paraId="5FDFF90A" w14:textId="07DB10AE">
          <w:pPr>
            <w:pStyle w:val="Header"/>
            <w:bidi w:val="0"/>
            <w:jc w:val="center"/>
          </w:pPr>
        </w:p>
      </w:tc>
      <w:tc>
        <w:tcPr>
          <w:tcW w:w="3480" w:type="dxa"/>
          <w:tcMar/>
        </w:tcPr>
        <w:p w:rsidR="799089E6" w:rsidP="799089E6" w:rsidRDefault="799089E6" w14:paraId="64E6AEA2" w14:textId="3F334FD4">
          <w:pPr>
            <w:pStyle w:val="Header"/>
            <w:bidi w:val="0"/>
            <w:ind w:right="-115"/>
            <w:jc w:val="right"/>
          </w:pPr>
        </w:p>
      </w:tc>
    </w:tr>
  </w:tbl>
  <w:p w:rsidR="799089E6" w:rsidP="799089E6" w:rsidRDefault="799089E6" w14:paraId="6B0E77BA" w14:textId="6F220C1A">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trackRevisions w:val="fal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197D"/>
    <w:rsid w:val="00113980"/>
    <w:rsid w:val="00122CA5"/>
    <w:rsid w:val="0029197D"/>
    <w:rsid w:val="004A2695"/>
    <w:rsid w:val="00A03058"/>
    <w:rsid w:val="00AE10DA"/>
    <w:rsid w:val="00EC3CF8"/>
    <w:rsid w:val="01AFDA1A"/>
    <w:rsid w:val="02457A3A"/>
    <w:rsid w:val="028260B1"/>
    <w:rsid w:val="0297275D"/>
    <w:rsid w:val="030BD531"/>
    <w:rsid w:val="051E8AA1"/>
    <w:rsid w:val="06D44893"/>
    <w:rsid w:val="072602E7"/>
    <w:rsid w:val="07CEFF1C"/>
    <w:rsid w:val="081A9374"/>
    <w:rsid w:val="099FAA20"/>
    <w:rsid w:val="0BDD02D8"/>
    <w:rsid w:val="0BF9740A"/>
    <w:rsid w:val="0CE01F73"/>
    <w:rsid w:val="0F3114CC"/>
    <w:rsid w:val="0FDEE036"/>
    <w:rsid w:val="111EC0D5"/>
    <w:rsid w:val="12C3241D"/>
    <w:rsid w:val="1529DD3C"/>
    <w:rsid w:val="1760D652"/>
    <w:rsid w:val="17C8E4FF"/>
    <w:rsid w:val="17DA5D3F"/>
    <w:rsid w:val="18035B70"/>
    <w:rsid w:val="19601AD7"/>
    <w:rsid w:val="1AF6FE1F"/>
    <w:rsid w:val="1AF9FC18"/>
    <w:rsid w:val="1BBD9D51"/>
    <w:rsid w:val="1C95FC52"/>
    <w:rsid w:val="1C9DD3E4"/>
    <w:rsid w:val="1CDD1AE0"/>
    <w:rsid w:val="1D599D8B"/>
    <w:rsid w:val="1E059E90"/>
    <w:rsid w:val="22447336"/>
    <w:rsid w:val="22F6FE01"/>
    <w:rsid w:val="2501D931"/>
    <w:rsid w:val="25A5BF75"/>
    <w:rsid w:val="2767CA0A"/>
    <w:rsid w:val="28DB6BC7"/>
    <w:rsid w:val="2A987EF3"/>
    <w:rsid w:val="2AAE947A"/>
    <w:rsid w:val="2D65A693"/>
    <w:rsid w:val="2DCDD940"/>
    <w:rsid w:val="2F24B3AD"/>
    <w:rsid w:val="31B574F6"/>
    <w:rsid w:val="32A14A63"/>
    <w:rsid w:val="33CC3CF7"/>
    <w:rsid w:val="34C58729"/>
    <w:rsid w:val="34F40440"/>
    <w:rsid w:val="3832D127"/>
    <w:rsid w:val="386E312D"/>
    <w:rsid w:val="38E92CEF"/>
    <w:rsid w:val="3A7E9C7C"/>
    <w:rsid w:val="3A84FD50"/>
    <w:rsid w:val="3AB973D2"/>
    <w:rsid w:val="3B829723"/>
    <w:rsid w:val="3DE2CF15"/>
    <w:rsid w:val="3EA45E91"/>
    <w:rsid w:val="4009FCFE"/>
    <w:rsid w:val="41238B52"/>
    <w:rsid w:val="423ACAC1"/>
    <w:rsid w:val="436F6490"/>
    <w:rsid w:val="443D2967"/>
    <w:rsid w:val="448F2106"/>
    <w:rsid w:val="44C0871E"/>
    <w:rsid w:val="4656A2E4"/>
    <w:rsid w:val="46BAC459"/>
    <w:rsid w:val="47592B55"/>
    <w:rsid w:val="4779A479"/>
    <w:rsid w:val="48155771"/>
    <w:rsid w:val="491574DA"/>
    <w:rsid w:val="4B8EE40D"/>
    <w:rsid w:val="4DF700AA"/>
    <w:rsid w:val="4E520E00"/>
    <w:rsid w:val="4E79CB4B"/>
    <w:rsid w:val="4EF9BE6F"/>
    <w:rsid w:val="4F92D10B"/>
    <w:rsid w:val="4FB81CB3"/>
    <w:rsid w:val="5044E5F9"/>
    <w:rsid w:val="5146C6A6"/>
    <w:rsid w:val="51DE9C60"/>
    <w:rsid w:val="522D720F"/>
    <w:rsid w:val="528DBF24"/>
    <w:rsid w:val="53335638"/>
    <w:rsid w:val="533D0596"/>
    <w:rsid w:val="5359136C"/>
    <w:rsid w:val="53A6FE98"/>
    <w:rsid w:val="53A6FE98"/>
    <w:rsid w:val="550F2171"/>
    <w:rsid w:val="5542CEF9"/>
    <w:rsid w:val="55731490"/>
    <w:rsid w:val="5621B48A"/>
    <w:rsid w:val="56C516A2"/>
    <w:rsid w:val="571A4507"/>
    <w:rsid w:val="572FFFFB"/>
    <w:rsid w:val="589A62C9"/>
    <w:rsid w:val="58C071AD"/>
    <w:rsid w:val="58EE60B6"/>
    <w:rsid w:val="59C97F6F"/>
    <w:rsid w:val="59FF51B2"/>
    <w:rsid w:val="5B98E820"/>
    <w:rsid w:val="5C7A8630"/>
    <w:rsid w:val="5D27AFDB"/>
    <w:rsid w:val="5D4098C8"/>
    <w:rsid w:val="5E64789A"/>
    <w:rsid w:val="5E7A53F3"/>
    <w:rsid w:val="5F8F8906"/>
    <w:rsid w:val="61555054"/>
    <w:rsid w:val="61D474D9"/>
    <w:rsid w:val="61F4F9E0"/>
    <w:rsid w:val="63024843"/>
    <w:rsid w:val="635E5130"/>
    <w:rsid w:val="64C70D50"/>
    <w:rsid w:val="6704304B"/>
    <w:rsid w:val="6744D3B1"/>
    <w:rsid w:val="6807B0AA"/>
    <w:rsid w:val="68CA1536"/>
    <w:rsid w:val="69BD1002"/>
    <w:rsid w:val="69F7E654"/>
    <w:rsid w:val="6BF6EB0F"/>
    <w:rsid w:val="6C457E26"/>
    <w:rsid w:val="6D6D8A21"/>
    <w:rsid w:val="6F9F7444"/>
    <w:rsid w:val="72263AF4"/>
    <w:rsid w:val="7418441F"/>
    <w:rsid w:val="7487AFBF"/>
    <w:rsid w:val="75057DF6"/>
    <w:rsid w:val="799089E6"/>
    <w:rsid w:val="7B09BC07"/>
    <w:rsid w:val="7B37877C"/>
    <w:rsid w:val="7DA1F6E5"/>
    <w:rsid w:val="7DAFDCC8"/>
    <w:rsid w:val="7E8F0E36"/>
    <w:rsid w:val="7EA67C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BC248"/>
  <w15:chartTrackingRefBased/>
  <w15:docId w15:val="{28516291-BFBD-4E8F-89D1-40D5F835C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29197D"/>
    <w:pPr>
      <w:spacing w:after="0" w:line="240" w:lineRule="auto"/>
    </w:pPr>
    <w:rPr>
      <w:rFonts w:ascii="Times New Roman" w:hAnsi="Times New Roman" w:eastAsia="Times New Roman" w:cs="Times New Roman"/>
      <w:sz w:val="20"/>
      <w:szCs w:val="20"/>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Footer">
    <w:name w:val="footer"/>
    <w:basedOn w:val="Normal"/>
    <w:link w:val="FooterChar"/>
    <w:uiPriority w:val="99"/>
    <w:rsid w:val="0029197D"/>
    <w:pPr>
      <w:tabs>
        <w:tab w:val="center" w:pos="4153"/>
        <w:tab w:val="right" w:pos="8306"/>
      </w:tabs>
    </w:pPr>
  </w:style>
  <w:style w:type="character" w:styleId="FooterChar" w:customStyle="1">
    <w:name w:val="Footer Char"/>
    <w:basedOn w:val="DefaultParagraphFont"/>
    <w:link w:val="Footer"/>
    <w:uiPriority w:val="99"/>
    <w:rsid w:val="0029197D"/>
    <w:rPr>
      <w:rFonts w:ascii="Times New Roman" w:hAnsi="Times New Roman" w:eastAsia="Times New Roman" w:cs="Times New Roman"/>
      <w:sz w:val="20"/>
      <w:szCs w:val="20"/>
      <w:lang w:eastAsia="en-GB"/>
    </w:rPr>
  </w:style>
  <w:style w:type="paragraph" w:styleId="NormalWeb">
    <w:name w:val="Normal (Web)"/>
    <w:basedOn w:val="Normal"/>
    <w:uiPriority w:val="99"/>
    <w:rsid w:val="0029197D"/>
    <w:pPr>
      <w:spacing w:before="100" w:after="100"/>
    </w:pPr>
    <w:rPr>
      <w:sz w:val="24"/>
      <w:lang w:eastAsia="en-US"/>
    </w:rPr>
  </w:style>
  <w:style w:type="table" w:styleId="TableGrid">
    <w:name w:val="Table Grid"/>
    <w:basedOn w:val="TableNormal"/>
    <w:uiPriority w:val="39"/>
    <w:rsid w:val="0029197D"/>
    <w:pPr>
      <w:spacing w:after="0" w:line="240" w:lineRule="auto"/>
    </w:pPr>
    <w:rPr>
      <w:rFonts w:ascii="Times New Roman" w:hAnsi="Times New Roman" w:eastAsia="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1" w:customStyle="1">
    <w:name w:val="Body Text1"/>
    <w:basedOn w:val="Normal"/>
    <w:rsid w:val="0029197D"/>
    <w:pPr>
      <w:tabs>
        <w:tab w:val="left" w:pos="720"/>
        <w:tab w:val="left" w:pos="1440"/>
      </w:tabs>
    </w:pPr>
    <w:rPr>
      <w:rFonts w:ascii="CG Times (WN)" w:hAnsi="CG Times (WN)"/>
      <w:sz w:val="24"/>
      <w:lang w:eastAsia="en-US"/>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fontTable" Target="fontTable.xml" Id="rId11" /><Relationship Type="http://schemas.openxmlformats.org/officeDocument/2006/relationships/settings" Target="settings.xml" Id="rId5" /><Relationship Type="http://schemas.openxmlformats.org/officeDocument/2006/relationships/footer" Target="footer2.xml" Id="rId10" /><Relationship Type="http://schemas.openxmlformats.org/officeDocument/2006/relationships/styles" Target="styles.xml" Id="rId4" /><Relationship Type="http://schemas.openxmlformats.org/officeDocument/2006/relationships/footer" Target="footer1.xml" Id="rId9" /><Relationship Type="http://schemas.openxmlformats.org/officeDocument/2006/relationships/header" Target="/word/header.xml" Id="Rc836c7c1d9b045d4" /><Relationship Type="http://schemas.openxmlformats.org/officeDocument/2006/relationships/header" Target="/word/header2.xml" Id="R0678c28972b04b37" /><Relationship Type="http://schemas.openxmlformats.org/officeDocument/2006/relationships/header" Target="/word/header3.xml" Id="Re8c157e4af8e4fcc" /><Relationship Type="http://schemas.openxmlformats.org/officeDocument/2006/relationships/header" Target="/word/header4.xml" Id="R3948c56f6c3b400b" /><Relationship Type="http://schemas.openxmlformats.org/officeDocument/2006/relationships/image" Target="/media/image.png" Id="Rdd79fe5e8f834f5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030200FBF1E6A4893508484A1F4AB6F" ma:contentTypeVersion="13" ma:contentTypeDescription="Create a new document." ma:contentTypeScope="" ma:versionID="72f695609061df53893bbdbb37af4776">
  <xsd:schema xmlns:xsd="http://www.w3.org/2001/XMLSchema" xmlns:xs="http://www.w3.org/2001/XMLSchema" xmlns:p="http://schemas.microsoft.com/office/2006/metadata/properties" xmlns:ns3="609d18e0-102b-45be-96a5-c6093d1c4c0a" xmlns:ns4="1bcbeff4-29a4-41dd-83c7-751b66e9eec2" targetNamespace="http://schemas.microsoft.com/office/2006/metadata/properties" ma:root="true" ma:fieldsID="e4caa7fab22a85f33a20dd6634d86fed" ns3:_="" ns4:_="">
    <xsd:import namespace="609d18e0-102b-45be-96a5-c6093d1c4c0a"/>
    <xsd:import namespace="1bcbeff4-29a4-41dd-83c7-751b66e9eec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9d18e0-102b-45be-96a5-c6093d1c4c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cbeff4-29a4-41dd-83c7-751b66e9eec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20B7670-8092-4509-8603-F28C3F348B54}">
  <ds:schemaRefs>
    <ds:schemaRef ds:uri="609d18e0-102b-45be-96a5-c6093d1c4c0a"/>
    <ds:schemaRef ds:uri="http://purl.org/dc/dcmitype/"/>
    <ds:schemaRef ds:uri="http://purl.org/dc/elements/1.1/"/>
    <ds:schemaRef ds:uri="http://schemas.microsoft.com/office/2006/metadata/properties"/>
    <ds:schemaRef ds:uri="http://purl.org/dc/terms/"/>
    <ds:schemaRef ds:uri="1bcbeff4-29a4-41dd-83c7-751b66e9eec2"/>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A3AA2945-ACFE-4CB4-991A-84C62E7A21A0}">
  <ds:schemaRefs>
    <ds:schemaRef ds:uri="http://schemas.microsoft.com/sharepoint/v3/contenttype/forms"/>
  </ds:schemaRefs>
</ds:datastoreItem>
</file>

<file path=customXml/itemProps3.xml><?xml version="1.0" encoding="utf-8"?>
<ds:datastoreItem xmlns:ds="http://schemas.openxmlformats.org/officeDocument/2006/customXml" ds:itemID="{049BFAB6-577E-4ED3-BDCF-64516EB5C9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9d18e0-102b-45be-96a5-c6093d1c4c0a"/>
    <ds:schemaRef ds:uri="1bcbeff4-29a4-41dd-83c7-751b66e9ee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University of Wales Trinity Saint David</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Kate L Williams</dc:creator>
  <keywords/>
  <dc:description/>
  <lastModifiedBy>Joshua James Atkins (1701740)</lastModifiedBy>
  <revision>5</revision>
  <dcterms:created xsi:type="dcterms:W3CDTF">2020-11-18T13:01:00.0000000Z</dcterms:created>
  <dcterms:modified xsi:type="dcterms:W3CDTF">2020-11-25T12:24:09.3863860Z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0x0101004030200FBF1E6A4893508484A1F4AB6F</vt:lpwstr>
  </property>
</Properties>
</file>