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0FD14" w14:textId="1AE07EDB" w:rsidR="003670A5" w:rsidRDefault="003670A5" w:rsidP="003670A5">
      <w:pPr>
        <w:spacing w:after="160" w:line="360" w:lineRule="auto"/>
        <w:jc w:val="center"/>
        <w:rPr>
          <w:rFonts w:ascii="Times New Roman" w:eastAsia="Arial" w:hAnsi="Times New Roman"/>
          <w:b/>
          <w:bCs/>
          <w:color w:val="1C3D5A"/>
          <w:sz w:val="48"/>
          <w:szCs w:val="48"/>
        </w:rPr>
      </w:pPr>
      <w:r>
        <w:rPr>
          <w:rFonts w:ascii="Arial" w:eastAsia="Arial" w:hAnsi="Arial" w:cs="Arial"/>
          <w:noProof/>
        </w:rPr>
        <w:drawing>
          <wp:anchor distT="57150" distB="57150" distL="57150" distR="57150" simplePos="0" relativeHeight="251659264" behindDoc="0" locked="0" layoutInCell="1" allowOverlap="1" wp14:anchorId="316F5095" wp14:editId="7B949DB3">
            <wp:simplePos x="0" y="0"/>
            <wp:positionH relativeFrom="column">
              <wp:posOffset>2017395</wp:posOffset>
            </wp:positionH>
            <wp:positionV relativeFrom="line">
              <wp:posOffset>236483</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24D240EA" w14:textId="77777777" w:rsidR="003670A5" w:rsidRDefault="003670A5" w:rsidP="003670A5">
      <w:pPr>
        <w:spacing w:after="160" w:line="360" w:lineRule="auto"/>
        <w:jc w:val="center"/>
        <w:rPr>
          <w:rFonts w:ascii="Times New Roman" w:eastAsia="Arial" w:hAnsi="Times New Roman"/>
          <w:b/>
          <w:bCs/>
          <w:color w:val="1C3D5A"/>
          <w:sz w:val="48"/>
          <w:szCs w:val="48"/>
        </w:rPr>
      </w:pPr>
    </w:p>
    <w:p w14:paraId="3D6E8B91" w14:textId="51FAFD3F" w:rsidR="00AD4523" w:rsidRPr="003670A5" w:rsidRDefault="005C7783" w:rsidP="003670A5">
      <w:pPr>
        <w:spacing w:after="160" w:line="360" w:lineRule="auto"/>
        <w:jc w:val="center"/>
        <w:rPr>
          <w:rFonts w:ascii="Times New Roman" w:eastAsia="Arial" w:hAnsi="Times New Roman"/>
          <w:b/>
          <w:bCs/>
          <w:color w:val="1C3D5A"/>
          <w:sz w:val="48"/>
          <w:szCs w:val="48"/>
        </w:rPr>
      </w:pPr>
      <w:r w:rsidRPr="00A77A2A">
        <w:rPr>
          <w:rFonts w:ascii="Times New Roman" w:eastAsia="Arial" w:hAnsi="Times New Roman"/>
          <w:b/>
          <w:bCs/>
          <w:color w:val="1C3D5A"/>
          <w:sz w:val="48"/>
          <w:szCs w:val="48"/>
        </w:rPr>
        <w:t>GLOBAL CHALLENGES</w:t>
      </w:r>
    </w:p>
    <w:p w14:paraId="241E5721" w14:textId="17386E07" w:rsidR="00AD4523" w:rsidRDefault="005C7783" w:rsidP="00874124">
      <w:pPr>
        <w:spacing w:before="60" w:after="80" w:line="360" w:lineRule="auto"/>
        <w:jc w:val="center"/>
        <w:rPr>
          <w:rFonts w:ascii="Times New Roman" w:eastAsia="Arial" w:hAnsi="Times New Roman"/>
          <w:color w:val="2C5F8A"/>
          <w:sz w:val="28"/>
          <w:szCs w:val="28"/>
        </w:rPr>
      </w:pPr>
      <w:r w:rsidRPr="00A77A2A">
        <w:rPr>
          <w:rFonts w:ascii="Times New Roman" w:eastAsia="Arial" w:hAnsi="Times New Roman"/>
          <w:color w:val="2C5F8A"/>
          <w:sz w:val="28"/>
          <w:szCs w:val="28"/>
        </w:rPr>
        <w:t xml:space="preserve">Artificial Intelligence, Regulatory Accountability and </w:t>
      </w:r>
      <w:r w:rsidR="009B2821" w:rsidRPr="00A77A2A">
        <w:rPr>
          <w:rFonts w:ascii="Times New Roman" w:eastAsia="Arial" w:hAnsi="Times New Roman"/>
          <w:color w:val="2C5F8A"/>
          <w:sz w:val="28"/>
          <w:szCs w:val="28"/>
        </w:rPr>
        <w:t>Governance</w:t>
      </w:r>
      <w:r w:rsidR="00874124">
        <w:rPr>
          <w:rFonts w:ascii="Times New Roman" w:eastAsia="Arial" w:hAnsi="Times New Roman"/>
          <w:color w:val="2C5F8A"/>
          <w:sz w:val="28"/>
          <w:szCs w:val="28"/>
        </w:rPr>
        <w:t xml:space="preserve"> </w:t>
      </w:r>
      <w:r w:rsidRPr="00874124">
        <w:rPr>
          <w:rFonts w:ascii="Times New Roman" w:eastAsia="Arial" w:hAnsi="Times New Roman"/>
          <w:color w:val="2C5F8A"/>
          <w:sz w:val="28"/>
          <w:szCs w:val="28"/>
        </w:rPr>
        <w:t>Imperative: A Strategic Advisory Report for Lloyds Banking Group</w:t>
      </w:r>
    </w:p>
    <w:p w14:paraId="6AE1D1E4" w14:textId="6CB8A1CE" w:rsidR="00874124" w:rsidRDefault="00874124" w:rsidP="00874124">
      <w:pPr>
        <w:spacing w:before="60" w:after="80" w:line="360" w:lineRule="auto"/>
        <w:jc w:val="center"/>
        <w:rPr>
          <w:rFonts w:ascii="Times New Roman" w:eastAsia="Arial" w:hAnsi="Times New Roman"/>
          <w:color w:val="2C5F8A"/>
          <w:sz w:val="28"/>
          <w:szCs w:val="28"/>
        </w:rPr>
      </w:pPr>
    </w:p>
    <w:p w14:paraId="11047C2C" w14:textId="0A56FACD" w:rsidR="00874124" w:rsidRDefault="00874124" w:rsidP="00874124">
      <w:pPr>
        <w:spacing w:before="60" w:after="80" w:line="360" w:lineRule="auto"/>
        <w:jc w:val="center"/>
        <w:rPr>
          <w:rFonts w:ascii="Times New Roman" w:eastAsia="Arial" w:hAnsi="Times New Roman"/>
          <w:color w:val="2C5F8A"/>
          <w:sz w:val="28"/>
          <w:szCs w:val="28"/>
        </w:rPr>
      </w:pPr>
      <w:r>
        <w:rPr>
          <w:rFonts w:ascii="Times New Roman" w:eastAsia="Arial" w:hAnsi="Times New Roman"/>
          <w:color w:val="2C5F8A"/>
          <w:sz w:val="28"/>
          <w:szCs w:val="28"/>
        </w:rPr>
        <w:t xml:space="preserve">Name: </w:t>
      </w:r>
      <w:r w:rsidRPr="00874124">
        <w:rPr>
          <w:rFonts w:ascii="Times New Roman" w:eastAsia="Arial" w:hAnsi="Times New Roman"/>
          <w:color w:val="2C5F8A"/>
          <w:sz w:val="28"/>
          <w:szCs w:val="28"/>
        </w:rPr>
        <w:t xml:space="preserve">Noman </w:t>
      </w:r>
      <w:proofErr w:type="spellStart"/>
      <w:r w:rsidRPr="00874124">
        <w:rPr>
          <w:rFonts w:ascii="Times New Roman" w:eastAsia="Arial" w:hAnsi="Times New Roman"/>
          <w:color w:val="2C5F8A"/>
          <w:sz w:val="28"/>
          <w:szCs w:val="28"/>
        </w:rPr>
        <w:t>Saddiquee</w:t>
      </w:r>
      <w:proofErr w:type="spellEnd"/>
      <w:r w:rsidRPr="00874124">
        <w:rPr>
          <w:rFonts w:ascii="Times New Roman" w:eastAsia="Arial" w:hAnsi="Times New Roman"/>
          <w:color w:val="2C5F8A"/>
          <w:sz w:val="28"/>
          <w:szCs w:val="28"/>
        </w:rPr>
        <w:t xml:space="preserve"> </w:t>
      </w:r>
    </w:p>
    <w:p w14:paraId="02243A40" w14:textId="741C6A90" w:rsidR="00874124" w:rsidRDefault="00874124" w:rsidP="00874124">
      <w:pPr>
        <w:spacing w:before="60" w:after="80" w:line="360" w:lineRule="auto"/>
        <w:jc w:val="center"/>
        <w:rPr>
          <w:rFonts w:ascii="Times New Roman" w:eastAsia="Arial" w:hAnsi="Times New Roman"/>
          <w:color w:val="2C5F8A"/>
          <w:sz w:val="28"/>
          <w:szCs w:val="28"/>
        </w:rPr>
      </w:pPr>
      <w:r w:rsidRPr="00874124">
        <w:rPr>
          <w:rFonts w:ascii="Times New Roman" w:eastAsia="Arial" w:hAnsi="Times New Roman"/>
          <w:color w:val="2C5F8A"/>
          <w:sz w:val="28"/>
          <w:szCs w:val="28"/>
        </w:rPr>
        <w:t>ID: 2510122</w:t>
      </w:r>
    </w:p>
    <w:p w14:paraId="73BDA609" w14:textId="77777777" w:rsidR="00874124" w:rsidRDefault="00874124" w:rsidP="00874124">
      <w:pPr>
        <w:spacing w:before="60" w:after="80" w:line="360" w:lineRule="auto"/>
        <w:jc w:val="center"/>
        <w:rPr>
          <w:rFonts w:ascii="Times New Roman" w:eastAsia="Arial" w:hAnsi="Times New Roman"/>
          <w:color w:val="2C5F8A"/>
          <w:sz w:val="28"/>
          <w:szCs w:val="28"/>
        </w:rPr>
      </w:pPr>
    </w:p>
    <w:p w14:paraId="1FAC2A48" w14:textId="4760FDE6" w:rsidR="00874124" w:rsidRPr="00874124" w:rsidRDefault="00874124" w:rsidP="00874124">
      <w:pPr>
        <w:spacing w:before="60" w:after="80" w:line="360" w:lineRule="auto"/>
        <w:jc w:val="center"/>
        <w:rPr>
          <w:rFonts w:ascii="Times New Roman" w:eastAsia="Arial" w:hAnsi="Times New Roman"/>
          <w:color w:val="2C5F8A"/>
          <w:sz w:val="28"/>
          <w:szCs w:val="28"/>
        </w:rPr>
      </w:pPr>
      <w:r w:rsidRPr="00874124">
        <w:rPr>
          <w:rFonts w:ascii="Times New Roman" w:eastAsia="Arial" w:hAnsi="Times New Roman"/>
          <w:color w:val="2C5F8A"/>
          <w:sz w:val="28"/>
          <w:szCs w:val="28"/>
        </w:rPr>
        <w:t>Module:</w:t>
      </w:r>
      <w:r>
        <w:rPr>
          <w:rFonts w:ascii="Times New Roman" w:eastAsia="Arial" w:hAnsi="Times New Roman"/>
          <w:color w:val="2C5F8A"/>
          <w:sz w:val="28"/>
          <w:szCs w:val="28"/>
        </w:rPr>
        <w:t xml:space="preserve"> </w:t>
      </w:r>
      <w:r w:rsidRPr="00874124">
        <w:rPr>
          <w:rFonts w:ascii="Times New Roman" w:eastAsia="Arial" w:hAnsi="Times New Roman"/>
          <w:color w:val="2C5F8A"/>
          <w:sz w:val="28"/>
          <w:szCs w:val="28"/>
        </w:rPr>
        <w:t>Global Business Challenges</w:t>
      </w:r>
    </w:p>
    <w:p w14:paraId="2ADEE120" w14:textId="77777777" w:rsidR="00874124" w:rsidRPr="00874124" w:rsidRDefault="00874124" w:rsidP="00874124">
      <w:pPr>
        <w:spacing w:before="60" w:after="80" w:line="360" w:lineRule="auto"/>
        <w:jc w:val="center"/>
        <w:rPr>
          <w:rFonts w:ascii="Times New Roman" w:eastAsia="Arial" w:hAnsi="Times New Roman"/>
          <w:color w:val="2C5F8A"/>
          <w:sz w:val="28"/>
          <w:szCs w:val="28"/>
        </w:rPr>
      </w:pPr>
      <w:r w:rsidRPr="00874124">
        <w:rPr>
          <w:rFonts w:ascii="Times New Roman" w:eastAsia="Arial" w:hAnsi="Times New Roman"/>
          <w:color w:val="2C5F8A"/>
          <w:sz w:val="28"/>
          <w:szCs w:val="28"/>
        </w:rPr>
        <w:t>Module code: BMMB7006</w:t>
      </w:r>
    </w:p>
    <w:p w14:paraId="436F61B7" w14:textId="77777777" w:rsidR="00874124" w:rsidRPr="00874124" w:rsidRDefault="00874124" w:rsidP="00874124">
      <w:pPr>
        <w:spacing w:before="60" w:after="80" w:line="360" w:lineRule="auto"/>
        <w:jc w:val="center"/>
        <w:rPr>
          <w:rFonts w:ascii="Times New Roman" w:eastAsia="Arial" w:hAnsi="Times New Roman"/>
          <w:color w:val="2C5F8A"/>
          <w:sz w:val="28"/>
          <w:szCs w:val="28"/>
        </w:rPr>
      </w:pPr>
      <w:r w:rsidRPr="00874124">
        <w:rPr>
          <w:rFonts w:ascii="Times New Roman" w:eastAsia="Arial" w:hAnsi="Times New Roman"/>
          <w:color w:val="2C5F8A"/>
          <w:sz w:val="28"/>
          <w:szCs w:val="28"/>
        </w:rPr>
        <w:t>Lecturer: Rebecca Francis-Davies</w:t>
      </w:r>
    </w:p>
    <w:p w14:paraId="67B2A3D9" w14:textId="4B44A841" w:rsidR="00874124" w:rsidRDefault="00874124" w:rsidP="00874124">
      <w:pPr>
        <w:spacing w:before="60" w:after="80" w:line="360" w:lineRule="auto"/>
        <w:jc w:val="center"/>
        <w:rPr>
          <w:rFonts w:ascii="Times New Roman" w:eastAsia="Arial" w:hAnsi="Times New Roman"/>
          <w:color w:val="2C5F8A"/>
          <w:sz w:val="28"/>
          <w:szCs w:val="28"/>
        </w:rPr>
      </w:pPr>
    </w:p>
    <w:p w14:paraId="23F79916" w14:textId="318E18D3" w:rsidR="00874124" w:rsidRDefault="00874124" w:rsidP="00874124">
      <w:pPr>
        <w:spacing w:before="60" w:after="80" w:line="360" w:lineRule="auto"/>
        <w:jc w:val="center"/>
        <w:rPr>
          <w:rFonts w:ascii="Times New Roman" w:eastAsia="Arial" w:hAnsi="Times New Roman"/>
          <w:color w:val="2C5F8A"/>
          <w:sz w:val="28"/>
          <w:szCs w:val="28"/>
        </w:rPr>
      </w:pPr>
      <w:r>
        <w:rPr>
          <w:rFonts w:ascii="Times New Roman" w:eastAsia="Arial" w:hAnsi="Times New Roman"/>
          <w:color w:val="2C5F8A"/>
          <w:sz w:val="28"/>
          <w:szCs w:val="28"/>
        </w:rPr>
        <w:t>Word Count: 5212</w:t>
      </w:r>
    </w:p>
    <w:p w14:paraId="456DB3B1" w14:textId="77777777" w:rsidR="00874124" w:rsidRPr="00874124" w:rsidRDefault="00874124" w:rsidP="00874124">
      <w:pPr>
        <w:spacing w:before="60" w:after="80" w:line="360" w:lineRule="auto"/>
        <w:jc w:val="center"/>
        <w:rPr>
          <w:rFonts w:ascii="Times New Roman" w:eastAsia="Arial" w:hAnsi="Times New Roman"/>
          <w:color w:val="2C5F8A"/>
          <w:sz w:val="28"/>
          <w:szCs w:val="28"/>
        </w:rPr>
      </w:pPr>
    </w:p>
    <w:p w14:paraId="155B399F" w14:textId="77777777" w:rsidR="00AD4523" w:rsidRPr="00A77A2A" w:rsidRDefault="005C7783" w:rsidP="00A77A2A">
      <w:pPr>
        <w:spacing w:line="360" w:lineRule="auto"/>
        <w:jc w:val="both"/>
        <w:rPr>
          <w:rFonts w:ascii="Times New Roman" w:hAnsi="Times New Roman"/>
        </w:rPr>
      </w:pPr>
      <w:r w:rsidRPr="00A77A2A">
        <w:rPr>
          <w:rFonts w:ascii="Times New Roman" w:hAnsi="Times New Roman"/>
        </w:rPr>
        <w:br w:type="page"/>
      </w:r>
    </w:p>
    <w:p w14:paraId="67BE4168" w14:textId="77777777" w:rsidR="00AD4523" w:rsidRPr="00A77A2A" w:rsidRDefault="005C7783" w:rsidP="00A77A2A">
      <w:pPr>
        <w:pStyle w:val="Heading1"/>
        <w:spacing w:line="360" w:lineRule="auto"/>
        <w:jc w:val="both"/>
        <w:rPr>
          <w:rFonts w:ascii="Times New Roman" w:hAnsi="Times New Roman" w:cs="Times New Roman"/>
        </w:rPr>
      </w:pPr>
      <w:bookmarkStart w:id="0" w:name="_Toc228210214"/>
      <w:r w:rsidRPr="00A77A2A">
        <w:rPr>
          <w:rFonts w:ascii="Times New Roman" w:hAnsi="Times New Roman" w:cs="Times New Roman"/>
        </w:rPr>
        <w:lastRenderedPageBreak/>
        <w:t>Executive Summary</w:t>
      </w:r>
      <w:bookmarkEnd w:id="0"/>
    </w:p>
    <w:p w14:paraId="67537005" w14:textId="77777777" w:rsidR="005867C6" w:rsidRPr="00A77A2A" w:rsidRDefault="005867C6" w:rsidP="00A77A2A">
      <w:pPr>
        <w:spacing w:line="360" w:lineRule="auto"/>
        <w:jc w:val="both"/>
        <w:rPr>
          <w:rFonts w:ascii="Times New Roman" w:hAnsi="Times New Roman"/>
        </w:rPr>
      </w:pPr>
      <w:r w:rsidRPr="00A77A2A">
        <w:rPr>
          <w:rFonts w:ascii="Times New Roman" w:hAnsi="Times New Roman"/>
        </w:rPr>
        <w:t xml:space="preserve">The largest retail bank in the United Kingdom in terms of current account holders (c. 28 m customers) operating under the Halifax, Bank of Scotland and Lloyds Bank brands is the Lloyds Banking Group. The report is a result of one of the internship applications to the RFD Global, an advisory firm that </w:t>
      </w:r>
      <w:proofErr w:type="spellStart"/>
      <w:r w:rsidRPr="00A77A2A">
        <w:rPr>
          <w:rFonts w:ascii="Times New Roman" w:hAnsi="Times New Roman"/>
        </w:rPr>
        <w:t>specialises</w:t>
      </w:r>
      <w:proofErr w:type="spellEnd"/>
      <w:r w:rsidRPr="00A77A2A">
        <w:rPr>
          <w:rFonts w:ascii="Times New Roman" w:hAnsi="Times New Roman"/>
        </w:rPr>
        <w:t xml:space="preserve"> in the intersection of economics, regulation and policy with the international </w:t>
      </w:r>
      <w:proofErr w:type="spellStart"/>
      <w:r w:rsidRPr="00A77A2A">
        <w:rPr>
          <w:rFonts w:ascii="Times New Roman" w:hAnsi="Times New Roman"/>
        </w:rPr>
        <w:t>organisations</w:t>
      </w:r>
      <w:proofErr w:type="spellEnd"/>
      <w:r w:rsidRPr="00A77A2A">
        <w:rPr>
          <w:rFonts w:ascii="Times New Roman" w:hAnsi="Times New Roman"/>
        </w:rPr>
        <w:t xml:space="preserve">. It examines the urgent conflict that faces Lloyds: how to grow </w:t>
      </w:r>
      <w:proofErr w:type="spellStart"/>
      <w:proofErr w:type="gramStart"/>
      <w:r w:rsidRPr="00A77A2A">
        <w:rPr>
          <w:rFonts w:ascii="Times New Roman" w:hAnsi="Times New Roman"/>
        </w:rPr>
        <w:t>a</w:t>
      </w:r>
      <w:proofErr w:type="spellEnd"/>
      <w:proofErr w:type="gramEnd"/>
      <w:r w:rsidRPr="00A77A2A">
        <w:rPr>
          <w:rFonts w:ascii="Times New Roman" w:hAnsi="Times New Roman"/>
        </w:rPr>
        <w:t xml:space="preserve"> ambitious artificial intelligence project and thus stay within a two-pronged regulatory framework, both in the UK and in the European Union.</w:t>
      </w:r>
    </w:p>
    <w:p w14:paraId="7B27C957" w14:textId="77777777" w:rsidR="0097239F" w:rsidRDefault="005867C6" w:rsidP="00A77A2A">
      <w:pPr>
        <w:spacing w:line="360" w:lineRule="auto"/>
        <w:jc w:val="both"/>
        <w:rPr>
          <w:rFonts w:ascii="Times New Roman" w:hAnsi="Times New Roman"/>
        </w:rPr>
      </w:pPr>
      <w:r w:rsidRPr="00A77A2A">
        <w:rPr>
          <w:rFonts w:ascii="Times New Roman" w:hAnsi="Times New Roman"/>
        </w:rPr>
        <w:t>The report provides the 3 interrelated issues as the most critical ones based on the Porter Five Forces and a PESTEL framework and the Diamond of National Advantage: the risk of algorithmic bias in automated credit and customer decision-making; the complexity of fulfilling both FCA Consumer Duty requirements and the high-risk category in the EU AI Act of credit scoring AI; and the loss of customer confidence with the resultant any failure in AI transparency It is recommended to adopt a gradual strategy, with governance infrastructure as the core of it, align regulation and AI transparency, and make sure responsible AI is considered a long-term commercial asset, and not a compliance expense to be surmounted as the response to a pressure.</w:t>
      </w:r>
    </w:p>
    <w:p w14:paraId="56968F9B" w14:textId="77777777" w:rsidR="0097239F" w:rsidRDefault="0097239F" w:rsidP="00A77A2A">
      <w:pPr>
        <w:spacing w:line="360" w:lineRule="auto"/>
        <w:jc w:val="both"/>
        <w:rPr>
          <w:rFonts w:ascii="Times New Roman" w:hAnsi="Times New Roman"/>
        </w:rPr>
      </w:pPr>
    </w:p>
    <w:p w14:paraId="26B2B132" w14:textId="77777777" w:rsidR="0097239F" w:rsidRDefault="0097239F" w:rsidP="00A77A2A">
      <w:pPr>
        <w:spacing w:line="360" w:lineRule="auto"/>
        <w:jc w:val="both"/>
        <w:rPr>
          <w:rFonts w:ascii="Times New Roman" w:hAnsi="Times New Roman"/>
        </w:rPr>
      </w:pPr>
    </w:p>
    <w:p w14:paraId="61CCAEC8" w14:textId="69100592" w:rsidR="00AD4523" w:rsidRPr="00A77A2A" w:rsidRDefault="005C7783" w:rsidP="00A77A2A">
      <w:pPr>
        <w:spacing w:line="360" w:lineRule="auto"/>
        <w:jc w:val="both"/>
        <w:rPr>
          <w:rFonts w:ascii="Times New Roman" w:hAnsi="Times New Roman"/>
        </w:rPr>
      </w:pPr>
      <w:r w:rsidRPr="00A77A2A">
        <w:rPr>
          <w:rFonts w:ascii="Times New Roman" w:hAnsi="Times New Roman"/>
        </w:rPr>
        <w:br w:type="page"/>
      </w:r>
    </w:p>
    <w:sdt>
      <w:sdtPr>
        <w:rPr>
          <w:rFonts w:asciiTheme="minorHAnsi" w:eastAsiaTheme="minorEastAsia" w:hAnsiTheme="minorHAnsi"/>
          <w:b w:val="0"/>
          <w:bCs w:val="0"/>
          <w:kern w:val="0"/>
          <w:sz w:val="24"/>
          <w:szCs w:val="24"/>
        </w:rPr>
        <w:id w:val="205841147"/>
        <w:docPartObj>
          <w:docPartGallery w:val="Table of Contents"/>
          <w:docPartUnique/>
        </w:docPartObj>
      </w:sdtPr>
      <w:sdtEndPr>
        <w:rPr>
          <w:noProof/>
        </w:rPr>
      </w:sdtEndPr>
      <w:sdtContent>
        <w:p w14:paraId="4920751E" w14:textId="40AE9F4F" w:rsidR="00D25B17" w:rsidRDefault="00D25B17">
          <w:pPr>
            <w:pStyle w:val="TOCHeading"/>
          </w:pPr>
          <w:r>
            <w:t>Table of Contents</w:t>
          </w:r>
        </w:p>
        <w:p w14:paraId="0D96D69A" w14:textId="73F4F7F9" w:rsidR="00D25B17" w:rsidRDefault="00D25B17" w:rsidP="00874124">
          <w:pPr>
            <w:pStyle w:val="TOC1"/>
            <w:tabs>
              <w:tab w:val="right" w:leader="dot" w:pos="9196"/>
            </w:tabs>
            <w:spacing w:line="360" w:lineRule="auto"/>
            <w:rPr>
              <w:noProof/>
            </w:rPr>
          </w:pPr>
          <w:r>
            <w:fldChar w:fldCharType="begin"/>
          </w:r>
          <w:r>
            <w:instrText xml:space="preserve"> TOC \o "1-3" \h \z \u </w:instrText>
          </w:r>
          <w:r>
            <w:fldChar w:fldCharType="separate"/>
          </w:r>
          <w:hyperlink w:anchor="_Toc228210214" w:history="1">
            <w:r w:rsidRPr="00340008">
              <w:rPr>
                <w:rStyle w:val="Hyperlink"/>
                <w:rFonts w:ascii="Times New Roman" w:hAnsi="Times New Roman"/>
                <w:noProof/>
              </w:rPr>
              <w:t>Executive Summary</w:t>
            </w:r>
            <w:r>
              <w:rPr>
                <w:noProof/>
                <w:webHidden/>
              </w:rPr>
              <w:tab/>
            </w:r>
            <w:r>
              <w:rPr>
                <w:noProof/>
                <w:webHidden/>
              </w:rPr>
              <w:fldChar w:fldCharType="begin"/>
            </w:r>
            <w:r>
              <w:rPr>
                <w:noProof/>
                <w:webHidden/>
              </w:rPr>
              <w:instrText xml:space="preserve"> PAGEREF _Toc228210214 \h </w:instrText>
            </w:r>
            <w:r>
              <w:rPr>
                <w:noProof/>
                <w:webHidden/>
              </w:rPr>
            </w:r>
            <w:r>
              <w:rPr>
                <w:noProof/>
                <w:webHidden/>
              </w:rPr>
              <w:fldChar w:fldCharType="separate"/>
            </w:r>
            <w:r>
              <w:rPr>
                <w:noProof/>
                <w:webHidden/>
              </w:rPr>
              <w:t>2</w:t>
            </w:r>
            <w:r>
              <w:rPr>
                <w:noProof/>
                <w:webHidden/>
              </w:rPr>
              <w:fldChar w:fldCharType="end"/>
            </w:r>
          </w:hyperlink>
        </w:p>
        <w:p w14:paraId="6EB39C46" w14:textId="1F5ACE0C" w:rsidR="00D25B17" w:rsidRDefault="00AC44FB" w:rsidP="00874124">
          <w:pPr>
            <w:pStyle w:val="TOC1"/>
            <w:tabs>
              <w:tab w:val="right" w:leader="dot" w:pos="9196"/>
            </w:tabs>
            <w:spacing w:line="360" w:lineRule="auto"/>
            <w:rPr>
              <w:noProof/>
            </w:rPr>
          </w:pPr>
          <w:hyperlink w:anchor="_Toc228210215" w:history="1">
            <w:r w:rsidR="00D25B17" w:rsidRPr="00340008">
              <w:rPr>
                <w:rStyle w:val="Hyperlink"/>
                <w:noProof/>
              </w:rPr>
              <w:t>1. Setting the Scene: Lloyds Banking Group in the Age of AI</w:t>
            </w:r>
            <w:r w:rsidR="00D25B17">
              <w:rPr>
                <w:noProof/>
                <w:webHidden/>
              </w:rPr>
              <w:tab/>
            </w:r>
            <w:r w:rsidR="00D25B17">
              <w:rPr>
                <w:noProof/>
                <w:webHidden/>
              </w:rPr>
              <w:fldChar w:fldCharType="begin"/>
            </w:r>
            <w:r w:rsidR="00D25B17">
              <w:rPr>
                <w:noProof/>
                <w:webHidden/>
              </w:rPr>
              <w:instrText xml:space="preserve"> PAGEREF _Toc228210215 \h </w:instrText>
            </w:r>
            <w:r w:rsidR="00D25B17">
              <w:rPr>
                <w:noProof/>
                <w:webHidden/>
              </w:rPr>
            </w:r>
            <w:r w:rsidR="00D25B17">
              <w:rPr>
                <w:noProof/>
                <w:webHidden/>
              </w:rPr>
              <w:fldChar w:fldCharType="separate"/>
            </w:r>
            <w:r w:rsidR="00D25B17">
              <w:rPr>
                <w:noProof/>
                <w:webHidden/>
              </w:rPr>
              <w:t>4</w:t>
            </w:r>
            <w:r w:rsidR="00D25B17">
              <w:rPr>
                <w:noProof/>
                <w:webHidden/>
              </w:rPr>
              <w:fldChar w:fldCharType="end"/>
            </w:r>
          </w:hyperlink>
        </w:p>
        <w:p w14:paraId="7B7F0A75" w14:textId="70876618" w:rsidR="00D25B17" w:rsidRDefault="00AC44FB" w:rsidP="00874124">
          <w:pPr>
            <w:pStyle w:val="TOC1"/>
            <w:tabs>
              <w:tab w:val="right" w:leader="dot" w:pos="9196"/>
            </w:tabs>
            <w:spacing w:line="360" w:lineRule="auto"/>
            <w:rPr>
              <w:noProof/>
            </w:rPr>
          </w:pPr>
          <w:hyperlink w:anchor="_Toc228210216" w:history="1">
            <w:r w:rsidR="00D25B17" w:rsidRPr="00340008">
              <w:rPr>
                <w:rStyle w:val="Hyperlink"/>
                <w:rFonts w:ascii="Times New Roman" w:hAnsi="Times New Roman"/>
                <w:noProof/>
              </w:rPr>
              <w:t>2. Analytical Findings</w:t>
            </w:r>
            <w:r w:rsidR="00D25B17">
              <w:rPr>
                <w:noProof/>
                <w:webHidden/>
              </w:rPr>
              <w:tab/>
            </w:r>
            <w:r w:rsidR="00D25B17">
              <w:rPr>
                <w:noProof/>
                <w:webHidden/>
              </w:rPr>
              <w:fldChar w:fldCharType="begin"/>
            </w:r>
            <w:r w:rsidR="00D25B17">
              <w:rPr>
                <w:noProof/>
                <w:webHidden/>
              </w:rPr>
              <w:instrText xml:space="preserve"> PAGEREF _Toc228210216 \h </w:instrText>
            </w:r>
            <w:r w:rsidR="00D25B17">
              <w:rPr>
                <w:noProof/>
                <w:webHidden/>
              </w:rPr>
            </w:r>
            <w:r w:rsidR="00D25B17">
              <w:rPr>
                <w:noProof/>
                <w:webHidden/>
              </w:rPr>
              <w:fldChar w:fldCharType="separate"/>
            </w:r>
            <w:r w:rsidR="00D25B17">
              <w:rPr>
                <w:noProof/>
                <w:webHidden/>
              </w:rPr>
              <w:t>5</w:t>
            </w:r>
            <w:r w:rsidR="00D25B17">
              <w:rPr>
                <w:noProof/>
                <w:webHidden/>
              </w:rPr>
              <w:fldChar w:fldCharType="end"/>
            </w:r>
          </w:hyperlink>
        </w:p>
        <w:p w14:paraId="53C13366" w14:textId="4DDDE617" w:rsidR="00D25B17" w:rsidRDefault="00AC44FB" w:rsidP="00874124">
          <w:pPr>
            <w:pStyle w:val="TOC2"/>
            <w:tabs>
              <w:tab w:val="right" w:leader="dot" w:pos="9196"/>
            </w:tabs>
            <w:spacing w:line="360" w:lineRule="auto"/>
            <w:rPr>
              <w:noProof/>
            </w:rPr>
          </w:pPr>
          <w:hyperlink w:anchor="_Toc228210217" w:history="1">
            <w:r w:rsidR="00D25B17" w:rsidRPr="00340008">
              <w:rPr>
                <w:rStyle w:val="Hyperlink"/>
                <w:rFonts w:ascii="Times New Roman" w:hAnsi="Times New Roman"/>
                <w:noProof/>
              </w:rPr>
              <w:t>2.1 National Competitive Position: Applying Porter's Diamond</w:t>
            </w:r>
            <w:r w:rsidR="00D25B17">
              <w:rPr>
                <w:noProof/>
                <w:webHidden/>
              </w:rPr>
              <w:tab/>
            </w:r>
            <w:r w:rsidR="00D25B17">
              <w:rPr>
                <w:noProof/>
                <w:webHidden/>
              </w:rPr>
              <w:fldChar w:fldCharType="begin"/>
            </w:r>
            <w:r w:rsidR="00D25B17">
              <w:rPr>
                <w:noProof/>
                <w:webHidden/>
              </w:rPr>
              <w:instrText xml:space="preserve"> PAGEREF _Toc228210217 \h </w:instrText>
            </w:r>
            <w:r w:rsidR="00D25B17">
              <w:rPr>
                <w:noProof/>
                <w:webHidden/>
              </w:rPr>
            </w:r>
            <w:r w:rsidR="00D25B17">
              <w:rPr>
                <w:noProof/>
                <w:webHidden/>
              </w:rPr>
              <w:fldChar w:fldCharType="separate"/>
            </w:r>
            <w:r w:rsidR="00D25B17">
              <w:rPr>
                <w:noProof/>
                <w:webHidden/>
              </w:rPr>
              <w:t>5</w:t>
            </w:r>
            <w:r w:rsidR="00D25B17">
              <w:rPr>
                <w:noProof/>
                <w:webHidden/>
              </w:rPr>
              <w:fldChar w:fldCharType="end"/>
            </w:r>
          </w:hyperlink>
        </w:p>
        <w:p w14:paraId="35DDA480" w14:textId="6ABCE86E" w:rsidR="00D25B17" w:rsidRDefault="00AC44FB" w:rsidP="00874124">
          <w:pPr>
            <w:pStyle w:val="TOC2"/>
            <w:tabs>
              <w:tab w:val="right" w:leader="dot" w:pos="9196"/>
            </w:tabs>
            <w:spacing w:line="360" w:lineRule="auto"/>
            <w:rPr>
              <w:noProof/>
            </w:rPr>
          </w:pPr>
          <w:hyperlink w:anchor="_Toc228210218" w:history="1">
            <w:r w:rsidR="00D25B17" w:rsidRPr="00340008">
              <w:rPr>
                <w:rStyle w:val="Hyperlink"/>
                <w:rFonts w:ascii="Times New Roman" w:hAnsi="Times New Roman"/>
                <w:noProof/>
              </w:rPr>
              <w:t>2.2 The Macro-Environment: A PESTLE Perspective</w:t>
            </w:r>
            <w:r w:rsidR="00D25B17">
              <w:rPr>
                <w:noProof/>
                <w:webHidden/>
              </w:rPr>
              <w:tab/>
            </w:r>
            <w:r w:rsidR="00D25B17">
              <w:rPr>
                <w:noProof/>
                <w:webHidden/>
              </w:rPr>
              <w:fldChar w:fldCharType="begin"/>
            </w:r>
            <w:r w:rsidR="00D25B17">
              <w:rPr>
                <w:noProof/>
                <w:webHidden/>
              </w:rPr>
              <w:instrText xml:space="preserve"> PAGEREF _Toc228210218 \h </w:instrText>
            </w:r>
            <w:r w:rsidR="00D25B17">
              <w:rPr>
                <w:noProof/>
                <w:webHidden/>
              </w:rPr>
            </w:r>
            <w:r w:rsidR="00D25B17">
              <w:rPr>
                <w:noProof/>
                <w:webHidden/>
              </w:rPr>
              <w:fldChar w:fldCharType="separate"/>
            </w:r>
            <w:r w:rsidR="00D25B17">
              <w:rPr>
                <w:noProof/>
                <w:webHidden/>
              </w:rPr>
              <w:t>7</w:t>
            </w:r>
            <w:r w:rsidR="00D25B17">
              <w:rPr>
                <w:noProof/>
                <w:webHidden/>
              </w:rPr>
              <w:fldChar w:fldCharType="end"/>
            </w:r>
          </w:hyperlink>
        </w:p>
        <w:p w14:paraId="12FC912E" w14:textId="2FBA943D" w:rsidR="00D25B17" w:rsidRDefault="00AC44FB" w:rsidP="00874124">
          <w:pPr>
            <w:pStyle w:val="TOC2"/>
            <w:tabs>
              <w:tab w:val="right" w:leader="dot" w:pos="9196"/>
            </w:tabs>
            <w:spacing w:line="360" w:lineRule="auto"/>
            <w:rPr>
              <w:noProof/>
            </w:rPr>
          </w:pPr>
          <w:hyperlink w:anchor="_Toc228210219" w:history="1">
            <w:r w:rsidR="00D25B17" w:rsidRPr="00340008">
              <w:rPr>
                <w:rStyle w:val="Hyperlink"/>
                <w:rFonts w:ascii="Times New Roman" w:hAnsi="Times New Roman"/>
                <w:noProof/>
              </w:rPr>
              <w:t>2.3 Market Forces and the Competitive Threat from Fintech</w:t>
            </w:r>
            <w:r w:rsidR="00D25B17">
              <w:rPr>
                <w:noProof/>
                <w:webHidden/>
              </w:rPr>
              <w:tab/>
            </w:r>
            <w:r w:rsidR="00D25B17">
              <w:rPr>
                <w:noProof/>
                <w:webHidden/>
              </w:rPr>
              <w:fldChar w:fldCharType="begin"/>
            </w:r>
            <w:r w:rsidR="00D25B17">
              <w:rPr>
                <w:noProof/>
                <w:webHidden/>
              </w:rPr>
              <w:instrText xml:space="preserve"> PAGEREF _Toc228210219 \h </w:instrText>
            </w:r>
            <w:r w:rsidR="00D25B17">
              <w:rPr>
                <w:noProof/>
                <w:webHidden/>
              </w:rPr>
            </w:r>
            <w:r w:rsidR="00D25B17">
              <w:rPr>
                <w:noProof/>
                <w:webHidden/>
              </w:rPr>
              <w:fldChar w:fldCharType="separate"/>
            </w:r>
            <w:r w:rsidR="00D25B17">
              <w:rPr>
                <w:noProof/>
                <w:webHidden/>
              </w:rPr>
              <w:t>9</w:t>
            </w:r>
            <w:r w:rsidR="00D25B17">
              <w:rPr>
                <w:noProof/>
                <w:webHidden/>
              </w:rPr>
              <w:fldChar w:fldCharType="end"/>
            </w:r>
          </w:hyperlink>
        </w:p>
        <w:p w14:paraId="7E5A3A8B" w14:textId="569238EF" w:rsidR="00D25B17" w:rsidRDefault="00AC44FB" w:rsidP="00874124">
          <w:pPr>
            <w:pStyle w:val="TOC2"/>
            <w:tabs>
              <w:tab w:val="right" w:leader="dot" w:pos="9196"/>
            </w:tabs>
            <w:spacing w:line="360" w:lineRule="auto"/>
            <w:rPr>
              <w:noProof/>
            </w:rPr>
          </w:pPr>
          <w:hyperlink w:anchor="_Toc228210220" w:history="1">
            <w:r w:rsidR="00D25B17" w:rsidRPr="00340008">
              <w:rPr>
                <w:rStyle w:val="Hyperlink"/>
                <w:rFonts w:ascii="Times New Roman" w:hAnsi="Times New Roman"/>
                <w:noProof/>
              </w:rPr>
              <w:t>2.4 Where AI Actually Operates: Applications and Risk Exposure</w:t>
            </w:r>
            <w:r w:rsidR="00D25B17">
              <w:rPr>
                <w:noProof/>
                <w:webHidden/>
              </w:rPr>
              <w:tab/>
            </w:r>
            <w:r w:rsidR="00D25B17">
              <w:rPr>
                <w:noProof/>
                <w:webHidden/>
              </w:rPr>
              <w:fldChar w:fldCharType="begin"/>
            </w:r>
            <w:r w:rsidR="00D25B17">
              <w:rPr>
                <w:noProof/>
                <w:webHidden/>
              </w:rPr>
              <w:instrText xml:space="preserve"> PAGEREF _Toc228210220 \h </w:instrText>
            </w:r>
            <w:r w:rsidR="00D25B17">
              <w:rPr>
                <w:noProof/>
                <w:webHidden/>
              </w:rPr>
            </w:r>
            <w:r w:rsidR="00D25B17">
              <w:rPr>
                <w:noProof/>
                <w:webHidden/>
              </w:rPr>
              <w:fldChar w:fldCharType="separate"/>
            </w:r>
            <w:r w:rsidR="00D25B17">
              <w:rPr>
                <w:noProof/>
                <w:webHidden/>
              </w:rPr>
              <w:t>10</w:t>
            </w:r>
            <w:r w:rsidR="00D25B17">
              <w:rPr>
                <w:noProof/>
                <w:webHidden/>
              </w:rPr>
              <w:fldChar w:fldCharType="end"/>
            </w:r>
          </w:hyperlink>
        </w:p>
        <w:p w14:paraId="6684E679" w14:textId="6C945EA1" w:rsidR="00D25B17" w:rsidRDefault="00AC44FB" w:rsidP="00874124">
          <w:pPr>
            <w:pStyle w:val="TOC2"/>
            <w:tabs>
              <w:tab w:val="right" w:leader="dot" w:pos="9196"/>
            </w:tabs>
            <w:spacing w:line="360" w:lineRule="auto"/>
            <w:rPr>
              <w:noProof/>
            </w:rPr>
          </w:pPr>
          <w:hyperlink w:anchor="_Toc228210221" w:history="1">
            <w:r w:rsidR="00D25B17" w:rsidRPr="00340008">
              <w:rPr>
                <w:rStyle w:val="Hyperlink"/>
                <w:rFonts w:ascii="Times New Roman" w:hAnsi="Times New Roman"/>
                <w:noProof/>
              </w:rPr>
              <w:t>2.5 Customer Trust as a Strategic Asset, Not a Compliance Box</w:t>
            </w:r>
            <w:r w:rsidR="00D25B17">
              <w:rPr>
                <w:noProof/>
                <w:webHidden/>
              </w:rPr>
              <w:tab/>
            </w:r>
            <w:r w:rsidR="00D25B17">
              <w:rPr>
                <w:noProof/>
                <w:webHidden/>
              </w:rPr>
              <w:fldChar w:fldCharType="begin"/>
            </w:r>
            <w:r w:rsidR="00D25B17">
              <w:rPr>
                <w:noProof/>
                <w:webHidden/>
              </w:rPr>
              <w:instrText xml:space="preserve"> PAGEREF _Toc228210221 \h </w:instrText>
            </w:r>
            <w:r w:rsidR="00D25B17">
              <w:rPr>
                <w:noProof/>
                <w:webHidden/>
              </w:rPr>
            </w:r>
            <w:r w:rsidR="00D25B17">
              <w:rPr>
                <w:noProof/>
                <w:webHidden/>
              </w:rPr>
              <w:fldChar w:fldCharType="separate"/>
            </w:r>
            <w:r w:rsidR="00D25B17">
              <w:rPr>
                <w:noProof/>
                <w:webHidden/>
              </w:rPr>
              <w:t>11</w:t>
            </w:r>
            <w:r w:rsidR="00D25B17">
              <w:rPr>
                <w:noProof/>
                <w:webHidden/>
              </w:rPr>
              <w:fldChar w:fldCharType="end"/>
            </w:r>
          </w:hyperlink>
        </w:p>
        <w:p w14:paraId="138A9317" w14:textId="64E915D3" w:rsidR="00D25B17" w:rsidRDefault="00AC44FB" w:rsidP="00874124">
          <w:pPr>
            <w:pStyle w:val="TOC2"/>
            <w:tabs>
              <w:tab w:val="right" w:leader="dot" w:pos="9196"/>
            </w:tabs>
            <w:spacing w:line="360" w:lineRule="auto"/>
            <w:rPr>
              <w:noProof/>
            </w:rPr>
          </w:pPr>
          <w:hyperlink w:anchor="_Toc228210222" w:history="1">
            <w:r w:rsidR="00D25B17" w:rsidRPr="00340008">
              <w:rPr>
                <w:rStyle w:val="Hyperlink"/>
                <w:rFonts w:ascii="Times New Roman" w:hAnsi="Times New Roman"/>
                <w:noProof/>
              </w:rPr>
              <w:t>2.6 The Regulatory Maze: UK, EU and the Governance Challenge</w:t>
            </w:r>
            <w:r w:rsidR="00D25B17">
              <w:rPr>
                <w:noProof/>
                <w:webHidden/>
              </w:rPr>
              <w:tab/>
            </w:r>
            <w:r w:rsidR="00D25B17">
              <w:rPr>
                <w:noProof/>
                <w:webHidden/>
              </w:rPr>
              <w:fldChar w:fldCharType="begin"/>
            </w:r>
            <w:r w:rsidR="00D25B17">
              <w:rPr>
                <w:noProof/>
                <w:webHidden/>
              </w:rPr>
              <w:instrText xml:space="preserve"> PAGEREF _Toc228210222 \h </w:instrText>
            </w:r>
            <w:r w:rsidR="00D25B17">
              <w:rPr>
                <w:noProof/>
                <w:webHidden/>
              </w:rPr>
            </w:r>
            <w:r w:rsidR="00D25B17">
              <w:rPr>
                <w:noProof/>
                <w:webHidden/>
              </w:rPr>
              <w:fldChar w:fldCharType="separate"/>
            </w:r>
            <w:r w:rsidR="00D25B17">
              <w:rPr>
                <w:noProof/>
                <w:webHidden/>
              </w:rPr>
              <w:t>12</w:t>
            </w:r>
            <w:r w:rsidR="00D25B17">
              <w:rPr>
                <w:noProof/>
                <w:webHidden/>
              </w:rPr>
              <w:fldChar w:fldCharType="end"/>
            </w:r>
          </w:hyperlink>
        </w:p>
        <w:p w14:paraId="463998BF" w14:textId="102F1637" w:rsidR="00D25B17" w:rsidRDefault="00AC44FB" w:rsidP="00874124">
          <w:pPr>
            <w:pStyle w:val="TOC2"/>
            <w:tabs>
              <w:tab w:val="right" w:leader="dot" w:pos="9196"/>
            </w:tabs>
            <w:spacing w:line="360" w:lineRule="auto"/>
            <w:rPr>
              <w:noProof/>
            </w:rPr>
          </w:pPr>
          <w:hyperlink w:anchor="_Toc228210223" w:history="1">
            <w:r w:rsidR="00D25B17" w:rsidRPr="00340008">
              <w:rPr>
                <w:rStyle w:val="Hyperlink"/>
                <w:rFonts w:ascii="Times New Roman" w:hAnsi="Times New Roman"/>
                <w:noProof/>
              </w:rPr>
              <w:t>2.7 Corporate Governance, Accountability and CSR Obligations</w:t>
            </w:r>
            <w:r w:rsidR="00D25B17">
              <w:rPr>
                <w:noProof/>
                <w:webHidden/>
              </w:rPr>
              <w:tab/>
            </w:r>
            <w:r w:rsidR="00D25B17">
              <w:rPr>
                <w:noProof/>
                <w:webHidden/>
              </w:rPr>
              <w:fldChar w:fldCharType="begin"/>
            </w:r>
            <w:r w:rsidR="00D25B17">
              <w:rPr>
                <w:noProof/>
                <w:webHidden/>
              </w:rPr>
              <w:instrText xml:space="preserve"> PAGEREF _Toc228210223 \h </w:instrText>
            </w:r>
            <w:r w:rsidR="00D25B17">
              <w:rPr>
                <w:noProof/>
                <w:webHidden/>
              </w:rPr>
            </w:r>
            <w:r w:rsidR="00D25B17">
              <w:rPr>
                <w:noProof/>
                <w:webHidden/>
              </w:rPr>
              <w:fldChar w:fldCharType="separate"/>
            </w:r>
            <w:r w:rsidR="00D25B17">
              <w:rPr>
                <w:noProof/>
                <w:webHidden/>
              </w:rPr>
              <w:t>13</w:t>
            </w:r>
            <w:r w:rsidR="00D25B17">
              <w:rPr>
                <w:noProof/>
                <w:webHidden/>
              </w:rPr>
              <w:fldChar w:fldCharType="end"/>
            </w:r>
          </w:hyperlink>
        </w:p>
        <w:p w14:paraId="2AA5A47D" w14:textId="6ECD57A6" w:rsidR="00D25B17" w:rsidRDefault="00AC44FB" w:rsidP="00874124">
          <w:pPr>
            <w:pStyle w:val="TOC1"/>
            <w:tabs>
              <w:tab w:val="right" w:leader="dot" w:pos="9196"/>
            </w:tabs>
            <w:spacing w:line="360" w:lineRule="auto"/>
            <w:rPr>
              <w:noProof/>
            </w:rPr>
          </w:pPr>
          <w:hyperlink w:anchor="_Toc228210224" w:history="1">
            <w:r w:rsidR="00D25B17" w:rsidRPr="00340008">
              <w:rPr>
                <w:rStyle w:val="Hyperlink"/>
                <w:rFonts w:ascii="Times New Roman" w:hAnsi="Times New Roman"/>
                <w:noProof/>
              </w:rPr>
              <w:t>3. Implementation Roadmap</w:t>
            </w:r>
            <w:r w:rsidR="00D25B17">
              <w:rPr>
                <w:noProof/>
                <w:webHidden/>
              </w:rPr>
              <w:tab/>
            </w:r>
            <w:r w:rsidR="00D25B17">
              <w:rPr>
                <w:noProof/>
                <w:webHidden/>
              </w:rPr>
              <w:fldChar w:fldCharType="begin"/>
            </w:r>
            <w:r w:rsidR="00D25B17">
              <w:rPr>
                <w:noProof/>
                <w:webHidden/>
              </w:rPr>
              <w:instrText xml:space="preserve"> PAGEREF _Toc228210224 \h </w:instrText>
            </w:r>
            <w:r w:rsidR="00D25B17">
              <w:rPr>
                <w:noProof/>
                <w:webHidden/>
              </w:rPr>
            </w:r>
            <w:r w:rsidR="00D25B17">
              <w:rPr>
                <w:noProof/>
                <w:webHidden/>
              </w:rPr>
              <w:fldChar w:fldCharType="separate"/>
            </w:r>
            <w:r w:rsidR="00D25B17">
              <w:rPr>
                <w:noProof/>
                <w:webHidden/>
              </w:rPr>
              <w:t>15</w:t>
            </w:r>
            <w:r w:rsidR="00D25B17">
              <w:rPr>
                <w:noProof/>
                <w:webHidden/>
              </w:rPr>
              <w:fldChar w:fldCharType="end"/>
            </w:r>
          </w:hyperlink>
        </w:p>
        <w:p w14:paraId="2FA425BB" w14:textId="16D0D069" w:rsidR="00D25B17" w:rsidRDefault="00AC44FB" w:rsidP="00874124">
          <w:pPr>
            <w:pStyle w:val="TOC2"/>
            <w:tabs>
              <w:tab w:val="right" w:leader="dot" w:pos="9196"/>
            </w:tabs>
            <w:spacing w:line="360" w:lineRule="auto"/>
            <w:rPr>
              <w:noProof/>
            </w:rPr>
          </w:pPr>
          <w:hyperlink w:anchor="_Toc228210225" w:history="1">
            <w:r w:rsidR="00D25B17" w:rsidRPr="00340008">
              <w:rPr>
                <w:rStyle w:val="Hyperlink"/>
                <w:rFonts w:ascii="Times New Roman" w:hAnsi="Times New Roman"/>
                <w:noProof/>
              </w:rPr>
              <w:t>Phase One: Laying the Foundations (0 to 12 Months)</w:t>
            </w:r>
            <w:r w:rsidR="00D25B17">
              <w:rPr>
                <w:noProof/>
                <w:webHidden/>
              </w:rPr>
              <w:tab/>
            </w:r>
            <w:r w:rsidR="00D25B17">
              <w:rPr>
                <w:noProof/>
                <w:webHidden/>
              </w:rPr>
              <w:fldChar w:fldCharType="begin"/>
            </w:r>
            <w:r w:rsidR="00D25B17">
              <w:rPr>
                <w:noProof/>
                <w:webHidden/>
              </w:rPr>
              <w:instrText xml:space="preserve"> PAGEREF _Toc228210225 \h </w:instrText>
            </w:r>
            <w:r w:rsidR="00D25B17">
              <w:rPr>
                <w:noProof/>
                <w:webHidden/>
              </w:rPr>
            </w:r>
            <w:r w:rsidR="00D25B17">
              <w:rPr>
                <w:noProof/>
                <w:webHidden/>
              </w:rPr>
              <w:fldChar w:fldCharType="separate"/>
            </w:r>
            <w:r w:rsidR="00D25B17">
              <w:rPr>
                <w:noProof/>
                <w:webHidden/>
              </w:rPr>
              <w:t>15</w:t>
            </w:r>
            <w:r w:rsidR="00D25B17">
              <w:rPr>
                <w:noProof/>
                <w:webHidden/>
              </w:rPr>
              <w:fldChar w:fldCharType="end"/>
            </w:r>
          </w:hyperlink>
        </w:p>
        <w:p w14:paraId="47483400" w14:textId="71481EFD" w:rsidR="00D25B17" w:rsidRDefault="00AC44FB" w:rsidP="00874124">
          <w:pPr>
            <w:pStyle w:val="TOC2"/>
            <w:tabs>
              <w:tab w:val="right" w:leader="dot" w:pos="9196"/>
            </w:tabs>
            <w:spacing w:line="360" w:lineRule="auto"/>
            <w:rPr>
              <w:noProof/>
            </w:rPr>
          </w:pPr>
          <w:hyperlink w:anchor="_Toc228210226" w:history="1">
            <w:r w:rsidR="00D25B17" w:rsidRPr="00340008">
              <w:rPr>
                <w:rStyle w:val="Hyperlink"/>
                <w:rFonts w:ascii="Times New Roman" w:hAnsi="Times New Roman"/>
                <w:noProof/>
              </w:rPr>
              <w:t>Phase Two: Building Embedded Capability (One to Three Years)</w:t>
            </w:r>
            <w:r w:rsidR="00D25B17">
              <w:rPr>
                <w:noProof/>
                <w:webHidden/>
              </w:rPr>
              <w:tab/>
            </w:r>
            <w:r w:rsidR="00D25B17">
              <w:rPr>
                <w:noProof/>
                <w:webHidden/>
              </w:rPr>
              <w:fldChar w:fldCharType="begin"/>
            </w:r>
            <w:r w:rsidR="00D25B17">
              <w:rPr>
                <w:noProof/>
                <w:webHidden/>
              </w:rPr>
              <w:instrText xml:space="preserve"> PAGEREF _Toc228210226 \h </w:instrText>
            </w:r>
            <w:r w:rsidR="00D25B17">
              <w:rPr>
                <w:noProof/>
                <w:webHidden/>
              </w:rPr>
            </w:r>
            <w:r w:rsidR="00D25B17">
              <w:rPr>
                <w:noProof/>
                <w:webHidden/>
              </w:rPr>
              <w:fldChar w:fldCharType="separate"/>
            </w:r>
            <w:r w:rsidR="00D25B17">
              <w:rPr>
                <w:noProof/>
                <w:webHidden/>
              </w:rPr>
              <w:t>16</w:t>
            </w:r>
            <w:r w:rsidR="00D25B17">
              <w:rPr>
                <w:noProof/>
                <w:webHidden/>
              </w:rPr>
              <w:fldChar w:fldCharType="end"/>
            </w:r>
          </w:hyperlink>
        </w:p>
        <w:p w14:paraId="37FFBF43" w14:textId="1DE950A9" w:rsidR="00D25B17" w:rsidRDefault="00AC44FB" w:rsidP="00874124">
          <w:pPr>
            <w:pStyle w:val="TOC2"/>
            <w:tabs>
              <w:tab w:val="right" w:leader="dot" w:pos="9196"/>
            </w:tabs>
            <w:spacing w:line="360" w:lineRule="auto"/>
            <w:rPr>
              <w:noProof/>
            </w:rPr>
          </w:pPr>
          <w:hyperlink w:anchor="_Toc228210227" w:history="1">
            <w:r w:rsidR="00D25B17" w:rsidRPr="00340008">
              <w:rPr>
                <w:rStyle w:val="Hyperlink"/>
                <w:rFonts w:ascii="Times New Roman" w:hAnsi="Times New Roman"/>
                <w:noProof/>
              </w:rPr>
              <w:t>Phase Three: Competitive Differentiation Through Governance Leadership (Three to Five Years)</w:t>
            </w:r>
            <w:r w:rsidR="00D25B17">
              <w:rPr>
                <w:noProof/>
                <w:webHidden/>
              </w:rPr>
              <w:tab/>
            </w:r>
            <w:r w:rsidR="00D25B17">
              <w:rPr>
                <w:noProof/>
                <w:webHidden/>
              </w:rPr>
              <w:fldChar w:fldCharType="begin"/>
            </w:r>
            <w:r w:rsidR="00D25B17">
              <w:rPr>
                <w:noProof/>
                <w:webHidden/>
              </w:rPr>
              <w:instrText xml:space="preserve"> PAGEREF _Toc228210227 \h </w:instrText>
            </w:r>
            <w:r w:rsidR="00D25B17">
              <w:rPr>
                <w:noProof/>
                <w:webHidden/>
              </w:rPr>
            </w:r>
            <w:r w:rsidR="00D25B17">
              <w:rPr>
                <w:noProof/>
                <w:webHidden/>
              </w:rPr>
              <w:fldChar w:fldCharType="separate"/>
            </w:r>
            <w:r w:rsidR="00D25B17">
              <w:rPr>
                <w:noProof/>
                <w:webHidden/>
              </w:rPr>
              <w:t>17</w:t>
            </w:r>
            <w:r w:rsidR="00D25B17">
              <w:rPr>
                <w:noProof/>
                <w:webHidden/>
              </w:rPr>
              <w:fldChar w:fldCharType="end"/>
            </w:r>
          </w:hyperlink>
        </w:p>
        <w:p w14:paraId="69595051" w14:textId="0AD72708" w:rsidR="00D25B17" w:rsidRDefault="00AC44FB" w:rsidP="00874124">
          <w:pPr>
            <w:pStyle w:val="TOC1"/>
            <w:tabs>
              <w:tab w:val="right" w:leader="dot" w:pos="9196"/>
            </w:tabs>
            <w:spacing w:line="360" w:lineRule="auto"/>
            <w:rPr>
              <w:noProof/>
            </w:rPr>
          </w:pPr>
          <w:hyperlink w:anchor="_Toc228210228" w:history="1">
            <w:r w:rsidR="00D25B17" w:rsidRPr="00340008">
              <w:rPr>
                <w:rStyle w:val="Hyperlink"/>
                <w:rFonts w:ascii="Times New Roman" w:hAnsi="Times New Roman"/>
                <w:noProof/>
              </w:rPr>
              <w:t>4. Looking Ahead: Conclusions and Strategic Outlook</w:t>
            </w:r>
            <w:r w:rsidR="00D25B17">
              <w:rPr>
                <w:noProof/>
                <w:webHidden/>
              </w:rPr>
              <w:tab/>
            </w:r>
            <w:r w:rsidR="00D25B17">
              <w:rPr>
                <w:noProof/>
                <w:webHidden/>
              </w:rPr>
              <w:fldChar w:fldCharType="begin"/>
            </w:r>
            <w:r w:rsidR="00D25B17">
              <w:rPr>
                <w:noProof/>
                <w:webHidden/>
              </w:rPr>
              <w:instrText xml:space="preserve"> PAGEREF _Toc228210228 \h </w:instrText>
            </w:r>
            <w:r w:rsidR="00D25B17">
              <w:rPr>
                <w:noProof/>
                <w:webHidden/>
              </w:rPr>
            </w:r>
            <w:r w:rsidR="00D25B17">
              <w:rPr>
                <w:noProof/>
                <w:webHidden/>
              </w:rPr>
              <w:fldChar w:fldCharType="separate"/>
            </w:r>
            <w:r w:rsidR="00D25B17">
              <w:rPr>
                <w:noProof/>
                <w:webHidden/>
              </w:rPr>
              <w:t>19</w:t>
            </w:r>
            <w:r w:rsidR="00D25B17">
              <w:rPr>
                <w:noProof/>
                <w:webHidden/>
              </w:rPr>
              <w:fldChar w:fldCharType="end"/>
            </w:r>
          </w:hyperlink>
        </w:p>
        <w:p w14:paraId="226B319B" w14:textId="711084C6" w:rsidR="00D25B17" w:rsidRDefault="00AC44FB" w:rsidP="00874124">
          <w:pPr>
            <w:pStyle w:val="TOC1"/>
            <w:tabs>
              <w:tab w:val="right" w:leader="dot" w:pos="9196"/>
            </w:tabs>
            <w:spacing w:line="360" w:lineRule="auto"/>
            <w:rPr>
              <w:noProof/>
            </w:rPr>
          </w:pPr>
          <w:hyperlink w:anchor="_Toc228210229" w:history="1">
            <w:r w:rsidR="00D25B17" w:rsidRPr="00340008">
              <w:rPr>
                <w:rStyle w:val="Hyperlink"/>
                <w:rFonts w:ascii="Times New Roman" w:hAnsi="Times New Roman"/>
                <w:noProof/>
              </w:rPr>
              <w:t>5. Bibliography</w:t>
            </w:r>
            <w:r w:rsidR="00D25B17">
              <w:rPr>
                <w:noProof/>
                <w:webHidden/>
              </w:rPr>
              <w:tab/>
            </w:r>
            <w:r w:rsidR="00D25B17">
              <w:rPr>
                <w:noProof/>
                <w:webHidden/>
              </w:rPr>
              <w:fldChar w:fldCharType="begin"/>
            </w:r>
            <w:r w:rsidR="00D25B17">
              <w:rPr>
                <w:noProof/>
                <w:webHidden/>
              </w:rPr>
              <w:instrText xml:space="preserve"> PAGEREF _Toc228210229 \h </w:instrText>
            </w:r>
            <w:r w:rsidR="00D25B17">
              <w:rPr>
                <w:noProof/>
                <w:webHidden/>
              </w:rPr>
            </w:r>
            <w:r w:rsidR="00D25B17">
              <w:rPr>
                <w:noProof/>
                <w:webHidden/>
              </w:rPr>
              <w:fldChar w:fldCharType="separate"/>
            </w:r>
            <w:r w:rsidR="00D25B17">
              <w:rPr>
                <w:noProof/>
                <w:webHidden/>
              </w:rPr>
              <w:t>20</w:t>
            </w:r>
            <w:r w:rsidR="00D25B17">
              <w:rPr>
                <w:noProof/>
                <w:webHidden/>
              </w:rPr>
              <w:fldChar w:fldCharType="end"/>
            </w:r>
          </w:hyperlink>
        </w:p>
        <w:p w14:paraId="7D39C966" w14:textId="21C293D9" w:rsidR="00D25B17" w:rsidRDefault="00D25B17" w:rsidP="00874124">
          <w:pPr>
            <w:spacing w:line="360" w:lineRule="auto"/>
          </w:pPr>
          <w:r>
            <w:rPr>
              <w:b/>
              <w:bCs/>
              <w:noProof/>
            </w:rPr>
            <w:fldChar w:fldCharType="end"/>
          </w:r>
        </w:p>
      </w:sdtContent>
    </w:sdt>
    <w:p w14:paraId="5A91F743" w14:textId="77777777" w:rsidR="00AD4523" w:rsidRPr="00A77A2A" w:rsidRDefault="005C7783" w:rsidP="00874124">
      <w:pPr>
        <w:spacing w:line="360" w:lineRule="auto"/>
        <w:jc w:val="both"/>
        <w:rPr>
          <w:rFonts w:ascii="Times New Roman" w:hAnsi="Times New Roman"/>
        </w:rPr>
      </w:pPr>
      <w:r w:rsidRPr="00A77A2A">
        <w:rPr>
          <w:rFonts w:ascii="Times New Roman" w:hAnsi="Times New Roman"/>
        </w:rPr>
        <w:br w:type="page"/>
      </w:r>
    </w:p>
    <w:p w14:paraId="2CC7AE8A" w14:textId="77777777" w:rsidR="00AD4523" w:rsidRPr="004724EB" w:rsidRDefault="005C7783" w:rsidP="004724EB">
      <w:pPr>
        <w:pStyle w:val="Heading1"/>
      </w:pPr>
      <w:bookmarkStart w:id="1" w:name="_Toc228210215"/>
      <w:r w:rsidRPr="00A77A2A">
        <w:lastRenderedPageBreak/>
        <w:t>1. Setting the Scene: Lloyds Banking Group in the Age of AI</w:t>
      </w:r>
      <w:bookmarkEnd w:id="1"/>
    </w:p>
    <w:p w14:paraId="081159C7" w14:textId="391AC09E" w:rsidR="009B2821" w:rsidRPr="00A77A2A" w:rsidRDefault="009B2821" w:rsidP="00A77A2A">
      <w:pPr>
        <w:spacing w:before="80" w:after="120" w:line="360" w:lineRule="auto"/>
        <w:jc w:val="both"/>
        <w:rPr>
          <w:rFonts w:ascii="Times New Roman" w:hAnsi="Times New Roman"/>
        </w:rPr>
      </w:pPr>
      <w:r w:rsidRPr="009B2821">
        <w:rPr>
          <w:rFonts w:ascii="Times New Roman" w:hAnsi="Times New Roman"/>
        </w:rPr>
        <w:t>The sophistication of the artificial intelligence implementation in a customer-facing and controlled business, where the company is in the control, is barely noticeable as it is in the case of the Lloyds Banking Group. Lloyds, which is the largest retail bank in the United Kingdom has a demographically diverse customer base and clients include students, pensioners, mortgage holders and business owners. Retail banks must work in a space where the consequences of an algorithm error are immediately apparent, visible, and can be prosecuted by law, unlike pharmaceutical or tech companies. Denial of a mortgage loan, a false alert on a fraud, or even a miscalculated credit limit can impact real people in a matter of just a few hours, when a model makes a decision.</w:t>
      </w:r>
    </w:p>
    <w:p w14:paraId="39D3E814" w14:textId="1FAB4778" w:rsidR="00BD2C45" w:rsidRPr="00A77A2A" w:rsidRDefault="00BD2C45" w:rsidP="00A77A2A">
      <w:pPr>
        <w:spacing w:before="80" w:after="120" w:line="360" w:lineRule="auto"/>
        <w:jc w:val="both"/>
        <w:rPr>
          <w:rFonts w:ascii="Times New Roman" w:hAnsi="Times New Roman"/>
        </w:rPr>
      </w:pPr>
      <w:r w:rsidRPr="00A77A2A">
        <w:rPr>
          <w:rFonts w:ascii="Times New Roman" w:hAnsi="Times New Roman"/>
        </w:rPr>
        <w:t xml:space="preserve">In this regard, </w:t>
      </w:r>
      <w:r w:rsidR="00A77A2A" w:rsidRPr="00A77A2A">
        <w:rPr>
          <w:rFonts w:ascii="Times New Roman" w:hAnsi="Times New Roman"/>
        </w:rPr>
        <w:t>Lloyds has invested over 4 billion in digital transformation, and by 2025,</w:t>
      </w:r>
      <w:r w:rsidRPr="00A77A2A">
        <w:rPr>
          <w:rFonts w:ascii="Times New Roman" w:hAnsi="Times New Roman"/>
        </w:rPr>
        <w:t xml:space="preserve"> it has introduced more than 50 generative AI solutions, forecasting AI-generated value of 100 million pounds by 2026 (Lloyds Banking Group, 2024). The scale at which AI is already </w:t>
      </w:r>
      <w:r w:rsidR="00A77A2A" w:rsidRPr="00A77A2A">
        <w:rPr>
          <w:rFonts w:ascii="Times New Roman" w:hAnsi="Times New Roman"/>
        </w:rPr>
        <w:t>operating within its system is evident in the Group's collaboration with Google to trace up to 900 million transactions monthly for financial crime purposes</w:t>
      </w:r>
      <w:r w:rsidRPr="00A77A2A">
        <w:rPr>
          <w:rFonts w:ascii="Times New Roman" w:hAnsi="Times New Roman"/>
        </w:rPr>
        <w:t xml:space="preserve">. But the speed of deployment is not the primary measure of success in this instance. </w:t>
      </w:r>
      <w:proofErr w:type="spellStart"/>
      <w:r w:rsidRPr="00A77A2A">
        <w:rPr>
          <w:rFonts w:ascii="Times New Roman" w:hAnsi="Times New Roman"/>
        </w:rPr>
        <w:t>Heß</w:t>
      </w:r>
      <w:proofErr w:type="spellEnd"/>
      <w:r w:rsidRPr="00A77A2A">
        <w:rPr>
          <w:rFonts w:ascii="Times New Roman" w:hAnsi="Times New Roman"/>
        </w:rPr>
        <w:t xml:space="preserve"> and </w:t>
      </w:r>
      <w:proofErr w:type="spellStart"/>
      <w:r w:rsidRPr="00A77A2A">
        <w:rPr>
          <w:rFonts w:ascii="Times New Roman" w:hAnsi="Times New Roman"/>
        </w:rPr>
        <w:t>Damasia</w:t>
      </w:r>
      <w:proofErr w:type="spellEnd"/>
      <w:r w:rsidRPr="00A77A2A">
        <w:rPr>
          <w:rFonts w:ascii="Times New Roman" w:hAnsi="Times New Roman"/>
        </w:rPr>
        <w:t xml:space="preserve"> (2025) observe that the decade of machine learning investment in the banking sector has led to measurable efficiency gains but </w:t>
      </w:r>
      <w:r w:rsidR="00A77A2A" w:rsidRPr="00A77A2A">
        <w:rPr>
          <w:rFonts w:ascii="Times New Roman" w:hAnsi="Times New Roman"/>
        </w:rPr>
        <w:t>has also introduced model risk, data governance, and accountability challenges, which are only being addressed systematically through regulation</w:t>
      </w:r>
      <w:r w:rsidRPr="00A77A2A">
        <w:rPr>
          <w:rFonts w:ascii="Times New Roman" w:hAnsi="Times New Roman"/>
        </w:rPr>
        <w:t>.</w:t>
      </w:r>
    </w:p>
    <w:p w14:paraId="511C1164" w14:textId="3F2C1575" w:rsidR="009734E2" w:rsidRPr="00A77A2A" w:rsidRDefault="009734E2" w:rsidP="00A77A2A">
      <w:pPr>
        <w:spacing w:before="80" w:after="120" w:line="360" w:lineRule="auto"/>
        <w:jc w:val="both"/>
        <w:rPr>
          <w:rFonts w:ascii="Times New Roman" w:hAnsi="Times New Roman"/>
        </w:rPr>
      </w:pPr>
      <w:r w:rsidRPr="00A77A2A">
        <w:rPr>
          <w:rFonts w:ascii="Times New Roman" w:hAnsi="Times New Roman"/>
        </w:rPr>
        <w:t xml:space="preserve">This report analyses </w:t>
      </w:r>
      <w:r w:rsidR="00CE6EEF" w:rsidRPr="00A77A2A">
        <w:rPr>
          <w:rFonts w:ascii="Times New Roman" w:hAnsi="Times New Roman"/>
        </w:rPr>
        <w:t>Lloyds' AI strategy through</w:t>
      </w:r>
      <w:r w:rsidRPr="00A77A2A">
        <w:rPr>
          <w:rFonts w:ascii="Times New Roman" w:hAnsi="Times New Roman"/>
        </w:rPr>
        <w:t xml:space="preserve"> the two prismatic perspectives of competitive positioning and regulatory responsibility. It outlines the UK regulatory framework, namely, the Consumer Duty of the Financial Conduct Authority ( Financial Conduct Authority, 2022) and the model risk principles of the Prudential Regulation Authority ( Prudential Regulation Authority, 2023 ), and the European Union regulatory framework which is specified by the EU AI Act ( European Parliament, 2024 ), and can be applied to every AI system deployed on EU markets This bi-jurisdiction discussion is especially pertinent since, with its UK headquarters, Lloyds continues to conduct commercial banking and treasury business in the EU member states. The applied analytical frameworks are </w:t>
      </w:r>
      <w:r w:rsidR="00CE6EEF" w:rsidRPr="00A77A2A">
        <w:rPr>
          <w:rFonts w:ascii="Times New Roman" w:hAnsi="Times New Roman"/>
        </w:rPr>
        <w:t>Porter's Diamond, Porter's</w:t>
      </w:r>
      <w:r w:rsidRPr="00A77A2A">
        <w:rPr>
          <w:rFonts w:ascii="Times New Roman" w:hAnsi="Times New Roman"/>
        </w:rPr>
        <w:t xml:space="preserve"> Five Forces</w:t>
      </w:r>
      <w:r w:rsidR="00CE6EEF" w:rsidRPr="00A77A2A">
        <w:rPr>
          <w:rFonts w:ascii="Times New Roman" w:hAnsi="Times New Roman"/>
        </w:rPr>
        <w:t xml:space="preserve">, and PESTLE, which serve as structured lenses for rigorously interrogating the strategic implications of </w:t>
      </w:r>
      <w:r w:rsidR="00A77A2A" w:rsidRPr="00A77A2A">
        <w:rPr>
          <w:rFonts w:ascii="Times New Roman" w:hAnsi="Times New Roman"/>
        </w:rPr>
        <w:t>Lloyds' AI decisions</w:t>
      </w:r>
      <w:r w:rsidRPr="00A77A2A">
        <w:rPr>
          <w:rFonts w:ascii="Times New Roman" w:hAnsi="Times New Roman"/>
        </w:rPr>
        <w:t>.</w:t>
      </w:r>
    </w:p>
    <w:p w14:paraId="1BE53BE6" w14:textId="77777777" w:rsidR="00AD4523" w:rsidRPr="00A77A2A" w:rsidRDefault="005C7783" w:rsidP="00A77A2A">
      <w:pPr>
        <w:spacing w:line="360" w:lineRule="auto"/>
        <w:jc w:val="both"/>
        <w:rPr>
          <w:rFonts w:ascii="Times New Roman" w:hAnsi="Times New Roman"/>
        </w:rPr>
      </w:pPr>
      <w:r w:rsidRPr="00A77A2A">
        <w:rPr>
          <w:rFonts w:ascii="Times New Roman" w:hAnsi="Times New Roman"/>
        </w:rPr>
        <w:br w:type="page"/>
      </w:r>
    </w:p>
    <w:p w14:paraId="4437AE69" w14:textId="77777777" w:rsidR="00AD4523" w:rsidRPr="00A77A2A" w:rsidRDefault="005C7783" w:rsidP="00A77A2A">
      <w:pPr>
        <w:pStyle w:val="Heading1"/>
        <w:spacing w:line="360" w:lineRule="auto"/>
        <w:jc w:val="both"/>
        <w:rPr>
          <w:rFonts w:ascii="Times New Roman" w:hAnsi="Times New Roman" w:cs="Times New Roman"/>
        </w:rPr>
      </w:pPr>
      <w:bookmarkStart w:id="2" w:name="_Toc228210216"/>
      <w:r w:rsidRPr="00A77A2A">
        <w:rPr>
          <w:rFonts w:ascii="Times New Roman" w:hAnsi="Times New Roman" w:cs="Times New Roman"/>
        </w:rPr>
        <w:lastRenderedPageBreak/>
        <w:t>2. Analytical Findings</w:t>
      </w:r>
      <w:bookmarkEnd w:id="2"/>
    </w:p>
    <w:p w14:paraId="272AD367" w14:textId="77777777" w:rsidR="00AD4523" w:rsidRPr="00A77A2A" w:rsidRDefault="005C7783" w:rsidP="00A77A2A">
      <w:pPr>
        <w:pStyle w:val="Heading2"/>
        <w:spacing w:line="360" w:lineRule="auto"/>
        <w:jc w:val="both"/>
        <w:rPr>
          <w:rFonts w:ascii="Times New Roman" w:hAnsi="Times New Roman" w:cs="Times New Roman"/>
        </w:rPr>
      </w:pPr>
      <w:bookmarkStart w:id="3" w:name="_Toc228210217"/>
      <w:r w:rsidRPr="00A77A2A">
        <w:rPr>
          <w:rFonts w:ascii="Times New Roman" w:hAnsi="Times New Roman" w:cs="Times New Roman"/>
        </w:rPr>
        <w:t>2.1 National Competitive Position: Applying Porter's Diamond</w:t>
      </w:r>
      <w:bookmarkEnd w:id="3"/>
    </w:p>
    <w:p w14:paraId="3BC9433F" w14:textId="16D3CD58" w:rsidR="0043108B" w:rsidRPr="00A77A2A" w:rsidRDefault="0043108B" w:rsidP="00A77A2A">
      <w:pPr>
        <w:spacing w:before="60" w:after="40" w:line="360" w:lineRule="auto"/>
        <w:jc w:val="both"/>
        <w:rPr>
          <w:rFonts w:ascii="Times New Roman" w:hAnsi="Times New Roman"/>
        </w:rPr>
      </w:pPr>
      <w:r w:rsidRPr="00A77A2A">
        <w:rPr>
          <w:rFonts w:ascii="Times New Roman" w:hAnsi="Times New Roman"/>
        </w:rPr>
        <w:t xml:space="preserve">The </w:t>
      </w:r>
      <w:r w:rsidR="00A77A2A" w:rsidRPr="00A77A2A">
        <w:rPr>
          <w:rFonts w:ascii="Times New Roman" w:hAnsi="Times New Roman"/>
        </w:rPr>
        <w:t>Porter's</w:t>
      </w:r>
      <w:r w:rsidRPr="00A77A2A">
        <w:rPr>
          <w:rFonts w:ascii="Times New Roman" w:hAnsi="Times New Roman"/>
        </w:rPr>
        <w:t xml:space="preserve"> Diamond of National Advantage (Porter, 1979) </w:t>
      </w:r>
      <w:r w:rsidR="00A77A2A" w:rsidRPr="00A77A2A">
        <w:rPr>
          <w:rFonts w:ascii="Times New Roman" w:hAnsi="Times New Roman"/>
        </w:rPr>
        <w:t>explains why certain industries in certain nations succeed and remain competitive globally</w:t>
      </w:r>
      <w:r w:rsidRPr="00A77A2A">
        <w:rPr>
          <w:rFonts w:ascii="Times New Roman" w:hAnsi="Times New Roman"/>
        </w:rPr>
        <w:t xml:space="preserve">. It is used in AI enabled retail banking in the United Kingdom. It reveals the structural benefits that have enabled Lloyds to become one of the most AI-intensive incumbent banks in the world and the governance weaknesses that can easily undermine that position unless proactively mitigated. Table 1 </w:t>
      </w:r>
      <w:proofErr w:type="spellStart"/>
      <w:r w:rsidR="00A77A2A" w:rsidRPr="00A77A2A">
        <w:rPr>
          <w:rFonts w:ascii="Times New Roman" w:hAnsi="Times New Roman"/>
        </w:rPr>
        <w:t>contextualises</w:t>
      </w:r>
      <w:proofErr w:type="spellEnd"/>
      <w:r w:rsidRPr="00A77A2A">
        <w:rPr>
          <w:rFonts w:ascii="Times New Roman" w:hAnsi="Times New Roman"/>
        </w:rPr>
        <w:t xml:space="preserve"> each of the four diamond determinants to the current AI scenario at Lloyds.</w:t>
      </w:r>
    </w:p>
    <w:p w14:paraId="40971B99" w14:textId="77777777" w:rsidR="00AD4523" w:rsidRPr="00A77A2A" w:rsidRDefault="005C7783" w:rsidP="00A77A2A">
      <w:pPr>
        <w:spacing w:before="100" w:after="60" w:line="360" w:lineRule="auto"/>
        <w:jc w:val="both"/>
        <w:rPr>
          <w:rFonts w:ascii="Times New Roman" w:hAnsi="Times New Roman"/>
        </w:rPr>
      </w:pPr>
      <w:r w:rsidRPr="00A77A2A">
        <w:rPr>
          <w:rFonts w:ascii="Times New Roman" w:eastAsia="Arial" w:hAnsi="Times New Roman"/>
          <w:b/>
          <w:bCs/>
          <w:i/>
          <w:iCs/>
          <w:color w:val="2C5F8A"/>
          <w:sz w:val="20"/>
          <w:szCs w:val="20"/>
        </w:rPr>
        <w:t>Table 1: Porter's Diamond Applied to Lloyds Banking Group's AI Strategy (Source: Self-made)</w:t>
      </w:r>
    </w:p>
    <w:tbl>
      <w:tblPr>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700"/>
        <w:gridCol w:w="3526"/>
      </w:tblGrid>
      <w:tr w:rsidR="00AD4523" w:rsidRPr="00A77A2A" w14:paraId="29C1EA4E" w14:textId="77777777" w:rsidTr="000916DF">
        <w:trPr>
          <w:tblHeader/>
        </w:trPr>
        <w:tc>
          <w:tcPr>
            <w:tcW w:w="2000" w:type="dxa"/>
            <w:tcBorders>
              <w:top w:val="single" w:sz="1" w:space="0" w:color="BBBBBB"/>
              <w:left w:val="single" w:sz="1" w:space="0" w:color="BBBBBB"/>
              <w:bottom w:val="single" w:sz="1" w:space="0" w:color="BBBBBB"/>
              <w:right w:val="single" w:sz="1" w:space="0" w:color="BBBBBB"/>
            </w:tcBorders>
            <w:shd w:val="clear" w:color="auto" w:fill="1C3D5A"/>
            <w:tcMar>
              <w:top w:w="100" w:type="dxa"/>
              <w:left w:w="120" w:type="dxa"/>
              <w:bottom w:w="100" w:type="dxa"/>
              <w:right w:w="120" w:type="dxa"/>
            </w:tcMar>
            <w:vAlign w:val="center"/>
          </w:tcPr>
          <w:p w14:paraId="000A850B"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eastAsia="Arial" w:hAnsi="Times New Roman"/>
                <w:b/>
                <w:bCs/>
                <w:color w:val="FFFFFF"/>
                <w:sz w:val="22"/>
                <w:szCs w:val="22"/>
              </w:rPr>
              <w:t>Diamond Determinant</w:t>
            </w:r>
          </w:p>
        </w:tc>
        <w:tc>
          <w:tcPr>
            <w:tcW w:w="3700" w:type="dxa"/>
            <w:tcBorders>
              <w:top w:val="single" w:sz="1" w:space="0" w:color="BBBBBB"/>
              <w:left w:val="single" w:sz="1" w:space="0" w:color="BBBBBB"/>
              <w:bottom w:val="single" w:sz="1" w:space="0" w:color="BBBBBB"/>
              <w:right w:val="single" w:sz="1" w:space="0" w:color="BBBBBB"/>
            </w:tcBorders>
            <w:shd w:val="clear" w:color="auto" w:fill="1C3D5A"/>
            <w:tcMar>
              <w:top w:w="100" w:type="dxa"/>
              <w:left w:w="120" w:type="dxa"/>
              <w:bottom w:w="100" w:type="dxa"/>
              <w:right w:w="120" w:type="dxa"/>
            </w:tcMar>
            <w:vAlign w:val="center"/>
          </w:tcPr>
          <w:p w14:paraId="2E9E9CE9"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eastAsia="Arial" w:hAnsi="Times New Roman"/>
                <w:b/>
                <w:bCs/>
                <w:color w:val="FFFFFF"/>
                <w:sz w:val="22"/>
                <w:szCs w:val="22"/>
              </w:rPr>
              <w:t>Relevance to Lloyds Banking Group</w:t>
            </w:r>
          </w:p>
        </w:tc>
        <w:tc>
          <w:tcPr>
            <w:tcW w:w="3526" w:type="dxa"/>
            <w:tcBorders>
              <w:top w:val="single" w:sz="1" w:space="0" w:color="BBBBBB"/>
              <w:left w:val="single" w:sz="1" w:space="0" w:color="BBBBBB"/>
              <w:bottom w:val="single" w:sz="1" w:space="0" w:color="BBBBBB"/>
              <w:right w:val="single" w:sz="1" w:space="0" w:color="BBBBBB"/>
            </w:tcBorders>
            <w:shd w:val="clear" w:color="auto" w:fill="1C3D5A"/>
            <w:tcMar>
              <w:top w:w="100" w:type="dxa"/>
              <w:left w:w="120" w:type="dxa"/>
              <w:bottom w:w="100" w:type="dxa"/>
              <w:right w:w="120" w:type="dxa"/>
            </w:tcMar>
            <w:vAlign w:val="center"/>
          </w:tcPr>
          <w:p w14:paraId="15F66D0B"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eastAsia="Arial" w:hAnsi="Times New Roman"/>
                <w:b/>
                <w:bCs/>
                <w:color w:val="FFFFFF"/>
                <w:sz w:val="22"/>
                <w:szCs w:val="22"/>
              </w:rPr>
              <w:t>AI Governance Consideration</w:t>
            </w:r>
          </w:p>
        </w:tc>
      </w:tr>
      <w:tr w:rsidR="00AD4523" w:rsidRPr="00A77A2A" w14:paraId="515E3F43" w14:textId="77777777">
        <w:tc>
          <w:tcPr>
            <w:tcW w:w="2000" w:type="dxa"/>
            <w:tcBorders>
              <w:top w:val="single" w:sz="1" w:space="0" w:color="BBBBBB"/>
              <w:left w:val="single" w:sz="1" w:space="0" w:color="BBBBBB"/>
              <w:bottom w:val="single" w:sz="1" w:space="0" w:color="BBBBBB"/>
              <w:right w:val="single" w:sz="1" w:space="0" w:color="BBBBBB"/>
            </w:tcBorders>
            <w:shd w:val="clear" w:color="auto" w:fill="E8F1F8"/>
            <w:tcMar>
              <w:top w:w="80" w:type="dxa"/>
              <w:left w:w="120" w:type="dxa"/>
              <w:bottom w:w="80" w:type="dxa"/>
              <w:right w:w="120" w:type="dxa"/>
            </w:tcMar>
          </w:tcPr>
          <w:p w14:paraId="0F468BBB"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b/>
                <w:bCs/>
                <w:color w:val="000000"/>
                <w:sz w:val="22"/>
                <w:szCs w:val="22"/>
              </w:rPr>
              <w:t>Factor Conditions</w:t>
            </w:r>
          </w:p>
        </w:tc>
        <w:tc>
          <w:tcPr>
            <w:tcW w:w="3700" w:type="dxa"/>
            <w:tcBorders>
              <w:top w:val="single" w:sz="1" w:space="0" w:color="BBBBBB"/>
              <w:left w:val="single" w:sz="1" w:space="0" w:color="BBBBBB"/>
              <w:bottom w:val="single" w:sz="1" w:space="0" w:color="BBBBBB"/>
              <w:right w:val="single" w:sz="1" w:space="0" w:color="BBBBBB"/>
            </w:tcBorders>
            <w:shd w:val="clear" w:color="auto" w:fill="E8F1F8"/>
            <w:tcMar>
              <w:top w:w="80" w:type="dxa"/>
              <w:left w:w="120" w:type="dxa"/>
              <w:bottom w:w="80" w:type="dxa"/>
              <w:right w:w="120" w:type="dxa"/>
            </w:tcMar>
          </w:tcPr>
          <w:p w14:paraId="206B2CCC" w14:textId="00012860"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Lloyds commands significant technology infrastructure and has committed over £4 billion to digital transformation (Lloyds Banking Group, 2024). More than 23 million customers are digitally active, providing a rich proprietary data environment</w:t>
            </w:r>
          </w:p>
        </w:tc>
        <w:tc>
          <w:tcPr>
            <w:tcW w:w="3526" w:type="dxa"/>
            <w:tcBorders>
              <w:top w:val="single" w:sz="1" w:space="0" w:color="BBBBBB"/>
              <w:left w:val="single" w:sz="1" w:space="0" w:color="BBBBBB"/>
              <w:bottom w:val="single" w:sz="1" w:space="0" w:color="BBBBBB"/>
              <w:right w:val="single" w:sz="1" w:space="0" w:color="BBBBBB"/>
            </w:tcBorders>
            <w:shd w:val="clear" w:color="auto" w:fill="E8F1F8"/>
            <w:tcMar>
              <w:top w:w="80" w:type="dxa"/>
              <w:left w:w="120" w:type="dxa"/>
              <w:bottom w:w="80" w:type="dxa"/>
              <w:right w:w="120" w:type="dxa"/>
            </w:tcMar>
          </w:tcPr>
          <w:p w14:paraId="4AA259DD"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Proprietary customer data constitutes a strategic asset; however, governance of this data directly determines the fairness and reliability of AI-driven decisions (Goodman and Flaxman, 2017)</w:t>
            </w:r>
          </w:p>
        </w:tc>
      </w:tr>
      <w:tr w:rsidR="00AD4523" w:rsidRPr="00A77A2A" w14:paraId="691D828E" w14:textId="77777777">
        <w:tc>
          <w:tcPr>
            <w:tcW w:w="20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14:paraId="27ADCE39"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b/>
                <w:bCs/>
                <w:color w:val="000000"/>
                <w:sz w:val="22"/>
                <w:szCs w:val="22"/>
              </w:rPr>
              <w:t>Demand Conditions</w:t>
            </w:r>
          </w:p>
        </w:tc>
        <w:tc>
          <w:tcPr>
            <w:tcW w:w="37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14:paraId="51CD353A"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 xml:space="preserve">UK retail banking customers increasingly expect </w:t>
            </w:r>
            <w:proofErr w:type="spellStart"/>
            <w:r w:rsidRPr="000916DF">
              <w:rPr>
                <w:rFonts w:ascii="Times New Roman" w:hAnsi="Times New Roman"/>
                <w:color w:val="000000"/>
                <w:sz w:val="22"/>
                <w:szCs w:val="22"/>
              </w:rPr>
              <w:t>personalised</w:t>
            </w:r>
            <w:proofErr w:type="spellEnd"/>
            <w:r w:rsidRPr="000916DF">
              <w:rPr>
                <w:rFonts w:ascii="Times New Roman" w:hAnsi="Times New Roman"/>
                <w:color w:val="000000"/>
                <w:sz w:val="22"/>
                <w:szCs w:val="22"/>
              </w:rPr>
              <w:t xml:space="preserve">, real-time digital services. Challenger banks have raised consumer expectations considerably, creating sophisticated home-market demand (Florian Ulrich-Diener, </w:t>
            </w:r>
            <w:proofErr w:type="spellStart"/>
            <w:r w:rsidRPr="000916DF">
              <w:rPr>
                <w:rFonts w:ascii="Times New Roman" w:hAnsi="Times New Roman"/>
                <w:color w:val="000000"/>
                <w:sz w:val="22"/>
                <w:szCs w:val="22"/>
              </w:rPr>
              <w:t>Dvouletý</w:t>
            </w:r>
            <w:proofErr w:type="spellEnd"/>
            <w:r w:rsidRPr="000916DF">
              <w:rPr>
                <w:rFonts w:ascii="Times New Roman" w:hAnsi="Times New Roman"/>
                <w:color w:val="000000"/>
                <w:sz w:val="22"/>
                <w:szCs w:val="22"/>
              </w:rPr>
              <w:t xml:space="preserve"> and </w:t>
            </w:r>
            <w:proofErr w:type="spellStart"/>
            <w:r w:rsidRPr="000916DF">
              <w:rPr>
                <w:rFonts w:ascii="Times New Roman" w:hAnsi="Times New Roman"/>
                <w:color w:val="000000"/>
                <w:sz w:val="22"/>
                <w:szCs w:val="22"/>
              </w:rPr>
              <w:t>Špaček</w:t>
            </w:r>
            <w:proofErr w:type="spellEnd"/>
            <w:r w:rsidRPr="000916DF">
              <w:rPr>
                <w:rFonts w:ascii="Times New Roman" w:hAnsi="Times New Roman"/>
                <w:color w:val="000000"/>
                <w:sz w:val="22"/>
                <w:szCs w:val="22"/>
              </w:rPr>
              <w:t>, 2023)</w:t>
            </w:r>
          </w:p>
        </w:tc>
        <w:tc>
          <w:tcPr>
            <w:tcW w:w="3526"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14:paraId="487FC7B7"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Sophisticated demand accelerates AI deployment; however, customers also demand transparency and fairness in automated decisions, creating accountability obligations that must be embedded into AI design from the outset (Financial Conduct Authority, 2022)</w:t>
            </w:r>
          </w:p>
        </w:tc>
      </w:tr>
      <w:tr w:rsidR="00AD4523" w:rsidRPr="00A77A2A" w14:paraId="406A34F4" w14:textId="77777777">
        <w:tc>
          <w:tcPr>
            <w:tcW w:w="2000" w:type="dxa"/>
            <w:tcBorders>
              <w:top w:val="single" w:sz="1" w:space="0" w:color="BBBBBB"/>
              <w:left w:val="single" w:sz="1" w:space="0" w:color="BBBBBB"/>
              <w:bottom w:val="single" w:sz="1" w:space="0" w:color="BBBBBB"/>
              <w:right w:val="single" w:sz="1" w:space="0" w:color="BBBBBB"/>
            </w:tcBorders>
            <w:shd w:val="clear" w:color="auto" w:fill="E8F1F8"/>
            <w:tcMar>
              <w:top w:w="80" w:type="dxa"/>
              <w:left w:w="120" w:type="dxa"/>
              <w:bottom w:w="80" w:type="dxa"/>
              <w:right w:w="120" w:type="dxa"/>
            </w:tcMar>
          </w:tcPr>
          <w:p w14:paraId="2C2681F1"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b/>
                <w:bCs/>
                <w:color w:val="000000"/>
                <w:sz w:val="22"/>
                <w:szCs w:val="22"/>
              </w:rPr>
              <w:t>Related and Supporting Industries</w:t>
            </w:r>
          </w:p>
        </w:tc>
        <w:tc>
          <w:tcPr>
            <w:tcW w:w="3700" w:type="dxa"/>
            <w:tcBorders>
              <w:top w:val="single" w:sz="1" w:space="0" w:color="BBBBBB"/>
              <w:left w:val="single" w:sz="1" w:space="0" w:color="BBBBBB"/>
              <w:bottom w:val="single" w:sz="1" w:space="0" w:color="BBBBBB"/>
              <w:right w:val="single" w:sz="1" w:space="0" w:color="BBBBBB"/>
            </w:tcBorders>
            <w:shd w:val="clear" w:color="auto" w:fill="E8F1F8"/>
            <w:tcMar>
              <w:top w:w="80" w:type="dxa"/>
              <w:left w:w="120" w:type="dxa"/>
              <w:bottom w:w="80" w:type="dxa"/>
              <w:right w:w="120" w:type="dxa"/>
            </w:tcMar>
          </w:tcPr>
          <w:p w14:paraId="5C53B3CB"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 xml:space="preserve">The UK financial services ecosystem includes fintech collaborators, cloud providers, regulatory sandboxes and an active </w:t>
            </w:r>
            <w:proofErr w:type="spellStart"/>
            <w:r w:rsidRPr="000916DF">
              <w:rPr>
                <w:rFonts w:ascii="Times New Roman" w:hAnsi="Times New Roman"/>
                <w:color w:val="000000"/>
                <w:sz w:val="22"/>
                <w:szCs w:val="22"/>
              </w:rPr>
              <w:t>RegTech</w:t>
            </w:r>
            <w:proofErr w:type="spellEnd"/>
            <w:r w:rsidRPr="000916DF">
              <w:rPr>
                <w:rFonts w:ascii="Times New Roman" w:hAnsi="Times New Roman"/>
                <w:color w:val="000000"/>
                <w:sz w:val="22"/>
                <w:szCs w:val="22"/>
              </w:rPr>
              <w:t xml:space="preserve"> sector (</w:t>
            </w:r>
            <w:proofErr w:type="spellStart"/>
            <w:r w:rsidRPr="000916DF">
              <w:rPr>
                <w:rFonts w:ascii="Times New Roman" w:hAnsi="Times New Roman"/>
                <w:color w:val="000000"/>
                <w:sz w:val="22"/>
                <w:szCs w:val="22"/>
              </w:rPr>
              <w:t>Arner</w:t>
            </w:r>
            <w:proofErr w:type="spellEnd"/>
            <w:r w:rsidRPr="000916DF">
              <w:rPr>
                <w:rFonts w:ascii="Times New Roman" w:hAnsi="Times New Roman"/>
                <w:color w:val="000000"/>
                <w:sz w:val="22"/>
                <w:szCs w:val="22"/>
              </w:rPr>
              <w:t xml:space="preserve">, </w:t>
            </w:r>
            <w:proofErr w:type="spellStart"/>
            <w:r w:rsidRPr="000916DF">
              <w:rPr>
                <w:rFonts w:ascii="Times New Roman" w:hAnsi="Times New Roman"/>
                <w:color w:val="000000"/>
                <w:sz w:val="22"/>
                <w:szCs w:val="22"/>
              </w:rPr>
              <w:t>Barberis</w:t>
            </w:r>
            <w:proofErr w:type="spellEnd"/>
            <w:r w:rsidRPr="000916DF">
              <w:rPr>
                <w:rFonts w:ascii="Times New Roman" w:hAnsi="Times New Roman"/>
                <w:color w:val="000000"/>
                <w:sz w:val="22"/>
                <w:szCs w:val="22"/>
              </w:rPr>
              <w:t xml:space="preserve"> and Buckley, 2016). Lloyds benefits </w:t>
            </w:r>
            <w:r w:rsidRPr="000916DF">
              <w:rPr>
                <w:rFonts w:ascii="Times New Roman" w:hAnsi="Times New Roman"/>
                <w:color w:val="000000"/>
                <w:sz w:val="22"/>
                <w:szCs w:val="22"/>
              </w:rPr>
              <w:lastRenderedPageBreak/>
              <w:t>from this infrastructure but is also exposed to third-party AI vendor risk</w:t>
            </w:r>
          </w:p>
        </w:tc>
        <w:tc>
          <w:tcPr>
            <w:tcW w:w="3526" w:type="dxa"/>
            <w:tcBorders>
              <w:top w:val="single" w:sz="1" w:space="0" w:color="BBBBBB"/>
              <w:left w:val="single" w:sz="1" w:space="0" w:color="BBBBBB"/>
              <w:bottom w:val="single" w:sz="1" w:space="0" w:color="BBBBBB"/>
              <w:right w:val="single" w:sz="1" w:space="0" w:color="BBBBBB"/>
            </w:tcBorders>
            <w:shd w:val="clear" w:color="auto" w:fill="E8F1F8"/>
            <w:tcMar>
              <w:top w:w="80" w:type="dxa"/>
              <w:left w:w="120" w:type="dxa"/>
              <w:bottom w:w="80" w:type="dxa"/>
              <w:right w:w="120" w:type="dxa"/>
            </w:tcMar>
          </w:tcPr>
          <w:p w14:paraId="12256A43" w14:textId="7127A6A4"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lastRenderedPageBreak/>
              <w:t xml:space="preserve">Third-party AI dependencies introduce data governance and accountability risks. The PRA (2023) model risk principles require banks to maintain oversight of externally </w:t>
            </w:r>
            <w:r w:rsidRPr="000916DF">
              <w:rPr>
                <w:rFonts w:ascii="Times New Roman" w:hAnsi="Times New Roman"/>
                <w:color w:val="000000"/>
                <w:sz w:val="22"/>
                <w:szCs w:val="22"/>
              </w:rPr>
              <w:lastRenderedPageBreak/>
              <w:t>sourced models regardless of their commercial origin</w:t>
            </w:r>
            <w:r w:rsidR="00CE6EEF" w:rsidRPr="000916DF">
              <w:rPr>
                <w:rFonts w:ascii="Times New Roman" w:hAnsi="Times New Roman"/>
                <w:color w:val="000000"/>
                <w:sz w:val="22"/>
                <w:szCs w:val="22"/>
              </w:rPr>
              <w:t>.</w:t>
            </w:r>
          </w:p>
        </w:tc>
      </w:tr>
      <w:tr w:rsidR="00AD4523" w:rsidRPr="00A77A2A" w14:paraId="304582D3" w14:textId="77777777">
        <w:tc>
          <w:tcPr>
            <w:tcW w:w="20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14:paraId="457E395A"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b/>
                <w:bCs/>
                <w:color w:val="000000"/>
                <w:sz w:val="22"/>
                <w:szCs w:val="22"/>
              </w:rPr>
              <w:lastRenderedPageBreak/>
              <w:t>Firm Strategy, Structure and Rivalry</w:t>
            </w:r>
          </w:p>
        </w:tc>
        <w:tc>
          <w:tcPr>
            <w:tcW w:w="3700"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14:paraId="166AFAD4" w14:textId="1FE8B6EF"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 xml:space="preserve">Competitive pressure from challenger banks and </w:t>
            </w:r>
            <w:proofErr w:type="spellStart"/>
            <w:r w:rsidRPr="000916DF">
              <w:rPr>
                <w:rFonts w:ascii="Times New Roman" w:hAnsi="Times New Roman"/>
                <w:color w:val="000000"/>
                <w:sz w:val="22"/>
                <w:szCs w:val="22"/>
              </w:rPr>
              <w:t>BigTech</w:t>
            </w:r>
            <w:proofErr w:type="spellEnd"/>
            <w:r w:rsidRPr="000916DF">
              <w:rPr>
                <w:rFonts w:ascii="Times New Roman" w:hAnsi="Times New Roman"/>
                <w:color w:val="000000"/>
                <w:sz w:val="22"/>
                <w:szCs w:val="22"/>
              </w:rPr>
              <w:t xml:space="preserve"> entrants is intensifying. McKinsey and Company (2025) note that fintechs are defining the frontier of agentic AI innovation</w:t>
            </w:r>
            <w:r w:rsidR="00CE6EEF" w:rsidRPr="000916DF">
              <w:rPr>
                <w:rFonts w:ascii="Times New Roman" w:hAnsi="Times New Roman"/>
                <w:color w:val="000000"/>
                <w:sz w:val="22"/>
                <w:szCs w:val="22"/>
              </w:rPr>
              <w:t>,</w:t>
            </w:r>
            <w:r w:rsidRPr="000916DF">
              <w:rPr>
                <w:rFonts w:ascii="Times New Roman" w:hAnsi="Times New Roman"/>
                <w:color w:val="000000"/>
                <w:sz w:val="22"/>
                <w:szCs w:val="22"/>
              </w:rPr>
              <w:t xml:space="preserve"> whilst incumbents concentrate on reliability and compliance-driven deployment</w:t>
            </w:r>
            <w:r w:rsidR="00CE6EEF" w:rsidRPr="000916DF">
              <w:rPr>
                <w:rFonts w:ascii="Times New Roman" w:hAnsi="Times New Roman"/>
                <w:color w:val="000000"/>
                <w:sz w:val="22"/>
                <w:szCs w:val="22"/>
              </w:rPr>
              <w:t>.</w:t>
            </w:r>
          </w:p>
        </w:tc>
        <w:tc>
          <w:tcPr>
            <w:tcW w:w="3526" w:type="dxa"/>
            <w:tcBorders>
              <w:top w:val="single" w:sz="1" w:space="0" w:color="BBBBBB"/>
              <w:left w:val="single" w:sz="1" w:space="0" w:color="BBBBBB"/>
              <w:bottom w:val="single" w:sz="1" w:space="0" w:color="BBBBBB"/>
              <w:right w:val="single" w:sz="1" w:space="0" w:color="BBBBBB"/>
            </w:tcBorders>
            <w:shd w:val="clear" w:color="auto" w:fill="FFFFFF"/>
            <w:tcMar>
              <w:top w:w="80" w:type="dxa"/>
              <w:left w:w="120" w:type="dxa"/>
              <w:bottom w:w="80" w:type="dxa"/>
              <w:right w:w="120" w:type="dxa"/>
            </w:tcMar>
          </w:tcPr>
          <w:p w14:paraId="21255549" w14:textId="77777777" w:rsidR="00AD4523" w:rsidRPr="000916DF" w:rsidRDefault="005C7783" w:rsidP="00A77A2A">
            <w:pPr>
              <w:spacing w:line="360" w:lineRule="auto"/>
              <w:jc w:val="both"/>
              <w:rPr>
                <w:rFonts w:ascii="Times New Roman" w:hAnsi="Times New Roman"/>
                <w:sz w:val="22"/>
                <w:szCs w:val="22"/>
              </w:rPr>
            </w:pPr>
            <w:r w:rsidRPr="000916DF">
              <w:rPr>
                <w:rFonts w:ascii="Times New Roman" w:hAnsi="Times New Roman"/>
                <w:color w:val="000000"/>
                <w:sz w:val="22"/>
                <w:szCs w:val="22"/>
              </w:rPr>
              <w:t xml:space="preserve">Governance quality is becoming a competitive differentiator; banks demonstrating auditable, explainable and fair AI systems will build institutional trust that digital-only entrants struggle to replicate (English and </w:t>
            </w:r>
            <w:proofErr w:type="spellStart"/>
            <w:r w:rsidRPr="000916DF">
              <w:rPr>
                <w:rFonts w:ascii="Times New Roman" w:hAnsi="Times New Roman"/>
                <w:color w:val="000000"/>
                <w:sz w:val="22"/>
                <w:szCs w:val="22"/>
              </w:rPr>
              <w:t>Fascinari</w:t>
            </w:r>
            <w:proofErr w:type="spellEnd"/>
            <w:r w:rsidRPr="000916DF">
              <w:rPr>
                <w:rFonts w:ascii="Times New Roman" w:hAnsi="Times New Roman"/>
                <w:color w:val="000000"/>
                <w:sz w:val="22"/>
                <w:szCs w:val="22"/>
              </w:rPr>
              <w:t>, 2026)</w:t>
            </w:r>
          </w:p>
        </w:tc>
      </w:tr>
    </w:tbl>
    <w:p w14:paraId="75B8A00E" w14:textId="77777777" w:rsidR="00AD4523" w:rsidRPr="00A77A2A" w:rsidRDefault="00AD4523" w:rsidP="00A77A2A">
      <w:pPr>
        <w:spacing w:before="120" w:after="80" w:line="360" w:lineRule="auto"/>
        <w:jc w:val="both"/>
        <w:rPr>
          <w:rFonts w:ascii="Times New Roman" w:hAnsi="Times New Roman"/>
        </w:rPr>
      </w:pPr>
    </w:p>
    <w:p w14:paraId="4EF5CD9F" w14:textId="7F6AD6D3" w:rsidR="008B33DA" w:rsidRPr="00A77A2A" w:rsidRDefault="008B33DA" w:rsidP="00A77A2A">
      <w:pPr>
        <w:spacing w:before="80" w:after="120" w:line="360" w:lineRule="auto"/>
        <w:jc w:val="both"/>
        <w:rPr>
          <w:rFonts w:ascii="Times New Roman" w:hAnsi="Times New Roman"/>
        </w:rPr>
      </w:pPr>
      <w:r w:rsidRPr="00A77A2A">
        <w:rPr>
          <w:rFonts w:ascii="Times New Roman" w:hAnsi="Times New Roman"/>
        </w:rPr>
        <w:t xml:space="preserve">The image that emerges upon reading across the diamond is one of a high level of structural opportunity and specific, manageable governance risks. The conditions of </w:t>
      </w:r>
      <w:r w:rsidR="00A77A2A" w:rsidRPr="00A77A2A">
        <w:rPr>
          <w:rFonts w:ascii="Times New Roman" w:hAnsi="Times New Roman"/>
        </w:rPr>
        <w:t>Lloyd's, its data resources, its relations with customers, and its investments in technology</w:t>
      </w:r>
      <w:r w:rsidRPr="00A77A2A">
        <w:rPr>
          <w:rFonts w:ascii="Times New Roman" w:hAnsi="Times New Roman"/>
        </w:rPr>
        <w:t xml:space="preserve"> are really good. </w:t>
      </w:r>
      <w:proofErr w:type="spellStart"/>
      <w:r w:rsidRPr="00A77A2A">
        <w:rPr>
          <w:rFonts w:ascii="Times New Roman" w:hAnsi="Times New Roman"/>
        </w:rPr>
        <w:t>Iansiti</w:t>
      </w:r>
      <w:proofErr w:type="spellEnd"/>
      <w:r w:rsidRPr="00A77A2A">
        <w:rPr>
          <w:rFonts w:ascii="Times New Roman" w:hAnsi="Times New Roman"/>
        </w:rPr>
        <w:t xml:space="preserve"> and Lakhani (2020) assume that businesses that scale and make AI a core part of their business have competitive advantages that are difficult to reverse; the extent of the AI implementation at Lloyds shows that the company is pursuing just such a form of structure embeddedness. The aspect of the state of demand requirements is particularly educational: the multifaceted expectations of the customers of the UK retail banking enterprise are not only commercial, but also regulatory, with the Consumer Duty expressly declaring the fact that AI systems, in the context of contact with customers, should provide noticeably good outcomes (Financial Conduct Authority, 2022).</w:t>
      </w:r>
    </w:p>
    <w:p w14:paraId="4369A1F6" w14:textId="533BAF1C" w:rsidR="009734E2" w:rsidRPr="00A77A2A" w:rsidRDefault="009734E2" w:rsidP="00A77A2A">
      <w:pPr>
        <w:spacing w:before="80" w:after="120" w:line="360" w:lineRule="auto"/>
        <w:jc w:val="both"/>
        <w:rPr>
          <w:rFonts w:ascii="Times New Roman" w:hAnsi="Times New Roman"/>
        </w:rPr>
      </w:pPr>
      <w:r w:rsidRPr="00A77A2A">
        <w:rPr>
          <w:rFonts w:ascii="Times New Roman" w:hAnsi="Times New Roman"/>
        </w:rPr>
        <w:t xml:space="preserve">This element of related and supporting industries presents a significant warning. Arner, Barberis and Buckley (2016) place the UK fintech ecosystem in the context </w:t>
      </w:r>
      <w:r w:rsidR="005C7783" w:rsidRPr="00A77A2A">
        <w:rPr>
          <w:rFonts w:ascii="Times New Roman" w:hAnsi="Times New Roman"/>
        </w:rPr>
        <w:t>of one of the most developed in the world. Still, the nature of the relationships between banks and fintechs creates regulatory arbitrage risks that conventional governance frameworks were not intended to address</w:t>
      </w:r>
      <w:r w:rsidRPr="00A77A2A">
        <w:rPr>
          <w:rFonts w:ascii="Times New Roman" w:hAnsi="Times New Roman"/>
        </w:rPr>
        <w:t xml:space="preserve">. In the case of Lloyds, where AI systems are becoming more dependent on cloud services and third-party model components, the model risk management principles contained in the PRA (Prudential Regulation Authority, 2023) form the governance architecture, but </w:t>
      </w:r>
      <w:proofErr w:type="spellStart"/>
      <w:r w:rsidR="005C7783" w:rsidRPr="00A77A2A">
        <w:rPr>
          <w:rFonts w:ascii="Times New Roman" w:hAnsi="Times New Roman"/>
        </w:rPr>
        <w:t>operationalising</w:t>
      </w:r>
      <w:proofErr w:type="spellEnd"/>
      <w:r w:rsidRPr="00A77A2A">
        <w:rPr>
          <w:rFonts w:ascii="Times New Roman" w:hAnsi="Times New Roman"/>
        </w:rPr>
        <w:t xml:space="preserve"> the principles necessitates long-term investment in model documentation, validation and oversight beyond contractually required compliance.</w:t>
      </w:r>
    </w:p>
    <w:p w14:paraId="48C0162E" w14:textId="77777777" w:rsidR="00AD4523" w:rsidRPr="00A77A2A" w:rsidRDefault="00AD4523" w:rsidP="00A77A2A">
      <w:pPr>
        <w:spacing w:before="60" w:after="40" w:line="360" w:lineRule="auto"/>
        <w:jc w:val="both"/>
        <w:rPr>
          <w:rFonts w:ascii="Times New Roman" w:hAnsi="Times New Roman"/>
        </w:rPr>
      </w:pPr>
    </w:p>
    <w:p w14:paraId="0C1FC4CC" w14:textId="77777777" w:rsidR="00AD4523" w:rsidRPr="00A77A2A" w:rsidRDefault="005C7783" w:rsidP="00A77A2A">
      <w:pPr>
        <w:pStyle w:val="Heading2"/>
        <w:spacing w:line="360" w:lineRule="auto"/>
        <w:jc w:val="both"/>
        <w:rPr>
          <w:rFonts w:ascii="Times New Roman" w:hAnsi="Times New Roman" w:cs="Times New Roman"/>
        </w:rPr>
      </w:pPr>
      <w:bookmarkStart w:id="4" w:name="_Toc228210218"/>
      <w:r w:rsidRPr="00A77A2A">
        <w:rPr>
          <w:rFonts w:ascii="Times New Roman" w:hAnsi="Times New Roman" w:cs="Times New Roman"/>
        </w:rPr>
        <w:t>2.2 The Macro-Environment: A PESTLE Perspective</w:t>
      </w:r>
      <w:bookmarkEnd w:id="4"/>
    </w:p>
    <w:p w14:paraId="1968308E" w14:textId="7F70AED5" w:rsidR="00AD4523" w:rsidRPr="00A77A2A" w:rsidRDefault="009734E2" w:rsidP="00A77A2A">
      <w:pPr>
        <w:spacing w:before="80" w:after="120" w:line="360" w:lineRule="auto"/>
        <w:jc w:val="both"/>
        <w:rPr>
          <w:rFonts w:ascii="Times New Roman" w:hAnsi="Times New Roman"/>
        </w:rPr>
      </w:pPr>
      <w:r w:rsidRPr="00A77A2A">
        <w:rPr>
          <w:rFonts w:ascii="Times New Roman" w:hAnsi="Times New Roman"/>
        </w:rPr>
        <w:t xml:space="preserve">According to </w:t>
      </w:r>
      <w:proofErr w:type="spellStart"/>
      <w:r w:rsidRPr="00A77A2A">
        <w:rPr>
          <w:rFonts w:ascii="Times New Roman" w:hAnsi="Times New Roman"/>
        </w:rPr>
        <w:t>Belasare</w:t>
      </w:r>
      <w:proofErr w:type="spellEnd"/>
      <w:r w:rsidRPr="00A77A2A">
        <w:rPr>
          <w:rFonts w:ascii="Times New Roman" w:hAnsi="Times New Roman"/>
        </w:rPr>
        <w:t xml:space="preserve"> (2025), </w:t>
      </w:r>
      <w:r w:rsidR="005C7783" w:rsidRPr="00A77A2A">
        <w:rPr>
          <w:rFonts w:ascii="Times New Roman" w:hAnsi="Times New Roman"/>
        </w:rPr>
        <w:t>PESTLE analysis has consistently been among the most practically useful environmental scanning tools in strategic management because</w:t>
      </w:r>
      <w:r w:rsidRPr="00A77A2A">
        <w:rPr>
          <w:rFonts w:ascii="Times New Roman" w:hAnsi="Times New Roman"/>
        </w:rPr>
        <w:t xml:space="preserve"> it compels </w:t>
      </w:r>
      <w:proofErr w:type="spellStart"/>
      <w:r w:rsidRPr="00A77A2A">
        <w:rPr>
          <w:rFonts w:ascii="Times New Roman" w:hAnsi="Times New Roman"/>
        </w:rPr>
        <w:t>organisations</w:t>
      </w:r>
      <w:proofErr w:type="spellEnd"/>
      <w:r w:rsidRPr="00A77A2A">
        <w:rPr>
          <w:rFonts w:ascii="Times New Roman" w:hAnsi="Times New Roman"/>
        </w:rPr>
        <w:t xml:space="preserve"> to address aspects of their external environment that the internal strategic planning process often underestimates. Regarding a retail bank implementing AI on the scale of Lloyds, the six PESTLE dimensions have a significant strategic impact, as Table 2 shows. As discussed in the narrative analysis below, the dimensions </w:t>
      </w:r>
      <w:r w:rsidR="00CE6EEF" w:rsidRPr="00A77A2A">
        <w:rPr>
          <w:rFonts w:ascii="Times New Roman" w:hAnsi="Times New Roman"/>
        </w:rPr>
        <w:t>with the most near-term strategic implications are outlined</w:t>
      </w:r>
      <w:r w:rsidRPr="00A77A2A">
        <w:rPr>
          <w:rFonts w:ascii="Times New Roman" w:hAnsi="Times New Roman"/>
        </w:rPr>
        <w:t>.</w:t>
      </w:r>
    </w:p>
    <w:p w14:paraId="4D1B88A8" w14:textId="77777777" w:rsidR="00AD4523" w:rsidRPr="00A77A2A" w:rsidRDefault="005C7783" w:rsidP="00A77A2A">
      <w:pPr>
        <w:spacing w:before="100" w:after="60" w:line="360" w:lineRule="auto"/>
        <w:jc w:val="both"/>
        <w:rPr>
          <w:rFonts w:ascii="Times New Roman" w:hAnsi="Times New Roman"/>
        </w:rPr>
      </w:pPr>
      <w:r w:rsidRPr="00A77A2A">
        <w:rPr>
          <w:rFonts w:ascii="Times New Roman" w:eastAsia="Arial" w:hAnsi="Times New Roman"/>
          <w:b/>
          <w:bCs/>
          <w:i/>
          <w:iCs/>
          <w:color w:val="2C5F8A"/>
          <w:sz w:val="20"/>
          <w:szCs w:val="20"/>
        </w:rPr>
        <w:t>Table 2: PESTLE Analysis of Lloyds Banking Group's AI Environment (Source: Self-made)</w:t>
      </w:r>
    </w:p>
    <w:tbl>
      <w:tblPr>
        <w:tblStyle w:val="GridTable4-Accent1"/>
        <w:tblW w:w="9226" w:type="dxa"/>
        <w:tblLook w:val="0000" w:firstRow="0" w:lastRow="0" w:firstColumn="0" w:lastColumn="0" w:noHBand="0" w:noVBand="0"/>
      </w:tblPr>
      <w:tblGrid>
        <w:gridCol w:w="1634"/>
        <w:gridCol w:w="3784"/>
        <w:gridCol w:w="3808"/>
      </w:tblGrid>
      <w:tr w:rsidR="00AD4523" w:rsidRPr="00A77A2A" w14:paraId="3FF67597" w14:textId="77777777" w:rsidTr="009A34CD">
        <w:trPr>
          <w:trHeight w:val="584"/>
          <w:tblHeader/>
        </w:trPr>
        <w:tc>
          <w:tcPr>
            <w:cnfStyle w:val="000010000000" w:firstRow="0" w:lastRow="0" w:firstColumn="0" w:lastColumn="0" w:oddVBand="1" w:evenVBand="0" w:oddHBand="0" w:evenHBand="0" w:firstRowFirstColumn="0" w:firstRowLastColumn="0" w:lastRowFirstColumn="0" w:lastRowLastColumn="0"/>
            <w:tcW w:w="1600" w:type="dxa"/>
          </w:tcPr>
          <w:p w14:paraId="34568367" w14:textId="77777777" w:rsidR="00AD4523" w:rsidRPr="000916DF" w:rsidRDefault="005C7783" w:rsidP="000916DF">
            <w:pPr>
              <w:spacing w:line="360" w:lineRule="auto"/>
              <w:jc w:val="center"/>
              <w:rPr>
                <w:rFonts w:ascii="Times New Roman" w:hAnsi="Times New Roman"/>
                <w:sz w:val="22"/>
                <w:szCs w:val="22"/>
              </w:rPr>
            </w:pPr>
            <w:r w:rsidRPr="000916DF">
              <w:rPr>
                <w:rFonts w:ascii="Times New Roman" w:eastAsia="Arial" w:hAnsi="Times New Roman"/>
                <w:b/>
                <w:bCs/>
                <w:sz w:val="22"/>
                <w:szCs w:val="22"/>
              </w:rPr>
              <w:t>Factor</w:t>
            </w:r>
          </w:p>
        </w:tc>
        <w:tc>
          <w:tcPr>
            <w:tcW w:w="3800" w:type="dxa"/>
          </w:tcPr>
          <w:p w14:paraId="75FBCF3F" w14:textId="77777777" w:rsidR="00AD4523" w:rsidRPr="000916DF" w:rsidRDefault="005C7783" w:rsidP="000916D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rPr>
            </w:pPr>
            <w:r w:rsidRPr="000916DF">
              <w:rPr>
                <w:rFonts w:ascii="Times New Roman" w:eastAsia="Arial" w:hAnsi="Times New Roman"/>
                <w:b/>
                <w:bCs/>
                <w:sz w:val="22"/>
                <w:szCs w:val="22"/>
              </w:rPr>
              <w:t>Macro-Environmental Driver</w:t>
            </w:r>
          </w:p>
        </w:tc>
        <w:tc>
          <w:tcPr>
            <w:cnfStyle w:val="000010000000" w:firstRow="0" w:lastRow="0" w:firstColumn="0" w:lastColumn="0" w:oddVBand="1" w:evenVBand="0" w:oddHBand="0" w:evenHBand="0" w:firstRowFirstColumn="0" w:firstRowLastColumn="0" w:lastRowFirstColumn="0" w:lastRowLastColumn="0"/>
            <w:tcW w:w="3826" w:type="dxa"/>
          </w:tcPr>
          <w:p w14:paraId="584A9301" w14:textId="77777777" w:rsidR="00AD4523" w:rsidRPr="000916DF" w:rsidRDefault="005C7783" w:rsidP="000916DF">
            <w:pPr>
              <w:spacing w:line="360" w:lineRule="auto"/>
              <w:jc w:val="center"/>
              <w:rPr>
                <w:rFonts w:ascii="Times New Roman" w:hAnsi="Times New Roman"/>
                <w:sz w:val="22"/>
                <w:szCs w:val="22"/>
              </w:rPr>
            </w:pPr>
            <w:r w:rsidRPr="000916DF">
              <w:rPr>
                <w:rFonts w:ascii="Times New Roman" w:eastAsia="Arial" w:hAnsi="Times New Roman"/>
                <w:b/>
                <w:bCs/>
                <w:sz w:val="22"/>
                <w:szCs w:val="22"/>
              </w:rPr>
              <w:t>Risk or Opportunity for Lloyds</w:t>
            </w:r>
          </w:p>
        </w:tc>
      </w:tr>
      <w:tr w:rsidR="00AD4523" w:rsidRPr="00A77A2A" w14:paraId="5528E2DE" w14:textId="77777777" w:rsidTr="009A34C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00" w:type="dxa"/>
          </w:tcPr>
          <w:p w14:paraId="6D09EEBB"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b/>
                <w:bCs/>
                <w:sz w:val="22"/>
                <w:szCs w:val="22"/>
              </w:rPr>
              <w:t>Political</w:t>
            </w:r>
          </w:p>
        </w:tc>
        <w:tc>
          <w:tcPr>
            <w:tcW w:w="3800" w:type="dxa"/>
          </w:tcPr>
          <w:p w14:paraId="311863B6" w14:textId="77777777" w:rsidR="00AD4523" w:rsidRPr="000916DF" w:rsidRDefault="005C7783" w:rsidP="000916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rPr>
            </w:pPr>
            <w:r w:rsidRPr="000916DF">
              <w:rPr>
                <w:rFonts w:ascii="Times New Roman" w:hAnsi="Times New Roman"/>
                <w:sz w:val="22"/>
                <w:szCs w:val="22"/>
              </w:rPr>
              <w:t>UK Government pro-innovation AI regulation stance (UK Government, 2023); post-Brexit regulatory divergence from EU; political emphasis on financial inclusion and consumer protection through FCA Consumer Duty (Financial Conduct Authority, 2022)</w:t>
            </w:r>
          </w:p>
        </w:tc>
        <w:tc>
          <w:tcPr>
            <w:cnfStyle w:val="000010000000" w:firstRow="0" w:lastRow="0" w:firstColumn="0" w:lastColumn="0" w:oddVBand="1" w:evenVBand="0" w:oddHBand="0" w:evenHBand="0" w:firstRowFirstColumn="0" w:firstRowLastColumn="0" w:lastRowFirstColumn="0" w:lastRowLastColumn="0"/>
            <w:tcW w:w="3826" w:type="dxa"/>
          </w:tcPr>
          <w:p w14:paraId="0FB606A0" w14:textId="350BE525"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sz w:val="22"/>
                <w:szCs w:val="22"/>
              </w:rPr>
              <w:t xml:space="preserve">Divergence between </w:t>
            </w:r>
            <w:r w:rsidR="00CE6EEF" w:rsidRPr="000916DF">
              <w:rPr>
                <w:rFonts w:ascii="Times New Roman" w:hAnsi="Times New Roman"/>
                <w:sz w:val="22"/>
                <w:szCs w:val="22"/>
              </w:rPr>
              <w:t xml:space="preserve">the UK and EU frameworks may require Lloyd's to maintain dual compliance architectures; the </w:t>
            </w:r>
            <w:r w:rsidRPr="000916DF">
              <w:rPr>
                <w:rFonts w:ascii="Times New Roman" w:hAnsi="Times New Roman"/>
                <w:sz w:val="22"/>
                <w:szCs w:val="22"/>
              </w:rPr>
              <w:t>Consumer Duty creates direct obligations on AI fairness in customer interactions</w:t>
            </w:r>
            <w:r w:rsidR="00CE6EEF" w:rsidRPr="000916DF">
              <w:rPr>
                <w:rFonts w:ascii="Times New Roman" w:hAnsi="Times New Roman"/>
                <w:sz w:val="22"/>
                <w:szCs w:val="22"/>
              </w:rPr>
              <w:t>.</w:t>
            </w:r>
          </w:p>
        </w:tc>
      </w:tr>
      <w:tr w:rsidR="00AD4523" w:rsidRPr="00A77A2A" w14:paraId="4A3C284B" w14:textId="77777777" w:rsidTr="009A34CD">
        <w:tc>
          <w:tcPr>
            <w:cnfStyle w:val="000010000000" w:firstRow="0" w:lastRow="0" w:firstColumn="0" w:lastColumn="0" w:oddVBand="1" w:evenVBand="0" w:oddHBand="0" w:evenHBand="0" w:firstRowFirstColumn="0" w:firstRowLastColumn="0" w:lastRowFirstColumn="0" w:lastRowLastColumn="0"/>
            <w:tcW w:w="1600" w:type="dxa"/>
          </w:tcPr>
          <w:p w14:paraId="1C944813"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b/>
                <w:bCs/>
                <w:sz w:val="22"/>
                <w:szCs w:val="22"/>
              </w:rPr>
              <w:t>Economic</w:t>
            </w:r>
          </w:p>
        </w:tc>
        <w:tc>
          <w:tcPr>
            <w:tcW w:w="3800" w:type="dxa"/>
          </w:tcPr>
          <w:p w14:paraId="7F9DCA2E" w14:textId="77777777" w:rsidR="00AD4523" w:rsidRPr="000916DF" w:rsidRDefault="005C7783" w:rsidP="000916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rPr>
            </w:pPr>
            <w:r w:rsidRPr="000916DF">
              <w:rPr>
                <w:rFonts w:ascii="Times New Roman" w:hAnsi="Times New Roman"/>
                <w:sz w:val="22"/>
                <w:szCs w:val="22"/>
              </w:rPr>
              <w:t>Elevated interest rates compressing mortgage affordability; cost-of-living pressures on retail customers; competitive pressure on margins from fintech entrants; Lloyds committed over £4 billion to digital transformation (Lloyds Banking Group, 2024)</w:t>
            </w:r>
          </w:p>
        </w:tc>
        <w:tc>
          <w:tcPr>
            <w:cnfStyle w:val="000010000000" w:firstRow="0" w:lastRow="0" w:firstColumn="0" w:lastColumn="0" w:oddVBand="1" w:evenVBand="0" w:oddHBand="0" w:evenHBand="0" w:firstRowFirstColumn="0" w:firstRowLastColumn="0" w:lastRowFirstColumn="0" w:lastRowLastColumn="0"/>
            <w:tcW w:w="3826" w:type="dxa"/>
          </w:tcPr>
          <w:p w14:paraId="63623946" w14:textId="04A85F1F"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sz w:val="22"/>
                <w:szCs w:val="22"/>
              </w:rPr>
              <w:t>AI-driven efficiency can reduce cost-to-income ratios; however, AI deployment in mortgage and credit decisions must be demonstrably fair given current economic vulnerabilities of retail customers</w:t>
            </w:r>
            <w:r w:rsidR="00CE6EEF" w:rsidRPr="000916DF">
              <w:rPr>
                <w:rFonts w:ascii="Times New Roman" w:hAnsi="Times New Roman"/>
                <w:sz w:val="22"/>
                <w:szCs w:val="22"/>
              </w:rPr>
              <w:t>.</w:t>
            </w:r>
          </w:p>
        </w:tc>
      </w:tr>
      <w:tr w:rsidR="00AD4523" w:rsidRPr="00A77A2A" w14:paraId="3664C589" w14:textId="77777777" w:rsidTr="009A34C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00" w:type="dxa"/>
          </w:tcPr>
          <w:p w14:paraId="00E29460"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b/>
                <w:bCs/>
                <w:sz w:val="22"/>
                <w:szCs w:val="22"/>
              </w:rPr>
              <w:t>Social</w:t>
            </w:r>
          </w:p>
        </w:tc>
        <w:tc>
          <w:tcPr>
            <w:tcW w:w="3800" w:type="dxa"/>
          </w:tcPr>
          <w:p w14:paraId="0F62D329" w14:textId="77777777" w:rsidR="00AD4523" w:rsidRPr="000916DF" w:rsidRDefault="005C7783" w:rsidP="000916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rPr>
            </w:pPr>
            <w:r w:rsidRPr="000916DF">
              <w:rPr>
                <w:rFonts w:ascii="Times New Roman" w:hAnsi="Times New Roman"/>
                <w:sz w:val="22"/>
                <w:szCs w:val="22"/>
              </w:rPr>
              <w:t xml:space="preserve">Growing consumer demand for digital banking; heightened awareness of data rights post-GDPR; financial vulnerability among significant customer segments; public concern about algorithmic bias (Cristina, Gomes and </w:t>
            </w:r>
            <w:proofErr w:type="spellStart"/>
            <w:r w:rsidRPr="000916DF">
              <w:rPr>
                <w:rFonts w:ascii="Times New Roman" w:hAnsi="Times New Roman"/>
                <w:sz w:val="22"/>
                <w:szCs w:val="22"/>
              </w:rPr>
              <w:t>Rigobon</w:t>
            </w:r>
            <w:proofErr w:type="spellEnd"/>
            <w:r w:rsidRPr="000916DF">
              <w:rPr>
                <w:rFonts w:ascii="Times New Roman" w:hAnsi="Times New Roman"/>
                <w:sz w:val="22"/>
                <w:szCs w:val="22"/>
              </w:rPr>
              <w:t>, 2023)</w:t>
            </w:r>
          </w:p>
        </w:tc>
        <w:tc>
          <w:tcPr>
            <w:cnfStyle w:val="000010000000" w:firstRow="0" w:lastRow="0" w:firstColumn="0" w:lastColumn="0" w:oddVBand="1" w:evenVBand="0" w:oddHBand="0" w:evenHBand="0" w:firstRowFirstColumn="0" w:firstRowLastColumn="0" w:lastRowFirstColumn="0" w:lastRowLastColumn="0"/>
            <w:tcW w:w="3826" w:type="dxa"/>
          </w:tcPr>
          <w:p w14:paraId="5D4B8CC8" w14:textId="718C2EC3"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sz w:val="22"/>
                <w:szCs w:val="22"/>
              </w:rPr>
              <w:t>Customer trust is a commercial asset: biased or opaque AI decisions risk regulatory sanction, reputational damage and customer attrition across Lloyds' 28 million customer base</w:t>
            </w:r>
            <w:r w:rsidR="00CE6EEF" w:rsidRPr="000916DF">
              <w:rPr>
                <w:rFonts w:ascii="Times New Roman" w:hAnsi="Times New Roman"/>
                <w:sz w:val="22"/>
                <w:szCs w:val="22"/>
              </w:rPr>
              <w:t>.</w:t>
            </w:r>
          </w:p>
        </w:tc>
      </w:tr>
      <w:tr w:rsidR="00AD4523" w:rsidRPr="00A77A2A" w14:paraId="39F4B773" w14:textId="77777777" w:rsidTr="009A34CD">
        <w:tc>
          <w:tcPr>
            <w:cnfStyle w:val="000010000000" w:firstRow="0" w:lastRow="0" w:firstColumn="0" w:lastColumn="0" w:oddVBand="1" w:evenVBand="0" w:oddHBand="0" w:evenHBand="0" w:firstRowFirstColumn="0" w:firstRowLastColumn="0" w:lastRowFirstColumn="0" w:lastRowLastColumn="0"/>
            <w:tcW w:w="1600" w:type="dxa"/>
          </w:tcPr>
          <w:p w14:paraId="52FAF814"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b/>
                <w:bCs/>
                <w:sz w:val="22"/>
                <w:szCs w:val="22"/>
              </w:rPr>
              <w:lastRenderedPageBreak/>
              <w:t>Technological</w:t>
            </w:r>
          </w:p>
        </w:tc>
        <w:tc>
          <w:tcPr>
            <w:tcW w:w="3800" w:type="dxa"/>
          </w:tcPr>
          <w:p w14:paraId="010BF2E8" w14:textId="2E0541F0" w:rsidR="00AD4523" w:rsidRPr="000916DF" w:rsidRDefault="005C7783" w:rsidP="000916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rPr>
            </w:pPr>
            <w:r w:rsidRPr="000916DF">
              <w:rPr>
                <w:rFonts w:ascii="Times New Roman" w:hAnsi="Times New Roman"/>
                <w:sz w:val="22"/>
                <w:szCs w:val="22"/>
              </w:rPr>
              <w:t xml:space="preserve">Rapid advancement of generative and agentic AI; Lloyds deployed over fifty GenAI solutions in 2025 and is scaling agentic AI through 2026 (Lloyds Banking Group, 2024); Google Dynamic Risk Assessment system </w:t>
            </w:r>
            <w:r w:rsidR="00CE6EEF" w:rsidRPr="000916DF">
              <w:rPr>
                <w:rFonts w:ascii="Times New Roman" w:hAnsi="Times New Roman"/>
                <w:sz w:val="22"/>
                <w:szCs w:val="22"/>
              </w:rPr>
              <w:t>checks</w:t>
            </w:r>
            <w:r w:rsidRPr="000916DF">
              <w:rPr>
                <w:rFonts w:ascii="Times New Roman" w:hAnsi="Times New Roman"/>
                <w:sz w:val="22"/>
                <w:szCs w:val="22"/>
              </w:rPr>
              <w:t xml:space="preserve"> 900 million monthly transactions for financial crime</w:t>
            </w:r>
          </w:p>
        </w:tc>
        <w:tc>
          <w:tcPr>
            <w:cnfStyle w:val="000010000000" w:firstRow="0" w:lastRow="0" w:firstColumn="0" w:lastColumn="0" w:oddVBand="1" w:evenVBand="0" w:oddHBand="0" w:evenHBand="0" w:firstRowFirstColumn="0" w:firstRowLastColumn="0" w:lastRowFirstColumn="0" w:lastRowLastColumn="0"/>
            <w:tcW w:w="3826" w:type="dxa"/>
          </w:tcPr>
          <w:p w14:paraId="42726760" w14:textId="4776DF66"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sz w:val="22"/>
                <w:szCs w:val="22"/>
              </w:rPr>
              <w:t xml:space="preserve">Technology leadership provides </w:t>
            </w:r>
            <w:r w:rsidR="00CE6EEF" w:rsidRPr="000916DF">
              <w:rPr>
                <w:rFonts w:ascii="Times New Roman" w:hAnsi="Times New Roman"/>
                <w:sz w:val="22"/>
                <w:szCs w:val="22"/>
              </w:rPr>
              <w:t xml:space="preserve">a </w:t>
            </w:r>
            <w:r w:rsidRPr="000916DF">
              <w:rPr>
                <w:rFonts w:ascii="Times New Roman" w:hAnsi="Times New Roman"/>
                <w:sz w:val="22"/>
                <w:szCs w:val="22"/>
              </w:rPr>
              <w:t>competitive advantage; however, opacity of complex AI models creates explainability challenges under GDPR and Consumer Duty that technical performance alone cannot resolve (Khan et al., 2025)</w:t>
            </w:r>
          </w:p>
        </w:tc>
      </w:tr>
      <w:tr w:rsidR="00AD4523" w:rsidRPr="00A77A2A" w14:paraId="4378769D" w14:textId="77777777" w:rsidTr="009A34C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00" w:type="dxa"/>
          </w:tcPr>
          <w:p w14:paraId="7C2E9974"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b/>
                <w:bCs/>
                <w:sz w:val="22"/>
                <w:szCs w:val="22"/>
              </w:rPr>
              <w:t>Legal</w:t>
            </w:r>
          </w:p>
        </w:tc>
        <w:tc>
          <w:tcPr>
            <w:tcW w:w="3800" w:type="dxa"/>
          </w:tcPr>
          <w:p w14:paraId="22C1FFD0" w14:textId="77777777" w:rsidR="00AD4523" w:rsidRPr="000916DF" w:rsidRDefault="005C7783" w:rsidP="000916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rPr>
            </w:pPr>
            <w:r w:rsidRPr="000916DF">
              <w:rPr>
                <w:rFonts w:ascii="Times New Roman" w:hAnsi="Times New Roman"/>
                <w:sz w:val="22"/>
                <w:szCs w:val="22"/>
              </w:rPr>
              <w:t>UK GDPR Article 22 rights against solely automated decisions; FCA Consumer Duty (Financial Conduct Authority, 2022); PRA Model Risk Management Principles (Prudential Regulation Authority, 2023); EU AI Act high-risk classification of credit scoring AI (European Parliament, 2024)</w:t>
            </w:r>
          </w:p>
        </w:tc>
        <w:tc>
          <w:tcPr>
            <w:cnfStyle w:val="000010000000" w:firstRow="0" w:lastRow="0" w:firstColumn="0" w:lastColumn="0" w:oddVBand="1" w:evenVBand="0" w:oddHBand="0" w:evenHBand="0" w:firstRowFirstColumn="0" w:firstRowLastColumn="0" w:lastRowFirstColumn="0" w:lastRowLastColumn="0"/>
            <w:tcW w:w="3826" w:type="dxa"/>
          </w:tcPr>
          <w:p w14:paraId="077F8E08"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sz w:val="22"/>
                <w:szCs w:val="22"/>
              </w:rPr>
              <w:t>Credit scoring AI is classified as high-risk under the EU AI Act, requiring conformity assessment, bias testing and mandatory explainability; failure to comply risks enforcement action and reputational exposure</w:t>
            </w:r>
          </w:p>
        </w:tc>
      </w:tr>
      <w:tr w:rsidR="00AD4523" w:rsidRPr="00A77A2A" w14:paraId="1E9C814C" w14:textId="77777777" w:rsidTr="009A34CD">
        <w:tc>
          <w:tcPr>
            <w:cnfStyle w:val="000010000000" w:firstRow="0" w:lastRow="0" w:firstColumn="0" w:lastColumn="0" w:oddVBand="1" w:evenVBand="0" w:oddHBand="0" w:evenHBand="0" w:firstRowFirstColumn="0" w:firstRowLastColumn="0" w:lastRowFirstColumn="0" w:lastRowLastColumn="0"/>
            <w:tcW w:w="1600" w:type="dxa"/>
          </w:tcPr>
          <w:p w14:paraId="7F6B373A"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b/>
                <w:bCs/>
                <w:sz w:val="22"/>
                <w:szCs w:val="22"/>
              </w:rPr>
              <w:t>Environmental</w:t>
            </w:r>
          </w:p>
        </w:tc>
        <w:tc>
          <w:tcPr>
            <w:tcW w:w="3800" w:type="dxa"/>
          </w:tcPr>
          <w:p w14:paraId="4F32B63D" w14:textId="77777777" w:rsidR="00AD4523" w:rsidRPr="000916DF" w:rsidRDefault="005C7783" w:rsidP="000916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rPr>
            </w:pPr>
            <w:r w:rsidRPr="000916DF">
              <w:rPr>
                <w:rFonts w:ascii="Times New Roman" w:hAnsi="Times New Roman"/>
                <w:sz w:val="22"/>
                <w:szCs w:val="22"/>
              </w:rPr>
              <w:t>Growing regulatory and investor expectations around green finance; SDG 13 climate action commitments; computational energy demands of large-scale AI training; ESG disclosure requirements intensifying</w:t>
            </w:r>
          </w:p>
        </w:tc>
        <w:tc>
          <w:tcPr>
            <w:cnfStyle w:val="000010000000" w:firstRow="0" w:lastRow="0" w:firstColumn="0" w:lastColumn="0" w:oddVBand="1" w:evenVBand="0" w:oddHBand="0" w:evenHBand="0" w:firstRowFirstColumn="0" w:firstRowLastColumn="0" w:lastRowFirstColumn="0" w:lastRowLastColumn="0"/>
            <w:tcW w:w="3826" w:type="dxa"/>
          </w:tcPr>
          <w:p w14:paraId="678619E6" w14:textId="77777777" w:rsidR="00AD4523" w:rsidRPr="000916DF" w:rsidRDefault="005C7783" w:rsidP="000916DF">
            <w:pPr>
              <w:spacing w:line="360" w:lineRule="auto"/>
              <w:jc w:val="both"/>
              <w:rPr>
                <w:rFonts w:ascii="Times New Roman" w:hAnsi="Times New Roman"/>
                <w:sz w:val="22"/>
                <w:szCs w:val="22"/>
              </w:rPr>
            </w:pPr>
            <w:r w:rsidRPr="000916DF">
              <w:rPr>
                <w:rFonts w:ascii="Times New Roman" w:hAnsi="Times New Roman"/>
                <w:sz w:val="22"/>
                <w:szCs w:val="22"/>
              </w:rPr>
              <w:t xml:space="preserve">AI can support green finance product development and ESG analytics; however, the carbon footprint of AI infrastructure must be disclosed credibly to satisfy ESG expectations (Nica, </w:t>
            </w:r>
            <w:proofErr w:type="spellStart"/>
            <w:r w:rsidRPr="000916DF">
              <w:rPr>
                <w:rFonts w:ascii="Times New Roman" w:hAnsi="Times New Roman"/>
                <w:sz w:val="22"/>
                <w:szCs w:val="22"/>
              </w:rPr>
              <w:t>Chiriță</w:t>
            </w:r>
            <w:proofErr w:type="spellEnd"/>
            <w:r w:rsidRPr="000916DF">
              <w:rPr>
                <w:rFonts w:ascii="Times New Roman" w:hAnsi="Times New Roman"/>
                <w:sz w:val="22"/>
                <w:szCs w:val="22"/>
              </w:rPr>
              <w:t xml:space="preserve"> and Georgescu, 2025)</w:t>
            </w:r>
          </w:p>
        </w:tc>
      </w:tr>
    </w:tbl>
    <w:p w14:paraId="7518F3EF" w14:textId="77777777" w:rsidR="00AD4523" w:rsidRPr="00A77A2A" w:rsidRDefault="00AD4523" w:rsidP="00A77A2A">
      <w:pPr>
        <w:spacing w:before="120" w:after="80" w:line="360" w:lineRule="auto"/>
        <w:jc w:val="both"/>
        <w:rPr>
          <w:rFonts w:ascii="Times New Roman" w:hAnsi="Times New Roman"/>
        </w:rPr>
      </w:pPr>
    </w:p>
    <w:p w14:paraId="7E3A9FA6" w14:textId="60C10674" w:rsidR="009734E2" w:rsidRPr="00A77A2A" w:rsidRDefault="009734E2" w:rsidP="00A77A2A">
      <w:pPr>
        <w:spacing w:before="60" w:after="40" w:line="360" w:lineRule="auto"/>
        <w:jc w:val="both"/>
        <w:rPr>
          <w:rFonts w:ascii="Times New Roman" w:hAnsi="Times New Roman"/>
        </w:rPr>
      </w:pPr>
      <w:r w:rsidRPr="00A77A2A">
        <w:rPr>
          <w:rFonts w:ascii="Times New Roman" w:hAnsi="Times New Roman"/>
        </w:rPr>
        <w:t xml:space="preserve">The legal aspect should be given a special focus since it generates direct, tangible compliance requirements as opposed to </w:t>
      </w:r>
      <w:proofErr w:type="spellStart"/>
      <w:r w:rsidR="00CE6EEF" w:rsidRPr="00A77A2A">
        <w:rPr>
          <w:rFonts w:ascii="Times New Roman" w:hAnsi="Times New Roman"/>
        </w:rPr>
        <w:t>conceptualising</w:t>
      </w:r>
      <w:proofErr w:type="spellEnd"/>
      <w:r w:rsidRPr="00A77A2A">
        <w:rPr>
          <w:rFonts w:ascii="Times New Roman" w:hAnsi="Times New Roman"/>
        </w:rPr>
        <w:t xml:space="preserve"> risk in an abstract way. </w:t>
      </w:r>
      <w:r w:rsidR="00CE6EEF" w:rsidRPr="00A77A2A">
        <w:rPr>
          <w:rFonts w:ascii="Times New Roman" w:hAnsi="Times New Roman"/>
        </w:rPr>
        <w:t>The EU AI Act (European Parliament, 2024) classifies credit scoring and creditworthiness assessment AI as high-risk, triggering conformity assessment requirements, mandatory bias testing, technical documentation, and human supervision prior to deployment</w:t>
      </w:r>
      <w:r w:rsidRPr="00A77A2A">
        <w:rPr>
          <w:rFonts w:ascii="Times New Roman" w:hAnsi="Times New Roman"/>
        </w:rPr>
        <w:t xml:space="preserve"> in EU markets. This is not a side issue </w:t>
      </w:r>
      <w:r w:rsidR="00CE6EEF" w:rsidRPr="00A77A2A">
        <w:rPr>
          <w:rFonts w:ascii="Times New Roman" w:hAnsi="Times New Roman"/>
        </w:rPr>
        <w:t xml:space="preserve">for Lloyds' commercial banking activities, which span </w:t>
      </w:r>
      <w:r w:rsidRPr="00A77A2A">
        <w:rPr>
          <w:rFonts w:ascii="Times New Roman" w:hAnsi="Times New Roman"/>
        </w:rPr>
        <w:t xml:space="preserve">EU member countries. The European Banking Authority (2025) has released comprehensive </w:t>
      </w:r>
      <w:r w:rsidR="00A77A2A" w:rsidRPr="00A77A2A">
        <w:rPr>
          <w:rFonts w:ascii="Times New Roman" w:hAnsi="Times New Roman"/>
        </w:rPr>
        <w:t xml:space="preserve">guidance on how the Act will impact EU banking, with credit AI governance a pressing priority for </w:t>
      </w:r>
      <w:r w:rsidRPr="00A77A2A">
        <w:rPr>
          <w:rFonts w:ascii="Times New Roman" w:hAnsi="Times New Roman"/>
        </w:rPr>
        <w:t>supervised institutions.</w:t>
      </w:r>
    </w:p>
    <w:p w14:paraId="4DE48FA0" w14:textId="595C25BD" w:rsidR="00AD4523" w:rsidRPr="00A77A2A" w:rsidRDefault="009734E2" w:rsidP="00A77A2A">
      <w:pPr>
        <w:spacing w:before="60" w:after="40" w:line="360" w:lineRule="auto"/>
        <w:jc w:val="both"/>
        <w:rPr>
          <w:rFonts w:ascii="Times New Roman" w:hAnsi="Times New Roman"/>
        </w:rPr>
      </w:pPr>
      <w:r w:rsidRPr="00A77A2A">
        <w:rPr>
          <w:rFonts w:ascii="Times New Roman" w:hAnsi="Times New Roman"/>
        </w:rPr>
        <w:t xml:space="preserve">The political aspect </w:t>
      </w:r>
      <w:r w:rsidR="00CE6EEF" w:rsidRPr="00A77A2A">
        <w:rPr>
          <w:rFonts w:ascii="Times New Roman" w:hAnsi="Times New Roman"/>
        </w:rPr>
        <w:t>operates through other mechanisms,</w:t>
      </w:r>
      <w:r w:rsidRPr="00A77A2A">
        <w:rPr>
          <w:rFonts w:ascii="Times New Roman" w:hAnsi="Times New Roman"/>
        </w:rPr>
        <w:t xml:space="preserve"> but it is also determinant. The pro-innovation AI regulation framework by the UK Government (2023) is strategically designed </w:t>
      </w:r>
      <w:r w:rsidRPr="00A77A2A">
        <w:rPr>
          <w:rFonts w:ascii="Times New Roman" w:hAnsi="Times New Roman"/>
        </w:rPr>
        <w:lastRenderedPageBreak/>
        <w:t xml:space="preserve">without prescriptive rules to establish principle-based regulation, which introduces both flexibility and uncertainty. Miller (2023) suggests that </w:t>
      </w:r>
      <w:r w:rsidR="00CE6EEF" w:rsidRPr="00A77A2A">
        <w:rPr>
          <w:rFonts w:ascii="Times New Roman" w:hAnsi="Times New Roman"/>
        </w:rPr>
        <w:t xml:space="preserve">macro-environmental factors are most useful when </w:t>
      </w:r>
      <w:proofErr w:type="spellStart"/>
      <w:r w:rsidR="00CE6EEF" w:rsidRPr="00A77A2A">
        <w:rPr>
          <w:rFonts w:ascii="Times New Roman" w:hAnsi="Times New Roman"/>
        </w:rPr>
        <w:t>organisations</w:t>
      </w:r>
      <w:proofErr w:type="spellEnd"/>
      <w:r w:rsidR="00CE6EEF" w:rsidRPr="00A77A2A">
        <w:rPr>
          <w:rFonts w:ascii="Times New Roman" w:hAnsi="Times New Roman"/>
        </w:rPr>
        <w:t xml:space="preserve"> have passed the description stage, helping</w:t>
      </w:r>
      <w:r w:rsidRPr="00A77A2A">
        <w:rPr>
          <w:rFonts w:ascii="Times New Roman" w:hAnsi="Times New Roman"/>
        </w:rPr>
        <w:t xml:space="preserve"> determine how each factor alters the strategic calculus</w:t>
      </w:r>
      <w:r w:rsidR="00CE6EEF" w:rsidRPr="00A77A2A">
        <w:rPr>
          <w:rFonts w:ascii="Times New Roman" w:hAnsi="Times New Roman"/>
        </w:rPr>
        <w:t>. In</w:t>
      </w:r>
      <w:r w:rsidRPr="00A77A2A">
        <w:rPr>
          <w:rFonts w:ascii="Times New Roman" w:hAnsi="Times New Roman"/>
        </w:rPr>
        <w:t xml:space="preserve"> this instance, political flexibility in the UK opens a window </w:t>
      </w:r>
      <w:r w:rsidR="00CE6EEF" w:rsidRPr="00A77A2A">
        <w:rPr>
          <w:rFonts w:ascii="Times New Roman" w:hAnsi="Times New Roman"/>
        </w:rPr>
        <w:t>through which Lloyds can influence regulatory expectations by actively engaging with them, rather than being a passive recipient</w:t>
      </w:r>
      <w:r w:rsidRPr="00A77A2A">
        <w:rPr>
          <w:rFonts w:ascii="Times New Roman" w:hAnsi="Times New Roman"/>
        </w:rPr>
        <w:t xml:space="preserve">. The AI approach published by the Financial Conduct Authority (2026) explicitly invites companies to co-design governance structures </w:t>
      </w:r>
      <w:r w:rsidR="005C7783" w:rsidRPr="00A77A2A">
        <w:rPr>
          <w:rFonts w:ascii="Times New Roman" w:hAnsi="Times New Roman"/>
        </w:rPr>
        <w:t xml:space="preserve">through its AI Live Testing </w:t>
      </w:r>
      <w:proofErr w:type="spellStart"/>
      <w:r w:rsidR="005C7783" w:rsidRPr="00A77A2A">
        <w:rPr>
          <w:rFonts w:ascii="Times New Roman" w:hAnsi="Times New Roman"/>
        </w:rPr>
        <w:t>programme</w:t>
      </w:r>
      <w:proofErr w:type="spellEnd"/>
      <w:r w:rsidR="005C7783" w:rsidRPr="00A77A2A">
        <w:rPr>
          <w:rFonts w:ascii="Times New Roman" w:hAnsi="Times New Roman"/>
        </w:rPr>
        <w:t>, which represents a real opportunity for Lloyds to exert</w:t>
      </w:r>
      <w:r w:rsidRPr="00A77A2A">
        <w:rPr>
          <w:rFonts w:ascii="Times New Roman" w:hAnsi="Times New Roman"/>
        </w:rPr>
        <w:t xml:space="preserve"> its influence over the standards by which it will ultimately be evaluated.</w:t>
      </w:r>
    </w:p>
    <w:p w14:paraId="5466BFEB" w14:textId="77777777" w:rsidR="00AD4523" w:rsidRPr="00A77A2A" w:rsidRDefault="005C7783" w:rsidP="00A77A2A">
      <w:pPr>
        <w:pStyle w:val="Heading2"/>
        <w:spacing w:line="360" w:lineRule="auto"/>
        <w:jc w:val="both"/>
        <w:rPr>
          <w:rFonts w:ascii="Times New Roman" w:hAnsi="Times New Roman" w:cs="Times New Roman"/>
        </w:rPr>
      </w:pPr>
      <w:bookmarkStart w:id="5" w:name="_Toc228210219"/>
      <w:r w:rsidRPr="00A77A2A">
        <w:rPr>
          <w:rFonts w:ascii="Times New Roman" w:hAnsi="Times New Roman" w:cs="Times New Roman"/>
        </w:rPr>
        <w:t>2.3 Market Forces and the Competitive Threat from Fintech</w:t>
      </w:r>
      <w:bookmarkEnd w:id="5"/>
    </w:p>
    <w:p w14:paraId="6D90BB23" w14:textId="65215C08" w:rsidR="00FF3A96" w:rsidRPr="00A77A2A" w:rsidRDefault="00FF3A96" w:rsidP="00A77A2A">
      <w:pPr>
        <w:spacing w:before="80" w:after="120" w:line="360" w:lineRule="auto"/>
        <w:jc w:val="both"/>
        <w:rPr>
          <w:rFonts w:ascii="Times New Roman" w:hAnsi="Times New Roman"/>
        </w:rPr>
      </w:pPr>
      <w:r w:rsidRPr="00A77A2A">
        <w:rPr>
          <w:rFonts w:ascii="Times New Roman" w:hAnsi="Times New Roman"/>
        </w:rPr>
        <w:t xml:space="preserve">Applying </w:t>
      </w:r>
      <w:r w:rsidR="009F71F4" w:rsidRPr="00A77A2A">
        <w:rPr>
          <w:rFonts w:ascii="Times New Roman" w:hAnsi="Times New Roman"/>
        </w:rPr>
        <w:t xml:space="preserve">Porter's Five Forces analysis to the AI competition (Porter, 1979), the market structure is </w:t>
      </w:r>
      <w:r w:rsidR="00A77A2A" w:rsidRPr="00A77A2A">
        <w:rPr>
          <w:rFonts w:ascii="Times New Roman" w:hAnsi="Times New Roman"/>
        </w:rPr>
        <w:t>less stable than the traditional banking oligopoly</w:t>
      </w:r>
      <w:r w:rsidRPr="00A77A2A">
        <w:rPr>
          <w:rFonts w:ascii="Times New Roman" w:hAnsi="Times New Roman"/>
        </w:rPr>
        <w:t xml:space="preserve">. The intensity of competition among the available players has gone </w:t>
      </w:r>
      <w:r w:rsidR="009F71F4" w:rsidRPr="00A77A2A">
        <w:rPr>
          <w:rFonts w:ascii="Times New Roman" w:hAnsi="Times New Roman"/>
        </w:rPr>
        <w:t>up a notch</w:t>
      </w:r>
      <w:r w:rsidRPr="00A77A2A">
        <w:rPr>
          <w:rFonts w:ascii="Times New Roman" w:hAnsi="Times New Roman"/>
        </w:rPr>
        <w:t xml:space="preserve">. According to McKinsey and Company (2025), the pioneer of agentic and generative AI innovation is reported to be fintech firms: autonomous transaction management as well as real-time credit decisioning are emerging as a vanguard of AI use in established banks, whereas operational efficiency, fraud detection and compliance </w:t>
      </w:r>
      <w:r w:rsidR="00125FB2" w:rsidRPr="00A77A2A">
        <w:rPr>
          <w:rFonts w:ascii="Times New Roman" w:hAnsi="Times New Roman"/>
        </w:rPr>
        <w:t>are</w:t>
      </w:r>
      <w:r w:rsidRPr="00A77A2A">
        <w:rPr>
          <w:rFonts w:ascii="Times New Roman" w:hAnsi="Times New Roman"/>
        </w:rPr>
        <w:t xml:space="preserve"> where AI is currently being used. This distinction is significant because customer-facing AI is rapidly becoming the primary point of sale of retail deposits and current account relationships.</w:t>
      </w:r>
    </w:p>
    <w:p w14:paraId="709DE7ED" w14:textId="2D196AB8" w:rsidR="00FF3A96" w:rsidRPr="00A77A2A" w:rsidRDefault="00FF3A96" w:rsidP="00A77A2A">
      <w:pPr>
        <w:spacing w:before="80" w:after="120" w:line="360" w:lineRule="auto"/>
        <w:jc w:val="both"/>
        <w:rPr>
          <w:rFonts w:ascii="Times New Roman" w:hAnsi="Times New Roman"/>
        </w:rPr>
      </w:pPr>
      <w:r w:rsidRPr="00A77A2A">
        <w:rPr>
          <w:rFonts w:ascii="Times New Roman" w:hAnsi="Times New Roman"/>
        </w:rPr>
        <w:t xml:space="preserve">Digital-native challenger banks have </w:t>
      </w:r>
      <w:r w:rsidR="00125FB2" w:rsidRPr="00A77A2A">
        <w:rPr>
          <w:rFonts w:ascii="Times New Roman" w:hAnsi="Times New Roman"/>
        </w:rPr>
        <w:t>partially reconstructed the threat of new entry that conventional banking theory deems low, given</w:t>
      </w:r>
      <w:r w:rsidRPr="00A77A2A">
        <w:rPr>
          <w:rFonts w:ascii="Times New Roman" w:hAnsi="Times New Roman"/>
        </w:rPr>
        <w:t xml:space="preserve"> capital requirements and regulatory impediments. Florian Ulrich-Diener, </w:t>
      </w:r>
      <w:proofErr w:type="spellStart"/>
      <w:r w:rsidRPr="00A77A2A">
        <w:rPr>
          <w:rFonts w:ascii="Times New Roman" w:hAnsi="Times New Roman"/>
        </w:rPr>
        <w:t>Dvouletý</w:t>
      </w:r>
      <w:proofErr w:type="spellEnd"/>
      <w:r w:rsidRPr="00A77A2A">
        <w:rPr>
          <w:rFonts w:ascii="Times New Roman" w:hAnsi="Times New Roman"/>
        </w:rPr>
        <w:t xml:space="preserve">, and </w:t>
      </w:r>
      <w:proofErr w:type="spellStart"/>
      <w:r w:rsidRPr="00A77A2A">
        <w:rPr>
          <w:rFonts w:ascii="Times New Roman" w:hAnsi="Times New Roman"/>
        </w:rPr>
        <w:t>Špaček</w:t>
      </w:r>
      <w:proofErr w:type="spellEnd"/>
      <w:r w:rsidRPr="00A77A2A">
        <w:rPr>
          <w:rFonts w:ascii="Times New Roman" w:hAnsi="Times New Roman"/>
        </w:rPr>
        <w:t xml:space="preserve"> (2023) report that structural pressure on incumbent banks is primarily </w:t>
      </w:r>
      <w:r w:rsidR="00125FB2" w:rsidRPr="00A77A2A">
        <w:rPr>
          <w:rFonts w:ascii="Times New Roman" w:hAnsi="Times New Roman"/>
        </w:rPr>
        <w:t>driven by digitally agile challengers that can deliver customer experience at lower cost and faster</w:t>
      </w:r>
      <w:r w:rsidRPr="00A77A2A">
        <w:rPr>
          <w:rFonts w:ascii="Times New Roman" w:hAnsi="Times New Roman"/>
        </w:rPr>
        <w:t xml:space="preserve"> than traditional institutions. English and </w:t>
      </w:r>
      <w:proofErr w:type="spellStart"/>
      <w:r w:rsidRPr="00A77A2A">
        <w:rPr>
          <w:rFonts w:ascii="Times New Roman" w:hAnsi="Times New Roman"/>
        </w:rPr>
        <w:t>Fascinari</w:t>
      </w:r>
      <w:proofErr w:type="spellEnd"/>
      <w:r w:rsidRPr="00A77A2A">
        <w:rPr>
          <w:rFonts w:ascii="Times New Roman" w:hAnsi="Times New Roman"/>
        </w:rPr>
        <w:t xml:space="preserve"> (2026) also claim that AI capacity has now become the sixth source of competition</w:t>
      </w:r>
      <w:r w:rsidR="00125FB2" w:rsidRPr="00A77A2A">
        <w:rPr>
          <w:rFonts w:ascii="Times New Roman" w:hAnsi="Times New Roman"/>
        </w:rPr>
        <w:t>,</w:t>
      </w:r>
      <w:r w:rsidRPr="00A77A2A">
        <w:rPr>
          <w:rFonts w:ascii="Times New Roman" w:hAnsi="Times New Roman"/>
        </w:rPr>
        <w:t xml:space="preserve"> redefining competition in </w:t>
      </w:r>
      <w:r w:rsidR="00125FB2" w:rsidRPr="00A77A2A">
        <w:rPr>
          <w:rFonts w:ascii="Times New Roman" w:hAnsi="Times New Roman"/>
        </w:rPr>
        <w:t>ways not originally predicted by Porter's framework</w:t>
      </w:r>
      <w:r w:rsidRPr="00A77A2A">
        <w:rPr>
          <w:rFonts w:ascii="Times New Roman" w:hAnsi="Times New Roman"/>
        </w:rPr>
        <w:t xml:space="preserve">. The presence of open banking has augmented </w:t>
      </w:r>
      <w:r w:rsidR="00125FB2" w:rsidRPr="00A77A2A">
        <w:rPr>
          <w:rFonts w:ascii="Times New Roman" w:hAnsi="Times New Roman"/>
        </w:rPr>
        <w:t xml:space="preserve">buyer power in retail banking, and the FCA Consumer Duty (Financial Conduct Authority, 2022) can be viewed as one of the regulatory measures to </w:t>
      </w:r>
      <w:proofErr w:type="spellStart"/>
      <w:r w:rsidR="00125FB2" w:rsidRPr="00A77A2A">
        <w:rPr>
          <w:rFonts w:ascii="Times New Roman" w:hAnsi="Times New Roman"/>
        </w:rPr>
        <w:t>equalise</w:t>
      </w:r>
      <w:proofErr w:type="spellEnd"/>
      <w:r w:rsidR="00125FB2" w:rsidRPr="00A77A2A">
        <w:rPr>
          <w:rFonts w:ascii="Times New Roman" w:hAnsi="Times New Roman"/>
        </w:rPr>
        <w:t xml:space="preserve"> the power of retail customers in the context</w:t>
      </w:r>
      <w:r w:rsidRPr="00A77A2A">
        <w:rPr>
          <w:rFonts w:ascii="Times New Roman" w:hAnsi="Times New Roman"/>
        </w:rPr>
        <w:t xml:space="preserve"> of AI-based decision-making. </w:t>
      </w:r>
      <w:r w:rsidR="00125FB2" w:rsidRPr="00A77A2A">
        <w:rPr>
          <w:rFonts w:ascii="Times New Roman" w:hAnsi="Times New Roman"/>
        </w:rPr>
        <w:t>Supplier power, which concerns cloud infrastructure and AI talent, is high because the shortage of machine learning engineers with financial domain knowledge</w:t>
      </w:r>
      <w:r w:rsidRPr="00A77A2A">
        <w:rPr>
          <w:rFonts w:ascii="Times New Roman" w:hAnsi="Times New Roman"/>
        </w:rPr>
        <w:t xml:space="preserve"> persists.</w:t>
      </w:r>
    </w:p>
    <w:p w14:paraId="232FA35E" w14:textId="77777777" w:rsidR="00AD4523" w:rsidRPr="00A77A2A" w:rsidRDefault="00AD4523" w:rsidP="00A77A2A">
      <w:pPr>
        <w:spacing w:before="60" w:after="40" w:line="360" w:lineRule="auto"/>
        <w:jc w:val="both"/>
        <w:rPr>
          <w:rFonts w:ascii="Times New Roman" w:hAnsi="Times New Roman"/>
        </w:rPr>
      </w:pPr>
    </w:p>
    <w:p w14:paraId="759B0AA9" w14:textId="77777777" w:rsidR="00AD4523" w:rsidRPr="00A77A2A" w:rsidRDefault="005C7783" w:rsidP="00A77A2A">
      <w:pPr>
        <w:pStyle w:val="Heading2"/>
        <w:spacing w:line="360" w:lineRule="auto"/>
        <w:jc w:val="both"/>
        <w:rPr>
          <w:rFonts w:ascii="Times New Roman" w:hAnsi="Times New Roman" w:cs="Times New Roman"/>
        </w:rPr>
      </w:pPr>
      <w:bookmarkStart w:id="6" w:name="_Toc228210220"/>
      <w:r w:rsidRPr="00A77A2A">
        <w:rPr>
          <w:rFonts w:ascii="Times New Roman" w:hAnsi="Times New Roman" w:cs="Times New Roman"/>
        </w:rPr>
        <w:lastRenderedPageBreak/>
        <w:t>2.4 Where AI Actually Operates: Applications and Risk Exposure</w:t>
      </w:r>
      <w:bookmarkEnd w:id="6"/>
    </w:p>
    <w:p w14:paraId="764D3A7D" w14:textId="62459583" w:rsidR="004F2141" w:rsidRPr="00A77A2A" w:rsidRDefault="004F2141" w:rsidP="00A77A2A">
      <w:pPr>
        <w:spacing w:before="80" w:after="120" w:line="360" w:lineRule="auto"/>
        <w:jc w:val="both"/>
        <w:rPr>
          <w:rFonts w:ascii="Times New Roman" w:hAnsi="Times New Roman"/>
        </w:rPr>
      </w:pPr>
      <w:r w:rsidRPr="00A77A2A">
        <w:rPr>
          <w:rFonts w:ascii="Times New Roman" w:hAnsi="Times New Roman"/>
        </w:rPr>
        <w:t xml:space="preserve">A clear description of the locations where decisions are made or where AI systems </w:t>
      </w:r>
      <w:r w:rsidR="00125FB2" w:rsidRPr="00A77A2A">
        <w:rPr>
          <w:rFonts w:ascii="Times New Roman" w:hAnsi="Times New Roman"/>
        </w:rPr>
        <w:t>materially influence them is required to calculate the risk profile of the AI implementation at Lloyd's</w:t>
      </w:r>
      <w:r w:rsidRPr="00A77A2A">
        <w:rPr>
          <w:rFonts w:ascii="Times New Roman" w:hAnsi="Times New Roman"/>
        </w:rPr>
        <w:t xml:space="preserve">. The most effective applications can be </w:t>
      </w:r>
      <w:r w:rsidR="00125FB2" w:rsidRPr="00A77A2A">
        <w:rPr>
          <w:rFonts w:ascii="Times New Roman" w:hAnsi="Times New Roman"/>
        </w:rPr>
        <w:t>grouped into three categories:</w:t>
      </w:r>
      <w:r w:rsidRPr="00A77A2A">
        <w:rPr>
          <w:rFonts w:ascii="Times New Roman" w:hAnsi="Times New Roman"/>
        </w:rPr>
        <w:t xml:space="preserve"> credit and lending, fraud detection and financial crime prevention, and customer care automation. They all have their own risk </w:t>
      </w:r>
      <w:r w:rsidR="00125FB2" w:rsidRPr="00A77A2A">
        <w:rPr>
          <w:rFonts w:ascii="Times New Roman" w:hAnsi="Times New Roman"/>
        </w:rPr>
        <w:t>profiles, which must be addressed by AI policies</w:t>
      </w:r>
      <w:r w:rsidRPr="00A77A2A">
        <w:rPr>
          <w:rFonts w:ascii="Times New Roman" w:hAnsi="Times New Roman"/>
        </w:rPr>
        <w:t>, but not within the framework of a general AI policy.</w:t>
      </w:r>
    </w:p>
    <w:p w14:paraId="26A18B78" w14:textId="188D3C50" w:rsidR="004F2141" w:rsidRPr="00A77A2A" w:rsidRDefault="004F2141" w:rsidP="00A77A2A">
      <w:pPr>
        <w:spacing w:before="80" w:after="120" w:line="360" w:lineRule="auto"/>
        <w:jc w:val="both"/>
        <w:rPr>
          <w:rFonts w:ascii="Times New Roman" w:hAnsi="Times New Roman"/>
        </w:rPr>
      </w:pPr>
      <w:r w:rsidRPr="00A77A2A">
        <w:rPr>
          <w:rFonts w:ascii="Times New Roman" w:hAnsi="Times New Roman"/>
        </w:rPr>
        <w:t xml:space="preserve">Credit and lending machine learning models decide which </w:t>
      </w:r>
      <w:r w:rsidR="00125FB2" w:rsidRPr="00A77A2A">
        <w:rPr>
          <w:rFonts w:ascii="Times New Roman" w:hAnsi="Times New Roman"/>
        </w:rPr>
        <w:t>customers</w:t>
      </w:r>
      <w:r w:rsidRPr="00A77A2A">
        <w:rPr>
          <w:rFonts w:ascii="Times New Roman" w:hAnsi="Times New Roman"/>
        </w:rPr>
        <w:t xml:space="preserve"> to </w:t>
      </w:r>
      <w:r w:rsidR="009F71F4" w:rsidRPr="00A77A2A">
        <w:rPr>
          <w:rFonts w:ascii="Times New Roman" w:hAnsi="Times New Roman"/>
        </w:rPr>
        <w:t>grant personal loans to, set credit limits for millions of customers annually, and assess</w:t>
      </w:r>
      <w:r w:rsidRPr="00A77A2A">
        <w:rPr>
          <w:rFonts w:ascii="Times New Roman" w:hAnsi="Times New Roman"/>
        </w:rPr>
        <w:t xml:space="preserve"> mortgage affordability. In a preliminary survey of machine learning in banking risk management, Leo, Sharma, and </w:t>
      </w:r>
      <w:proofErr w:type="spellStart"/>
      <w:r w:rsidRPr="00A77A2A">
        <w:rPr>
          <w:rFonts w:ascii="Times New Roman" w:hAnsi="Times New Roman"/>
        </w:rPr>
        <w:t>Maddulety</w:t>
      </w:r>
      <w:proofErr w:type="spellEnd"/>
      <w:r w:rsidRPr="00A77A2A">
        <w:rPr>
          <w:rFonts w:ascii="Times New Roman" w:hAnsi="Times New Roman"/>
        </w:rPr>
        <w:t xml:space="preserve"> (2019) find that machine learning </w:t>
      </w:r>
      <w:r w:rsidR="00125FB2" w:rsidRPr="00A77A2A">
        <w:rPr>
          <w:rFonts w:ascii="Times New Roman" w:hAnsi="Times New Roman"/>
        </w:rPr>
        <w:t>achieves higher predictive performance than traditional scorecard models but with lower</w:t>
      </w:r>
      <w:r w:rsidRPr="00A77A2A">
        <w:rPr>
          <w:rFonts w:ascii="Times New Roman" w:hAnsi="Times New Roman"/>
        </w:rPr>
        <w:t xml:space="preserve"> interpretability. This </w:t>
      </w:r>
      <w:r w:rsidR="009F71F4" w:rsidRPr="00A77A2A">
        <w:rPr>
          <w:rFonts w:ascii="Times New Roman" w:hAnsi="Times New Roman"/>
        </w:rPr>
        <w:t xml:space="preserve">trade-off </w:t>
      </w:r>
      <w:r w:rsidRPr="00A77A2A">
        <w:rPr>
          <w:rFonts w:ascii="Times New Roman" w:hAnsi="Times New Roman"/>
        </w:rPr>
        <w:t xml:space="preserve">has become </w:t>
      </w:r>
      <w:r w:rsidR="009F71F4" w:rsidRPr="00A77A2A">
        <w:rPr>
          <w:rFonts w:ascii="Times New Roman" w:hAnsi="Times New Roman"/>
        </w:rPr>
        <w:t>a primary concern for</w:t>
      </w:r>
      <w:r w:rsidRPr="00A77A2A">
        <w:rPr>
          <w:rFonts w:ascii="Times New Roman" w:hAnsi="Times New Roman"/>
        </w:rPr>
        <w:t xml:space="preserve"> regulatory bodies</w:t>
      </w:r>
      <w:r w:rsidR="00125FB2" w:rsidRPr="00A77A2A">
        <w:rPr>
          <w:rFonts w:ascii="Times New Roman" w:hAnsi="Times New Roman"/>
        </w:rPr>
        <w:t>. According</w:t>
      </w:r>
      <w:r w:rsidRPr="00A77A2A">
        <w:rPr>
          <w:rFonts w:ascii="Times New Roman" w:hAnsi="Times New Roman"/>
        </w:rPr>
        <w:t xml:space="preserve"> to the European Banking Authority (2025), banks are currently on the </w:t>
      </w:r>
      <w:r w:rsidR="009F71F4" w:rsidRPr="00A77A2A">
        <w:rPr>
          <w:rFonts w:ascii="Times New Roman" w:hAnsi="Times New Roman"/>
        </w:rPr>
        <w:t>path to comply with the EU AI Act's requirements for credit scoring, but providing explainability is a technical challenge with gradient boosting and neural network architectures</w:t>
      </w:r>
      <w:r w:rsidRPr="00A77A2A">
        <w:rPr>
          <w:rFonts w:ascii="Times New Roman" w:hAnsi="Times New Roman"/>
        </w:rPr>
        <w:t xml:space="preserve">. </w:t>
      </w:r>
      <w:proofErr w:type="spellStart"/>
      <w:r w:rsidRPr="00A77A2A">
        <w:rPr>
          <w:rFonts w:ascii="Times New Roman" w:hAnsi="Times New Roman"/>
        </w:rPr>
        <w:t>Kozodoi</w:t>
      </w:r>
      <w:proofErr w:type="spellEnd"/>
      <w:r w:rsidRPr="00A77A2A">
        <w:rPr>
          <w:rFonts w:ascii="Times New Roman" w:hAnsi="Times New Roman"/>
        </w:rPr>
        <w:t xml:space="preserve">, Jacob, and </w:t>
      </w:r>
      <w:proofErr w:type="spellStart"/>
      <w:r w:rsidRPr="00A77A2A">
        <w:rPr>
          <w:rFonts w:ascii="Times New Roman" w:hAnsi="Times New Roman"/>
        </w:rPr>
        <w:t>Lessmann</w:t>
      </w:r>
      <w:proofErr w:type="spellEnd"/>
      <w:r w:rsidRPr="00A77A2A">
        <w:rPr>
          <w:rFonts w:ascii="Times New Roman" w:hAnsi="Times New Roman"/>
        </w:rPr>
        <w:t xml:space="preserve"> (2021) </w:t>
      </w:r>
      <w:r w:rsidR="00125FB2" w:rsidRPr="00A77A2A">
        <w:rPr>
          <w:rFonts w:ascii="Times New Roman" w:hAnsi="Times New Roman"/>
        </w:rPr>
        <w:t>examine the fairness consequences of credit-scoring AI in specific cases, revealing that profit-</w:t>
      </w:r>
      <w:proofErr w:type="spellStart"/>
      <w:r w:rsidR="00125FB2" w:rsidRPr="00A77A2A">
        <w:rPr>
          <w:rFonts w:ascii="Times New Roman" w:hAnsi="Times New Roman"/>
        </w:rPr>
        <w:t>maximising</w:t>
      </w:r>
      <w:proofErr w:type="spellEnd"/>
      <w:r w:rsidR="00125FB2" w:rsidRPr="00A77A2A">
        <w:rPr>
          <w:rFonts w:ascii="Times New Roman" w:hAnsi="Times New Roman"/>
        </w:rPr>
        <w:t xml:space="preserve"> models regularly trade off fairness and accuracy, which institutions themselves may not perceive</w:t>
      </w:r>
      <w:r w:rsidRPr="00A77A2A">
        <w:rPr>
          <w:rFonts w:ascii="Times New Roman" w:hAnsi="Times New Roman"/>
        </w:rPr>
        <w:t>.</w:t>
      </w:r>
    </w:p>
    <w:p w14:paraId="73A05F13" w14:textId="1451D37D" w:rsidR="005A1E62" w:rsidRPr="00A77A2A" w:rsidRDefault="005A1E62" w:rsidP="00A77A2A">
      <w:pPr>
        <w:spacing w:before="80" w:after="120" w:line="360" w:lineRule="auto"/>
        <w:jc w:val="both"/>
        <w:rPr>
          <w:rFonts w:ascii="Times New Roman" w:hAnsi="Times New Roman"/>
        </w:rPr>
      </w:pPr>
      <w:r w:rsidRPr="00A77A2A">
        <w:rPr>
          <w:rFonts w:ascii="Times New Roman" w:hAnsi="Times New Roman"/>
        </w:rPr>
        <w:t xml:space="preserve">Another type of risk is fraud detection. The scale of the AI systems deployed by Lloyds, such as the Google collaboration in which 900 million transactions are monitored monthly (Lloyds Banking Group, 2024), </w:t>
      </w:r>
      <w:r w:rsidR="00CE6EEF" w:rsidRPr="00A77A2A">
        <w:rPr>
          <w:rFonts w:ascii="Times New Roman" w:hAnsi="Times New Roman"/>
        </w:rPr>
        <w:t>creates a statistical certainty of false positives with actual implications for</w:t>
      </w:r>
      <w:r w:rsidRPr="00A77A2A">
        <w:rPr>
          <w:rFonts w:ascii="Times New Roman" w:hAnsi="Times New Roman"/>
        </w:rPr>
        <w:t xml:space="preserve"> customers involved. </w:t>
      </w:r>
      <w:r w:rsidR="00CE6EEF" w:rsidRPr="00A77A2A">
        <w:rPr>
          <w:rFonts w:ascii="Times New Roman" w:hAnsi="Times New Roman"/>
        </w:rPr>
        <w:t xml:space="preserve">A bibliometric analysis by Moura, </w:t>
      </w:r>
      <w:proofErr w:type="spellStart"/>
      <w:r w:rsidR="00CE6EEF" w:rsidRPr="00A77A2A">
        <w:rPr>
          <w:rFonts w:ascii="Times New Roman" w:hAnsi="Times New Roman"/>
        </w:rPr>
        <w:t>Barcaui</w:t>
      </w:r>
      <w:proofErr w:type="spellEnd"/>
      <w:r w:rsidR="00CE6EEF" w:rsidRPr="00A77A2A">
        <w:rPr>
          <w:rFonts w:ascii="Times New Roman" w:hAnsi="Times New Roman"/>
        </w:rPr>
        <w:t>, and Payer (2025) shows that the explainability aspect of fraud AI has received significantly less attention than that of credit AI regarding</w:t>
      </w:r>
      <w:r w:rsidRPr="00A77A2A">
        <w:rPr>
          <w:rFonts w:ascii="Times New Roman" w:hAnsi="Times New Roman"/>
        </w:rPr>
        <w:t xml:space="preserve"> the direct consumer harms of transactions falsely flagged. Combined, Fariha et al. (2025), Dichev, Zarkova and Angelov (2025), Patil et al. (2024) and Hafez et al. (2025) show that as much as the model accuracy in fraud detection has increased, the governance frameworks behind these systems, such as how errors are detected, reported and addressed, have not been developed as well as</w:t>
      </w:r>
    </w:p>
    <w:p w14:paraId="224D68E9" w14:textId="1D237877" w:rsidR="005A1E62" w:rsidRPr="00A77A2A" w:rsidRDefault="005A1E62" w:rsidP="00A77A2A">
      <w:pPr>
        <w:spacing w:before="80" w:after="120" w:line="360" w:lineRule="auto"/>
        <w:jc w:val="both"/>
        <w:rPr>
          <w:rFonts w:ascii="Times New Roman" w:hAnsi="Times New Roman"/>
        </w:rPr>
      </w:pPr>
      <w:r w:rsidRPr="00A77A2A">
        <w:rPr>
          <w:rFonts w:ascii="Times New Roman" w:hAnsi="Times New Roman"/>
        </w:rPr>
        <w:t>The third type of risk is associated with customer service automation using AI-based financial assistants. Herein</w:t>
      </w:r>
      <w:r w:rsidR="005C7783" w:rsidRPr="00A77A2A">
        <w:rPr>
          <w:rFonts w:ascii="Times New Roman" w:hAnsi="Times New Roman"/>
        </w:rPr>
        <w:t xml:space="preserve">, the Consumer Duty (Financial Conduct Authority, 2022) makes an explicit requirement: namely, that AI systems in customer contact must demonstrate good outcomes, and the FCA (Financial Conduct Authority, 2025) has indicated that Consumer Duty will be its main </w:t>
      </w:r>
      <w:r w:rsidR="005C7783" w:rsidRPr="00A77A2A">
        <w:rPr>
          <w:rFonts w:ascii="Times New Roman" w:hAnsi="Times New Roman"/>
        </w:rPr>
        <w:lastRenderedPageBreak/>
        <w:t>prism for</w:t>
      </w:r>
      <w:r w:rsidRPr="00A77A2A">
        <w:rPr>
          <w:rFonts w:ascii="Times New Roman" w:hAnsi="Times New Roman"/>
        </w:rPr>
        <w:t xml:space="preserve"> assessing customer-facing AI. According to Batool, </w:t>
      </w:r>
      <w:proofErr w:type="spellStart"/>
      <w:r w:rsidRPr="00A77A2A">
        <w:rPr>
          <w:rFonts w:ascii="Times New Roman" w:hAnsi="Times New Roman"/>
        </w:rPr>
        <w:t>Zowghi</w:t>
      </w:r>
      <w:proofErr w:type="spellEnd"/>
      <w:r w:rsidRPr="00A77A2A">
        <w:rPr>
          <w:rFonts w:ascii="Times New Roman" w:hAnsi="Times New Roman"/>
        </w:rPr>
        <w:t xml:space="preserve"> and </w:t>
      </w:r>
      <w:proofErr w:type="spellStart"/>
      <w:r w:rsidRPr="00A77A2A">
        <w:rPr>
          <w:rFonts w:ascii="Times New Roman" w:hAnsi="Times New Roman"/>
        </w:rPr>
        <w:t>Bano</w:t>
      </w:r>
      <w:proofErr w:type="spellEnd"/>
      <w:r w:rsidRPr="00A77A2A">
        <w:rPr>
          <w:rFonts w:ascii="Times New Roman" w:hAnsi="Times New Roman"/>
        </w:rPr>
        <w:t xml:space="preserve"> (2025), </w:t>
      </w:r>
      <w:r w:rsidR="00CE6EEF" w:rsidRPr="00A77A2A">
        <w:rPr>
          <w:rFonts w:ascii="Times New Roman" w:hAnsi="Times New Roman"/>
        </w:rPr>
        <w:t>responsible AI governance should consider the entire deployment ecosystem, including deployment, monitoring, and customer redress processes, rather than focusing solely on</w:t>
      </w:r>
      <w:r w:rsidRPr="00A77A2A">
        <w:rPr>
          <w:rFonts w:ascii="Times New Roman" w:hAnsi="Times New Roman"/>
        </w:rPr>
        <w:t xml:space="preserve"> the model development stage.</w:t>
      </w:r>
    </w:p>
    <w:p w14:paraId="049DCE6A" w14:textId="77777777" w:rsidR="00AD4523" w:rsidRPr="00A77A2A" w:rsidRDefault="00AD4523" w:rsidP="00A77A2A">
      <w:pPr>
        <w:spacing w:before="60" w:after="40" w:line="360" w:lineRule="auto"/>
        <w:jc w:val="both"/>
        <w:rPr>
          <w:rFonts w:ascii="Times New Roman" w:hAnsi="Times New Roman"/>
        </w:rPr>
      </w:pPr>
    </w:p>
    <w:p w14:paraId="35046039" w14:textId="77777777" w:rsidR="00AD4523" w:rsidRPr="00A77A2A" w:rsidRDefault="005C7783" w:rsidP="00A77A2A">
      <w:pPr>
        <w:pStyle w:val="Heading2"/>
        <w:spacing w:line="360" w:lineRule="auto"/>
        <w:jc w:val="both"/>
        <w:rPr>
          <w:rFonts w:ascii="Times New Roman" w:hAnsi="Times New Roman" w:cs="Times New Roman"/>
        </w:rPr>
      </w:pPr>
      <w:bookmarkStart w:id="7" w:name="_Toc228210221"/>
      <w:r w:rsidRPr="00A77A2A">
        <w:rPr>
          <w:rFonts w:ascii="Times New Roman" w:hAnsi="Times New Roman" w:cs="Times New Roman"/>
        </w:rPr>
        <w:t>2.5 Customer Trust as a Strategic Asset, Not a Compliance Box</w:t>
      </w:r>
      <w:bookmarkEnd w:id="7"/>
    </w:p>
    <w:p w14:paraId="573D0BF4" w14:textId="23DD65AB" w:rsidR="003A1C66" w:rsidRPr="00A77A2A" w:rsidRDefault="003A1C66" w:rsidP="00A77A2A">
      <w:pPr>
        <w:spacing w:before="80" w:after="120" w:line="360" w:lineRule="auto"/>
        <w:jc w:val="both"/>
        <w:rPr>
          <w:rFonts w:ascii="Times New Roman" w:hAnsi="Times New Roman"/>
        </w:rPr>
      </w:pPr>
      <w:r w:rsidRPr="00A77A2A">
        <w:rPr>
          <w:rFonts w:ascii="Times New Roman" w:hAnsi="Times New Roman"/>
        </w:rPr>
        <w:t xml:space="preserve">The role of customer trust in the AI governance discourse is also odd: it can be viewed as a regulatory objective, a reputational asset, and an undefined expectation that cannot be </w:t>
      </w:r>
      <w:proofErr w:type="spellStart"/>
      <w:r w:rsidRPr="00A77A2A">
        <w:rPr>
          <w:rFonts w:ascii="Times New Roman" w:hAnsi="Times New Roman"/>
        </w:rPr>
        <w:t>operationalised</w:t>
      </w:r>
      <w:proofErr w:type="spellEnd"/>
      <w:r w:rsidRPr="00A77A2A">
        <w:rPr>
          <w:rFonts w:ascii="Times New Roman" w:hAnsi="Times New Roman"/>
        </w:rPr>
        <w:t xml:space="preserve"> with precision. In this report, it is viewed as a concrete strategic variable, which </w:t>
      </w:r>
      <w:r w:rsidR="00A77A2A" w:rsidRPr="00A77A2A">
        <w:rPr>
          <w:rFonts w:ascii="Times New Roman" w:hAnsi="Times New Roman"/>
        </w:rPr>
        <w:t>Lloyds must actively manage</w:t>
      </w:r>
      <w:r w:rsidRPr="00A77A2A">
        <w:rPr>
          <w:rFonts w:ascii="Times New Roman" w:hAnsi="Times New Roman"/>
        </w:rPr>
        <w:t xml:space="preserve">. One of the few long-lasting competitive advantages that incumbent firms still enjoy over competitors in retail banking is customer trust, </w:t>
      </w:r>
      <w:r w:rsidR="00A77A2A" w:rsidRPr="00A77A2A">
        <w:rPr>
          <w:rFonts w:ascii="Times New Roman" w:hAnsi="Times New Roman"/>
        </w:rPr>
        <w:t>given low switching costs and limited product differentiation</w:t>
      </w:r>
      <w:r w:rsidRPr="00A77A2A">
        <w:rPr>
          <w:rFonts w:ascii="Times New Roman" w:hAnsi="Times New Roman"/>
        </w:rPr>
        <w:t>. The diminished trust caused by AI failures, unprocessed decision-making, rejections, unjustified, misadjusted fraud warnings, etc., is as a commercial risk as a regulatory risk.</w:t>
      </w:r>
    </w:p>
    <w:p w14:paraId="46B1AD22" w14:textId="2976F269" w:rsidR="003A1C66" w:rsidRPr="00A77A2A" w:rsidRDefault="003A1C66" w:rsidP="00A77A2A">
      <w:pPr>
        <w:spacing w:before="80" w:after="120" w:line="360" w:lineRule="auto"/>
        <w:jc w:val="both"/>
        <w:rPr>
          <w:rFonts w:ascii="Times New Roman" w:hAnsi="Times New Roman"/>
        </w:rPr>
      </w:pPr>
      <w:r w:rsidRPr="00A77A2A">
        <w:rPr>
          <w:rFonts w:ascii="Times New Roman" w:hAnsi="Times New Roman"/>
        </w:rPr>
        <w:t xml:space="preserve">Cristina, Gomes, and </w:t>
      </w:r>
      <w:proofErr w:type="spellStart"/>
      <w:r w:rsidRPr="00A77A2A">
        <w:rPr>
          <w:rFonts w:ascii="Times New Roman" w:hAnsi="Times New Roman"/>
        </w:rPr>
        <w:t>Rigobon</w:t>
      </w:r>
      <w:proofErr w:type="spellEnd"/>
      <w:r w:rsidRPr="00A77A2A">
        <w:rPr>
          <w:rFonts w:ascii="Times New Roman" w:hAnsi="Times New Roman"/>
        </w:rPr>
        <w:t xml:space="preserve"> (2023) present a literature review of algorithmic discrimination in credit markets and suggest that the primary mechanisms through which AI systems discriminate against protected groups are training data bias, proxy variable discrimination, and disparate impact. This is furthered by Wang et al. (2024) </w:t>
      </w:r>
      <w:r w:rsidR="009F71F4" w:rsidRPr="00A77A2A">
        <w:rPr>
          <w:rFonts w:ascii="Times New Roman" w:hAnsi="Times New Roman"/>
        </w:rPr>
        <w:t>to the regulatory dimension, as they note that there is no full-fledged legal and regulatory framework developed to combat algorithmic discrimination, leaving compliance unanswered even in the best intentions of well-intentioned</w:t>
      </w:r>
      <w:r w:rsidRPr="00A77A2A">
        <w:rPr>
          <w:rFonts w:ascii="Times New Roman" w:hAnsi="Times New Roman"/>
        </w:rPr>
        <w:t xml:space="preserve"> institutions. Transparency is the key instrument of establishing and maintaining trust. Goodman and Flaxman (2017) laid the groundwork </w:t>
      </w:r>
      <w:r w:rsidR="00125FB2" w:rsidRPr="00A77A2A">
        <w:rPr>
          <w:rFonts w:ascii="Times New Roman" w:hAnsi="Times New Roman"/>
        </w:rPr>
        <w:t>for a right to explanation under the GDPR by arguing that individuals wronged by an automated decision have a high likelihood</w:t>
      </w:r>
      <w:r w:rsidRPr="00A77A2A">
        <w:rPr>
          <w:rFonts w:ascii="Times New Roman" w:hAnsi="Times New Roman"/>
        </w:rPr>
        <w:t xml:space="preserve"> of a valid claim to a meaningful explanation. Wachter, Mittelstadt and Russell develop this by providing the concept of counterfactual explanations - the explanation to a customer not just why a choice was made, but what needs to be different to achieve a different choice - which satisfies the legal requirements of GDPR Article 22 and real-world requirements of a customer who may want to be informed and dispute the outcome of an automated decision.</w:t>
      </w:r>
    </w:p>
    <w:p w14:paraId="3D3EC680" w14:textId="27F1EF75" w:rsidR="00AD4523" w:rsidRPr="00A77A2A" w:rsidRDefault="005A1E62" w:rsidP="00D25B17">
      <w:pPr>
        <w:spacing w:before="80" w:after="120" w:line="360" w:lineRule="auto"/>
        <w:jc w:val="both"/>
        <w:rPr>
          <w:rFonts w:ascii="Times New Roman" w:hAnsi="Times New Roman"/>
        </w:rPr>
      </w:pPr>
      <w:r w:rsidRPr="00A77A2A">
        <w:rPr>
          <w:rFonts w:ascii="Times New Roman" w:hAnsi="Times New Roman"/>
        </w:rPr>
        <w:t xml:space="preserve">This is translated into an engineering framework by Goncalves and Correia (2025) to show how explainability requirements can be </w:t>
      </w:r>
      <w:proofErr w:type="spellStart"/>
      <w:r w:rsidRPr="00A77A2A">
        <w:rPr>
          <w:rFonts w:ascii="Times New Roman" w:hAnsi="Times New Roman"/>
        </w:rPr>
        <w:t>operationalised</w:t>
      </w:r>
      <w:proofErr w:type="spellEnd"/>
      <w:r w:rsidRPr="00A77A2A">
        <w:rPr>
          <w:rFonts w:ascii="Times New Roman" w:hAnsi="Times New Roman"/>
        </w:rPr>
        <w:t xml:space="preserve"> across the lifecycle of AI development, and is not retrofitted </w:t>
      </w:r>
      <w:r w:rsidR="00CE6EEF" w:rsidRPr="00A77A2A">
        <w:rPr>
          <w:rFonts w:ascii="Times New Roman" w:hAnsi="Times New Roman"/>
        </w:rPr>
        <w:t>at the last moment to meet regulatory audit requirements</w:t>
      </w:r>
      <w:r w:rsidRPr="00A77A2A">
        <w:rPr>
          <w:rFonts w:ascii="Times New Roman" w:hAnsi="Times New Roman"/>
        </w:rPr>
        <w:t xml:space="preserve">. A complementary analytical prism is provided by Hofstede (2001): the relatively high levels of individualism in </w:t>
      </w:r>
      <w:r w:rsidR="00CE6EEF" w:rsidRPr="00A77A2A">
        <w:rPr>
          <w:rFonts w:ascii="Times New Roman" w:hAnsi="Times New Roman"/>
        </w:rPr>
        <w:lastRenderedPageBreak/>
        <w:t>Hofstede's dimensional framework suggest that UK banking customers are more likely to seek clear explanations and means of individual redress when an institution makes decisions that affect</w:t>
      </w:r>
      <w:r w:rsidRPr="00A77A2A">
        <w:rPr>
          <w:rFonts w:ascii="Times New Roman" w:hAnsi="Times New Roman"/>
        </w:rPr>
        <w:t xml:space="preserve"> them</w:t>
      </w:r>
      <w:r w:rsidR="00CE6EEF" w:rsidRPr="00A77A2A">
        <w:rPr>
          <w:rFonts w:ascii="Times New Roman" w:hAnsi="Times New Roman"/>
        </w:rPr>
        <w:t>. The</w:t>
      </w:r>
      <w:r w:rsidRPr="00A77A2A">
        <w:rPr>
          <w:rFonts w:ascii="Times New Roman" w:hAnsi="Times New Roman"/>
        </w:rPr>
        <w:t xml:space="preserve"> Consumer Duty provides both a regulatory force and a means to such redress. Chams and García-Blandon (2019) associate workforce capacity </w:t>
      </w:r>
      <w:r w:rsidR="00CE6EEF" w:rsidRPr="00A77A2A">
        <w:rPr>
          <w:rFonts w:ascii="Times New Roman" w:hAnsi="Times New Roman"/>
        </w:rPr>
        <w:t>with</w:t>
      </w:r>
      <w:r w:rsidRPr="00A77A2A">
        <w:rPr>
          <w:rFonts w:ascii="Times New Roman" w:hAnsi="Times New Roman"/>
        </w:rPr>
        <w:t xml:space="preserve"> ethical reasoning and customer communication with the capacity of institutions to achieve </w:t>
      </w:r>
      <w:r w:rsidR="00CE6EEF" w:rsidRPr="00A77A2A">
        <w:rPr>
          <w:rFonts w:ascii="Times New Roman" w:hAnsi="Times New Roman"/>
        </w:rPr>
        <w:t>the SDG 10 goal of reduced inequalities, which directly applies to how Lloyds trains its customer-facing workers to handle AI-generated decisions that customers question</w:t>
      </w:r>
      <w:r w:rsidRPr="00A77A2A">
        <w:rPr>
          <w:rFonts w:ascii="Times New Roman" w:hAnsi="Times New Roman"/>
        </w:rPr>
        <w:t>.</w:t>
      </w:r>
    </w:p>
    <w:p w14:paraId="2C51F4FE" w14:textId="77777777" w:rsidR="00AD4523" w:rsidRPr="00A77A2A" w:rsidRDefault="005C7783" w:rsidP="00A77A2A">
      <w:pPr>
        <w:pStyle w:val="Heading2"/>
        <w:spacing w:line="360" w:lineRule="auto"/>
        <w:jc w:val="both"/>
        <w:rPr>
          <w:rFonts w:ascii="Times New Roman" w:hAnsi="Times New Roman" w:cs="Times New Roman"/>
        </w:rPr>
      </w:pPr>
      <w:bookmarkStart w:id="8" w:name="_Toc228210222"/>
      <w:r w:rsidRPr="00A77A2A">
        <w:rPr>
          <w:rFonts w:ascii="Times New Roman" w:hAnsi="Times New Roman" w:cs="Times New Roman"/>
        </w:rPr>
        <w:t>2.6 The Regulatory Maze: UK, EU and the Governance Challenge</w:t>
      </w:r>
      <w:bookmarkEnd w:id="8"/>
    </w:p>
    <w:p w14:paraId="3FA47C8A" w14:textId="4EE16171" w:rsidR="005A1E62" w:rsidRPr="00A77A2A" w:rsidRDefault="005A1E62" w:rsidP="00A77A2A">
      <w:pPr>
        <w:spacing w:before="80" w:after="120" w:line="360" w:lineRule="auto"/>
        <w:jc w:val="both"/>
        <w:rPr>
          <w:rFonts w:ascii="Times New Roman" w:hAnsi="Times New Roman"/>
        </w:rPr>
      </w:pPr>
      <w:r w:rsidRPr="00A77A2A">
        <w:rPr>
          <w:rFonts w:ascii="Times New Roman" w:hAnsi="Times New Roman"/>
        </w:rPr>
        <w:t xml:space="preserve">Lloyds </w:t>
      </w:r>
      <w:r w:rsidR="00CE6EEF" w:rsidRPr="00A77A2A">
        <w:rPr>
          <w:rFonts w:ascii="Times New Roman" w:hAnsi="Times New Roman"/>
        </w:rPr>
        <w:t xml:space="preserve">faces the challenge of operating in a dual regulatory environment that is more complex than that </w:t>
      </w:r>
      <w:r w:rsidRPr="00A77A2A">
        <w:rPr>
          <w:rFonts w:ascii="Times New Roman" w:hAnsi="Times New Roman"/>
        </w:rPr>
        <w:t xml:space="preserve">imposed by either jurisdiction separately. The FCA Consumer Duty (Financial Conduct Authority, 2022), the model risk management principles of the Prudential Regulation Authority (Prudential Regulation Authority, 2023) and the Bank of England AI survey framework (Bank of England, 2024) are the main tools in the United Kingdom. The Consumer Duty imposes the condition that AI systems used in retail banking must generate demonstrably good customer outcomes, and senior management will be held to account by the Senior Managers and Certification Regime. The PRA principles </w:t>
      </w:r>
      <w:r w:rsidR="00CE6EEF" w:rsidRPr="00A77A2A">
        <w:rPr>
          <w:rFonts w:ascii="Times New Roman" w:hAnsi="Times New Roman"/>
        </w:rPr>
        <w:t xml:space="preserve">set independent validation of models, ownership of model risk, and continuous performance monitoring as the minimum requirements for all AI models used in </w:t>
      </w:r>
      <w:r w:rsidRPr="00A77A2A">
        <w:rPr>
          <w:rFonts w:ascii="Times New Roman" w:hAnsi="Times New Roman"/>
        </w:rPr>
        <w:t>regulated decision-making.</w:t>
      </w:r>
    </w:p>
    <w:p w14:paraId="244A8B0F" w14:textId="1D0CE2AF" w:rsidR="005A1E62" w:rsidRPr="00A77A2A" w:rsidRDefault="005A1E62" w:rsidP="00A77A2A">
      <w:pPr>
        <w:spacing w:before="80" w:after="120" w:line="360" w:lineRule="auto"/>
        <w:jc w:val="both"/>
        <w:rPr>
          <w:rFonts w:ascii="Times New Roman" w:hAnsi="Times New Roman"/>
        </w:rPr>
      </w:pPr>
      <w:r w:rsidRPr="00A77A2A">
        <w:rPr>
          <w:rFonts w:ascii="Times New Roman" w:hAnsi="Times New Roman"/>
        </w:rPr>
        <w:t xml:space="preserve">The EU AI Act is the first factor that shapes the picture in the European Union (European Parliament, 2024). The Act </w:t>
      </w:r>
      <w:proofErr w:type="spellStart"/>
      <w:r w:rsidR="0079551A" w:rsidRPr="00A77A2A">
        <w:rPr>
          <w:rFonts w:ascii="Times New Roman" w:hAnsi="Times New Roman"/>
        </w:rPr>
        <w:t>categorises</w:t>
      </w:r>
      <w:proofErr w:type="spellEnd"/>
      <w:r w:rsidR="0079551A" w:rsidRPr="00A77A2A">
        <w:rPr>
          <w:rFonts w:ascii="Times New Roman" w:hAnsi="Times New Roman"/>
        </w:rPr>
        <w:t xml:space="preserve"> credit scoring and creditworthiness AI as high-risk, </w:t>
      </w:r>
      <w:r w:rsidR="00CE6EEF" w:rsidRPr="00A77A2A">
        <w:rPr>
          <w:rFonts w:ascii="Times New Roman" w:hAnsi="Times New Roman"/>
        </w:rPr>
        <w:t>requiring conformity assessment, mandatory bias testing, and extensive technical documentation and human oversight mechanisms before deployment</w:t>
      </w:r>
      <w:r w:rsidRPr="00A77A2A">
        <w:rPr>
          <w:rFonts w:ascii="Times New Roman" w:hAnsi="Times New Roman"/>
        </w:rPr>
        <w:t xml:space="preserve">. According to the EBA (2025), nearly </w:t>
      </w:r>
      <w:r w:rsidR="0079551A" w:rsidRPr="00A77A2A">
        <w:rPr>
          <w:rFonts w:ascii="Times New Roman" w:hAnsi="Times New Roman"/>
        </w:rPr>
        <w:t>80% of the surveyed banks have begun AI Act compliance testing for</w:t>
      </w:r>
      <w:r w:rsidRPr="00A77A2A">
        <w:rPr>
          <w:rFonts w:ascii="Times New Roman" w:hAnsi="Times New Roman"/>
        </w:rPr>
        <w:t xml:space="preserve"> credit scoring tools</w:t>
      </w:r>
      <w:r w:rsidR="0079551A" w:rsidRPr="00A77A2A">
        <w:rPr>
          <w:rFonts w:ascii="Times New Roman" w:hAnsi="Times New Roman"/>
        </w:rPr>
        <w:t>. Yet, explainability</w:t>
      </w:r>
      <w:r w:rsidRPr="00A77A2A">
        <w:rPr>
          <w:rFonts w:ascii="Times New Roman" w:hAnsi="Times New Roman"/>
        </w:rPr>
        <w:t xml:space="preserve"> is the most difficult compliance standard to meet. Bryan Cave Leighton Paisner (2026) contend that the regulatory direction of both the UK and </w:t>
      </w:r>
      <w:r w:rsidR="00CE6EEF" w:rsidRPr="00A77A2A">
        <w:rPr>
          <w:rFonts w:ascii="Times New Roman" w:hAnsi="Times New Roman"/>
        </w:rPr>
        <w:t xml:space="preserve">the EU is convergent towards mutual compliance requirements regarding audit trails, human-in-the-loop requirements, and bias documentation, </w:t>
      </w:r>
      <w:r w:rsidR="00572ACC" w:rsidRPr="00A77A2A">
        <w:rPr>
          <w:rFonts w:ascii="Times New Roman" w:hAnsi="Times New Roman"/>
        </w:rPr>
        <w:t>thereby providing the opportunity to have a single governance infrastructure to meet both regimes rather than</w:t>
      </w:r>
      <w:r w:rsidRPr="00A77A2A">
        <w:rPr>
          <w:rFonts w:ascii="Times New Roman" w:hAnsi="Times New Roman"/>
        </w:rPr>
        <w:t xml:space="preserve"> two different compliance </w:t>
      </w:r>
      <w:proofErr w:type="spellStart"/>
      <w:r w:rsidRPr="00A77A2A">
        <w:rPr>
          <w:rFonts w:ascii="Times New Roman" w:hAnsi="Times New Roman"/>
        </w:rPr>
        <w:t>programmes</w:t>
      </w:r>
      <w:proofErr w:type="spellEnd"/>
      <w:r w:rsidRPr="00A77A2A">
        <w:rPr>
          <w:rFonts w:ascii="Times New Roman" w:hAnsi="Times New Roman"/>
        </w:rPr>
        <w:t>.</w:t>
      </w:r>
    </w:p>
    <w:p w14:paraId="706C4815" w14:textId="74D3C1CC" w:rsidR="00AD4523" w:rsidRPr="00A77A2A" w:rsidRDefault="005A1E62" w:rsidP="00D25B17">
      <w:pPr>
        <w:spacing w:before="80" w:after="120" w:line="360" w:lineRule="auto"/>
        <w:jc w:val="both"/>
        <w:rPr>
          <w:rFonts w:ascii="Times New Roman" w:hAnsi="Times New Roman"/>
        </w:rPr>
      </w:pPr>
      <w:r w:rsidRPr="00A77A2A">
        <w:rPr>
          <w:rFonts w:ascii="Times New Roman" w:hAnsi="Times New Roman"/>
        </w:rPr>
        <w:t xml:space="preserve">These legal frameworks are supplemented by </w:t>
      </w:r>
      <w:r w:rsidR="00745377" w:rsidRPr="00A77A2A">
        <w:rPr>
          <w:rFonts w:ascii="Times New Roman" w:hAnsi="Times New Roman"/>
        </w:rPr>
        <w:t>Leslie's</w:t>
      </w:r>
      <w:r w:rsidRPr="00A77A2A">
        <w:rPr>
          <w:rFonts w:ascii="Times New Roman" w:hAnsi="Times New Roman"/>
        </w:rPr>
        <w:t xml:space="preserve"> (2019) AI ethics and safety guidance of the Alan Turing Institute, which offers a principle-based extension of how transparency, fairness, accountability and contestability can be implemented in institutional AI governance. Mittelstadt et al. (2016) note that the ethics of </w:t>
      </w:r>
      <w:r w:rsidR="0079551A" w:rsidRPr="00A77A2A">
        <w:rPr>
          <w:rFonts w:ascii="Times New Roman" w:hAnsi="Times New Roman"/>
        </w:rPr>
        <w:t>algorithms</w:t>
      </w:r>
      <w:r w:rsidRPr="00A77A2A">
        <w:rPr>
          <w:rFonts w:ascii="Times New Roman" w:hAnsi="Times New Roman"/>
        </w:rPr>
        <w:t xml:space="preserve"> cannot be regulated </w:t>
      </w:r>
      <w:r w:rsidR="00CE6EEF" w:rsidRPr="00A77A2A">
        <w:rPr>
          <w:rFonts w:ascii="Times New Roman" w:hAnsi="Times New Roman"/>
        </w:rPr>
        <w:t xml:space="preserve">solely through policy </w:t>
      </w:r>
      <w:r w:rsidR="00CE6EEF" w:rsidRPr="00A77A2A">
        <w:rPr>
          <w:rFonts w:ascii="Times New Roman" w:hAnsi="Times New Roman"/>
        </w:rPr>
        <w:lastRenderedPageBreak/>
        <w:t>documents but should be embedded in model development, deployment,</w:t>
      </w:r>
      <w:r w:rsidRPr="00A77A2A">
        <w:rPr>
          <w:rFonts w:ascii="Times New Roman" w:hAnsi="Times New Roman"/>
        </w:rPr>
        <w:t xml:space="preserve"> and audit processes. A practical point </w:t>
      </w:r>
      <w:r w:rsidR="0079551A" w:rsidRPr="00A77A2A">
        <w:rPr>
          <w:rFonts w:ascii="Times New Roman" w:hAnsi="Times New Roman"/>
        </w:rPr>
        <w:t>made by PricewaterhouseCoopers (2025) in the context of consulting is that, to comply with the Consumer Duty for AI-driven customer journeys, firms need to redesign their governance processes rather than merely documenting</w:t>
      </w:r>
      <w:r w:rsidRPr="00A77A2A">
        <w:rPr>
          <w:rFonts w:ascii="Times New Roman" w:hAnsi="Times New Roman"/>
        </w:rPr>
        <w:t xml:space="preserve"> the existing ones. The DP5/22 discussion paper by the bank of England (2022) clarified that the current framework was generally sufficient to cope with AI risks but would need adjustment to the increasing capabilities; the 2024 update of the survey (Bank of England, 2024) confirmed that in most institutions, the rate of AI adoption had surpassed the development of governance structures, highlighting the necessity of proactive investment.</w:t>
      </w:r>
    </w:p>
    <w:p w14:paraId="0516333C" w14:textId="77777777" w:rsidR="00AD4523" w:rsidRPr="00A77A2A" w:rsidRDefault="005C7783" w:rsidP="00A77A2A">
      <w:pPr>
        <w:pStyle w:val="Heading2"/>
        <w:spacing w:line="360" w:lineRule="auto"/>
        <w:jc w:val="both"/>
        <w:rPr>
          <w:rFonts w:ascii="Times New Roman" w:hAnsi="Times New Roman" w:cs="Times New Roman"/>
        </w:rPr>
      </w:pPr>
      <w:bookmarkStart w:id="9" w:name="_Toc228210223"/>
      <w:r w:rsidRPr="00A77A2A">
        <w:rPr>
          <w:rFonts w:ascii="Times New Roman" w:hAnsi="Times New Roman" w:cs="Times New Roman"/>
        </w:rPr>
        <w:t>2.7 Corporate Governance, Accountability and CSR Obligations</w:t>
      </w:r>
      <w:bookmarkEnd w:id="9"/>
    </w:p>
    <w:p w14:paraId="16ED1B11" w14:textId="0597AB60" w:rsidR="005A1E62" w:rsidRPr="00A77A2A" w:rsidRDefault="005A1E62" w:rsidP="00A77A2A">
      <w:pPr>
        <w:spacing w:line="360" w:lineRule="auto"/>
        <w:jc w:val="both"/>
        <w:rPr>
          <w:rFonts w:ascii="Times New Roman" w:hAnsi="Times New Roman"/>
        </w:rPr>
      </w:pPr>
      <w:r w:rsidRPr="00A77A2A">
        <w:rPr>
          <w:rFonts w:ascii="Times New Roman" w:hAnsi="Times New Roman"/>
        </w:rPr>
        <w:t xml:space="preserve">The AI governance framework at Lloyds needs to be linked back to </w:t>
      </w:r>
      <w:r w:rsidR="0079551A" w:rsidRPr="00A77A2A">
        <w:rPr>
          <w:rFonts w:ascii="Times New Roman" w:hAnsi="Times New Roman"/>
        </w:rPr>
        <w:t>board-level accountability and externally to CSR commitments in a cohesive manner, rather than</w:t>
      </w:r>
      <w:r w:rsidRPr="00A77A2A">
        <w:rPr>
          <w:rFonts w:ascii="Times New Roman" w:hAnsi="Times New Roman"/>
        </w:rPr>
        <w:t xml:space="preserve"> being viewed as two streams. As Hilb (2020) states, decisions with implications </w:t>
      </w:r>
      <w:r w:rsidR="0079551A" w:rsidRPr="00A77A2A">
        <w:rPr>
          <w:rFonts w:ascii="Times New Roman" w:hAnsi="Times New Roman"/>
        </w:rPr>
        <w:t xml:space="preserve">for the application of AI to data, customer impact, regulatory compliance, etc., are strategic in nature and </w:t>
      </w:r>
      <w:r w:rsidRPr="00A77A2A">
        <w:rPr>
          <w:rFonts w:ascii="Times New Roman" w:hAnsi="Times New Roman"/>
        </w:rPr>
        <w:t xml:space="preserve">cannot be left solely </w:t>
      </w:r>
      <w:r w:rsidR="002537CD" w:rsidRPr="00A77A2A">
        <w:rPr>
          <w:rFonts w:ascii="Times New Roman" w:hAnsi="Times New Roman"/>
        </w:rPr>
        <w:t>to</w:t>
      </w:r>
      <w:r w:rsidRPr="00A77A2A">
        <w:rPr>
          <w:rFonts w:ascii="Times New Roman" w:hAnsi="Times New Roman"/>
        </w:rPr>
        <w:t xml:space="preserve"> technical personnel. This is reinforced by Batool, </w:t>
      </w:r>
      <w:proofErr w:type="spellStart"/>
      <w:r w:rsidRPr="00A77A2A">
        <w:rPr>
          <w:rFonts w:ascii="Times New Roman" w:hAnsi="Times New Roman"/>
        </w:rPr>
        <w:t>Zowghi</w:t>
      </w:r>
      <w:proofErr w:type="spellEnd"/>
      <w:r w:rsidRPr="00A77A2A">
        <w:rPr>
          <w:rFonts w:ascii="Times New Roman" w:hAnsi="Times New Roman"/>
        </w:rPr>
        <w:t xml:space="preserve"> and </w:t>
      </w:r>
      <w:proofErr w:type="spellStart"/>
      <w:r w:rsidRPr="00A77A2A">
        <w:rPr>
          <w:rFonts w:ascii="Times New Roman" w:hAnsi="Times New Roman"/>
        </w:rPr>
        <w:t>Bano</w:t>
      </w:r>
      <w:proofErr w:type="spellEnd"/>
      <w:r w:rsidRPr="00A77A2A">
        <w:rPr>
          <w:rFonts w:ascii="Times New Roman" w:hAnsi="Times New Roman"/>
        </w:rPr>
        <w:t xml:space="preserve"> (2025), who show that governance structures in which accountability at the board level is lacking are advisory in nature, which is exactly the failure mode that the Senior Managers and Certification Regime was created to avoid.</w:t>
      </w:r>
    </w:p>
    <w:p w14:paraId="283BEFB0" w14:textId="1CD765D7" w:rsidR="002A28F0" w:rsidRPr="00A77A2A" w:rsidRDefault="002A28F0" w:rsidP="00A77A2A">
      <w:pPr>
        <w:spacing w:line="360" w:lineRule="auto"/>
        <w:jc w:val="both"/>
        <w:rPr>
          <w:rFonts w:ascii="Times New Roman" w:hAnsi="Times New Roman"/>
        </w:rPr>
      </w:pPr>
      <w:r w:rsidRPr="00A77A2A">
        <w:rPr>
          <w:rFonts w:ascii="Times New Roman" w:hAnsi="Times New Roman"/>
        </w:rPr>
        <w:t xml:space="preserve">Cihon, Schuett, and Baum (2021) explain how AI can be </w:t>
      </w:r>
      <w:proofErr w:type="spellStart"/>
      <w:r w:rsidR="002537CD" w:rsidRPr="00A77A2A">
        <w:rPr>
          <w:rFonts w:ascii="Times New Roman" w:hAnsi="Times New Roman"/>
        </w:rPr>
        <w:t>utilised</w:t>
      </w:r>
      <w:proofErr w:type="spellEnd"/>
      <w:r w:rsidRPr="00A77A2A">
        <w:rPr>
          <w:rFonts w:ascii="Times New Roman" w:hAnsi="Times New Roman"/>
        </w:rPr>
        <w:t xml:space="preserve"> in the governance of the corporation in the public interest and suggest that </w:t>
      </w:r>
      <w:r w:rsidR="002537CD" w:rsidRPr="00A77A2A">
        <w:rPr>
          <w:rFonts w:ascii="Times New Roman" w:hAnsi="Times New Roman"/>
        </w:rPr>
        <w:t>the most effective systems</w:t>
      </w:r>
      <w:r w:rsidRPr="00A77A2A">
        <w:rPr>
          <w:rFonts w:ascii="Times New Roman" w:hAnsi="Times New Roman"/>
        </w:rPr>
        <w:t xml:space="preserve"> are those that </w:t>
      </w:r>
      <w:proofErr w:type="spellStart"/>
      <w:r w:rsidRPr="00A77A2A">
        <w:rPr>
          <w:rFonts w:ascii="Times New Roman" w:hAnsi="Times New Roman"/>
        </w:rPr>
        <w:t>harmonise</w:t>
      </w:r>
      <w:proofErr w:type="spellEnd"/>
      <w:r w:rsidRPr="00A77A2A">
        <w:rPr>
          <w:rFonts w:ascii="Times New Roman" w:hAnsi="Times New Roman"/>
        </w:rPr>
        <w:t xml:space="preserve"> the incentives of internal governance with the expectations of external stakeholders and do not view compliance as a cost to be </w:t>
      </w:r>
      <w:proofErr w:type="spellStart"/>
      <w:r w:rsidRPr="00A77A2A">
        <w:rPr>
          <w:rFonts w:ascii="Times New Roman" w:hAnsi="Times New Roman"/>
        </w:rPr>
        <w:t>minimised</w:t>
      </w:r>
      <w:proofErr w:type="spellEnd"/>
      <w:r w:rsidRPr="00A77A2A">
        <w:rPr>
          <w:rFonts w:ascii="Times New Roman" w:hAnsi="Times New Roman"/>
        </w:rPr>
        <w:t xml:space="preserve">. The CSR dimension at Lloyds is based on SDG 10 (Reduced Inequalities) and financial inclusion. The commercial and social responsibility of a bank that offers financial services to 28 million retail consumers is to </w:t>
      </w:r>
      <w:r w:rsidR="002537CD" w:rsidRPr="00A77A2A">
        <w:rPr>
          <w:rFonts w:ascii="Times New Roman" w:hAnsi="Times New Roman"/>
        </w:rPr>
        <w:t>ensure that financial decisions made with the help of artificial intelligence do not result in the deliberate discrimination of customers based on protected characteristics or</w:t>
      </w:r>
      <w:r w:rsidRPr="00A77A2A">
        <w:rPr>
          <w:rFonts w:ascii="Times New Roman" w:hAnsi="Times New Roman"/>
        </w:rPr>
        <w:t xml:space="preserve"> socioeconomic status. The official stance </w:t>
      </w:r>
      <w:r w:rsidR="002537CD" w:rsidRPr="00A77A2A">
        <w:rPr>
          <w:rFonts w:ascii="Times New Roman" w:hAnsi="Times New Roman"/>
        </w:rPr>
        <w:t>on AI published by the FCA (Financial Conduct Authority, 2025) specifically refers to the risk of AI reducing consumer agency and amplifying existing market inequalities</w:t>
      </w:r>
      <w:r w:rsidRPr="00A77A2A">
        <w:rPr>
          <w:rFonts w:ascii="Times New Roman" w:hAnsi="Times New Roman"/>
        </w:rPr>
        <w:t>, a direct regulatory articulation of what would otherwise be a CSR ambition.</w:t>
      </w:r>
    </w:p>
    <w:p w14:paraId="2CEFE49A" w14:textId="7F00499A" w:rsidR="00AD4523" w:rsidRPr="00A77A2A" w:rsidRDefault="002A28F0" w:rsidP="00A77A2A">
      <w:pPr>
        <w:spacing w:line="360" w:lineRule="auto"/>
        <w:jc w:val="both"/>
        <w:rPr>
          <w:rFonts w:ascii="Times New Roman" w:hAnsi="Times New Roman"/>
        </w:rPr>
      </w:pPr>
      <w:r w:rsidRPr="00A77A2A">
        <w:rPr>
          <w:rFonts w:ascii="Times New Roman" w:hAnsi="Times New Roman"/>
        </w:rPr>
        <w:t xml:space="preserve">Nica, </w:t>
      </w:r>
      <w:proofErr w:type="spellStart"/>
      <w:r w:rsidRPr="00A77A2A">
        <w:rPr>
          <w:rFonts w:ascii="Times New Roman" w:hAnsi="Times New Roman"/>
        </w:rPr>
        <w:t>Chiriita</w:t>
      </w:r>
      <w:proofErr w:type="spellEnd"/>
      <w:r w:rsidRPr="00A77A2A">
        <w:rPr>
          <w:rFonts w:ascii="Times New Roman" w:hAnsi="Times New Roman"/>
        </w:rPr>
        <w:t xml:space="preserve"> and Georgescu (2025) demonstrate that the Triple Bottom Line approach has increasingly been used to evaluate </w:t>
      </w:r>
      <w:r w:rsidR="002537CD" w:rsidRPr="00A77A2A">
        <w:rPr>
          <w:rFonts w:ascii="Times New Roman" w:hAnsi="Times New Roman"/>
        </w:rPr>
        <w:t>corporations' AI strategies on the basis of economic, social, and environmental indicators in combination, indicating the multidimensional accountability that</w:t>
      </w:r>
      <w:r w:rsidRPr="00A77A2A">
        <w:rPr>
          <w:rFonts w:ascii="Times New Roman" w:hAnsi="Times New Roman"/>
        </w:rPr>
        <w:t xml:space="preserve"> large financial institutions are now capable of providing to institutional investors. </w:t>
      </w:r>
      <w:proofErr w:type="spellStart"/>
      <w:r w:rsidRPr="00A77A2A">
        <w:rPr>
          <w:rFonts w:ascii="Times New Roman" w:hAnsi="Times New Roman"/>
        </w:rPr>
        <w:t>Floridi</w:t>
      </w:r>
      <w:proofErr w:type="spellEnd"/>
      <w:r w:rsidRPr="00A77A2A">
        <w:rPr>
          <w:rFonts w:ascii="Times New Roman" w:hAnsi="Times New Roman"/>
        </w:rPr>
        <w:t xml:space="preserve"> et al. </w:t>
      </w:r>
      <w:r w:rsidRPr="00A77A2A">
        <w:rPr>
          <w:rFonts w:ascii="Times New Roman" w:hAnsi="Times New Roman"/>
        </w:rPr>
        <w:lastRenderedPageBreak/>
        <w:t xml:space="preserve">(2018) </w:t>
      </w:r>
      <w:r w:rsidR="00572ACC" w:rsidRPr="00A77A2A">
        <w:rPr>
          <w:rFonts w:ascii="Times New Roman" w:hAnsi="Times New Roman"/>
        </w:rPr>
        <w:t xml:space="preserve">situate this within a broader ethical approach to AI governance and argue that </w:t>
      </w:r>
      <w:r w:rsidR="00125FB2" w:rsidRPr="00A77A2A">
        <w:rPr>
          <w:rFonts w:ascii="Times New Roman" w:hAnsi="Times New Roman"/>
        </w:rPr>
        <w:t xml:space="preserve">institutions that adopt AI at the societal level must not only consider direct harms but also </w:t>
      </w:r>
      <w:r w:rsidR="00572ACC" w:rsidRPr="00A77A2A">
        <w:rPr>
          <w:rFonts w:ascii="Times New Roman" w:hAnsi="Times New Roman"/>
        </w:rPr>
        <w:t>systemic effects on communities</w:t>
      </w:r>
      <w:r w:rsidRPr="00A77A2A">
        <w:rPr>
          <w:rFonts w:ascii="Times New Roman" w:hAnsi="Times New Roman"/>
        </w:rPr>
        <w:t xml:space="preserve"> affected by their actions. In this instance, Hofstede (2001) provides a cultural complement: culturally dissimilar client groups within the Lloyds retail base require that </w:t>
      </w:r>
      <w:r w:rsidR="00572ACC" w:rsidRPr="00A77A2A">
        <w:rPr>
          <w:rFonts w:ascii="Times New Roman" w:hAnsi="Times New Roman"/>
        </w:rPr>
        <w:t>changes in banking decisions facilitated by AI be communicated and managed according to</w:t>
      </w:r>
      <w:r w:rsidRPr="00A77A2A">
        <w:rPr>
          <w:rFonts w:ascii="Times New Roman" w:hAnsi="Times New Roman"/>
        </w:rPr>
        <w:t xml:space="preserve"> levels of familiarity with automated systems.</w:t>
      </w:r>
      <w:r w:rsidR="005C7783" w:rsidRPr="00A77A2A">
        <w:rPr>
          <w:rFonts w:ascii="Times New Roman" w:hAnsi="Times New Roman"/>
        </w:rPr>
        <w:br w:type="page"/>
      </w:r>
    </w:p>
    <w:p w14:paraId="0A21A76A" w14:textId="77777777" w:rsidR="00AD4523" w:rsidRPr="00A77A2A" w:rsidRDefault="005C7783" w:rsidP="00A77A2A">
      <w:pPr>
        <w:pStyle w:val="Heading1"/>
        <w:spacing w:line="360" w:lineRule="auto"/>
        <w:jc w:val="both"/>
        <w:rPr>
          <w:rFonts w:ascii="Times New Roman" w:hAnsi="Times New Roman" w:cs="Times New Roman"/>
        </w:rPr>
      </w:pPr>
      <w:bookmarkStart w:id="10" w:name="_Toc228210224"/>
      <w:r w:rsidRPr="00A77A2A">
        <w:rPr>
          <w:rFonts w:ascii="Times New Roman" w:hAnsi="Times New Roman" w:cs="Times New Roman"/>
        </w:rPr>
        <w:lastRenderedPageBreak/>
        <w:t>3. Implementation Roadmap</w:t>
      </w:r>
      <w:bookmarkEnd w:id="10"/>
    </w:p>
    <w:p w14:paraId="0CD4834A" w14:textId="663BC252" w:rsidR="00640BF7" w:rsidRPr="00A77A2A" w:rsidRDefault="00640BF7" w:rsidP="00A77A2A">
      <w:pPr>
        <w:spacing w:before="60" w:after="40" w:line="360" w:lineRule="auto"/>
        <w:jc w:val="both"/>
        <w:rPr>
          <w:rFonts w:ascii="Times New Roman" w:hAnsi="Times New Roman"/>
        </w:rPr>
      </w:pPr>
      <w:r w:rsidRPr="00A77A2A">
        <w:rPr>
          <w:rFonts w:ascii="Times New Roman" w:hAnsi="Times New Roman"/>
        </w:rPr>
        <w:t xml:space="preserve">The proposals are outlined below in </w:t>
      </w:r>
      <w:proofErr w:type="gramStart"/>
      <w:r w:rsidRPr="00A77A2A">
        <w:rPr>
          <w:rFonts w:ascii="Times New Roman" w:hAnsi="Times New Roman"/>
        </w:rPr>
        <w:t>three time</w:t>
      </w:r>
      <w:proofErr w:type="gramEnd"/>
      <w:r w:rsidRPr="00A77A2A">
        <w:rPr>
          <w:rFonts w:ascii="Times New Roman" w:hAnsi="Times New Roman"/>
        </w:rPr>
        <w:t xml:space="preserve"> horizons and future-oriented to develop institutional capability in phases. Each </w:t>
      </w:r>
      <w:r w:rsidR="00572ACC" w:rsidRPr="00A77A2A">
        <w:rPr>
          <w:rFonts w:ascii="Times New Roman" w:hAnsi="Times New Roman"/>
        </w:rPr>
        <w:t>phase is grounded in the analytical results discussed above and aligned with Lloyd's current digital transformation path</w:t>
      </w:r>
      <w:r w:rsidRPr="00A77A2A">
        <w:rPr>
          <w:rFonts w:ascii="Times New Roman" w:hAnsi="Times New Roman"/>
        </w:rPr>
        <w:t>.</w:t>
      </w:r>
    </w:p>
    <w:p w14:paraId="03F7C528" w14:textId="77777777" w:rsidR="00AD4523" w:rsidRPr="00A77A2A" w:rsidRDefault="005C7783" w:rsidP="00A77A2A">
      <w:pPr>
        <w:pStyle w:val="Heading2"/>
        <w:spacing w:line="360" w:lineRule="auto"/>
        <w:jc w:val="both"/>
        <w:rPr>
          <w:rFonts w:ascii="Times New Roman" w:hAnsi="Times New Roman" w:cs="Times New Roman"/>
        </w:rPr>
      </w:pPr>
      <w:bookmarkStart w:id="11" w:name="_Toc228210225"/>
      <w:r w:rsidRPr="00A77A2A">
        <w:rPr>
          <w:rFonts w:ascii="Times New Roman" w:hAnsi="Times New Roman" w:cs="Times New Roman"/>
        </w:rPr>
        <w:t>Phase One: Laying the Foundations (0 to 12 Months)</w:t>
      </w:r>
      <w:bookmarkEnd w:id="11"/>
    </w:p>
    <w:p w14:paraId="535340E8" w14:textId="77777777" w:rsidR="00AD4523" w:rsidRPr="00A77A2A" w:rsidRDefault="00AD4523" w:rsidP="00D25B17">
      <w:pPr>
        <w:spacing w:before="40" w:after="20" w:line="360" w:lineRule="auto"/>
        <w:jc w:val="both"/>
        <w:rPr>
          <w:rFonts w:ascii="Times New Roman" w:hAnsi="Times New Roman"/>
        </w:rPr>
      </w:pPr>
    </w:p>
    <w:p w14:paraId="265F94B0" w14:textId="28310B2C" w:rsidR="00531A51" w:rsidRPr="00D25B17" w:rsidRDefault="00531A51" w:rsidP="00D25B17">
      <w:pPr>
        <w:pStyle w:val="ListParagraph"/>
        <w:numPr>
          <w:ilvl w:val="0"/>
          <w:numId w:val="3"/>
        </w:numPr>
        <w:spacing w:before="80" w:after="80" w:line="360" w:lineRule="auto"/>
        <w:jc w:val="both"/>
        <w:rPr>
          <w:rFonts w:ascii="Times New Roman" w:hAnsi="Times New Roman"/>
        </w:rPr>
      </w:pPr>
      <w:r w:rsidRPr="00D25B17">
        <w:rPr>
          <w:rFonts w:ascii="Times New Roman" w:hAnsi="Times New Roman"/>
        </w:rPr>
        <w:t xml:space="preserve">Establish a special AI Risk and Ethics Governance Committee, which reports directly to the Board Risk Committee, and a senior manager is answerable under the Senior Managers and Certification Regime. The committee should also be mandated to include bias auditing, explainability standards, and Consumer Duty compliance of all customer-facing AI systems. Batool, </w:t>
      </w:r>
      <w:proofErr w:type="spellStart"/>
      <w:r w:rsidRPr="00D25B17">
        <w:rPr>
          <w:rFonts w:ascii="Times New Roman" w:hAnsi="Times New Roman"/>
        </w:rPr>
        <w:t>Zowghi</w:t>
      </w:r>
      <w:proofErr w:type="spellEnd"/>
      <w:r w:rsidR="00572ACC" w:rsidRPr="00D25B17">
        <w:rPr>
          <w:rFonts w:ascii="Times New Roman" w:hAnsi="Times New Roman"/>
        </w:rPr>
        <w:t xml:space="preserve">, and </w:t>
      </w:r>
      <w:proofErr w:type="spellStart"/>
      <w:r w:rsidR="00572ACC" w:rsidRPr="00D25B17">
        <w:rPr>
          <w:rFonts w:ascii="Times New Roman" w:hAnsi="Times New Roman"/>
        </w:rPr>
        <w:t>Bano</w:t>
      </w:r>
      <w:proofErr w:type="spellEnd"/>
      <w:r w:rsidR="00572ACC" w:rsidRPr="00D25B17">
        <w:rPr>
          <w:rFonts w:ascii="Times New Roman" w:hAnsi="Times New Roman"/>
        </w:rPr>
        <w:t xml:space="preserve"> (2025) show that governance committees based on enforcement deliver more tangible governance outcomes than</w:t>
      </w:r>
      <w:r w:rsidRPr="00D25B17">
        <w:rPr>
          <w:rFonts w:ascii="Times New Roman" w:hAnsi="Times New Roman"/>
        </w:rPr>
        <w:t xml:space="preserve"> advisory structures. Indicative internal cost: the restructuring, staffing and reporting infrastructure would cost something like 2 million.</w:t>
      </w:r>
    </w:p>
    <w:p w14:paraId="3BD7EFD7" w14:textId="395E868E" w:rsidR="00531A51" w:rsidRPr="00D25B17" w:rsidRDefault="00531A51" w:rsidP="00D25B17">
      <w:pPr>
        <w:pStyle w:val="ListParagraph"/>
        <w:numPr>
          <w:ilvl w:val="0"/>
          <w:numId w:val="3"/>
        </w:numPr>
        <w:spacing w:before="80" w:after="80" w:line="360" w:lineRule="auto"/>
        <w:jc w:val="both"/>
        <w:rPr>
          <w:rFonts w:ascii="Times New Roman" w:hAnsi="Times New Roman"/>
        </w:rPr>
      </w:pPr>
      <w:r w:rsidRPr="00D25B17">
        <w:rPr>
          <w:rFonts w:ascii="Times New Roman" w:hAnsi="Times New Roman"/>
        </w:rPr>
        <w:t xml:space="preserve">Implement a comprehensive bias analysis of all existing AI models being used in credit scoring, mortgage affordability estimation and fraud detection. The audit method should follow the principles of fairness assessment </w:t>
      </w:r>
      <w:r w:rsidR="00572ACC" w:rsidRPr="00D25B17">
        <w:rPr>
          <w:rFonts w:ascii="Times New Roman" w:hAnsi="Times New Roman"/>
        </w:rPr>
        <w:t xml:space="preserve">outlined by </w:t>
      </w:r>
      <w:proofErr w:type="spellStart"/>
      <w:r w:rsidR="00572ACC" w:rsidRPr="00D25B17">
        <w:rPr>
          <w:rFonts w:ascii="Times New Roman" w:hAnsi="Times New Roman"/>
        </w:rPr>
        <w:t>Kozodoi</w:t>
      </w:r>
      <w:proofErr w:type="spellEnd"/>
      <w:r w:rsidR="00572ACC" w:rsidRPr="00D25B17">
        <w:rPr>
          <w:rFonts w:ascii="Times New Roman" w:hAnsi="Times New Roman"/>
        </w:rPr>
        <w:t xml:space="preserve">, Jacob, and </w:t>
      </w:r>
      <w:proofErr w:type="spellStart"/>
      <w:r w:rsidR="00572ACC" w:rsidRPr="00D25B17">
        <w:rPr>
          <w:rFonts w:ascii="Times New Roman" w:hAnsi="Times New Roman"/>
        </w:rPr>
        <w:t>Lessmann</w:t>
      </w:r>
      <w:proofErr w:type="spellEnd"/>
      <w:r w:rsidR="00572ACC" w:rsidRPr="00D25B17">
        <w:rPr>
          <w:rFonts w:ascii="Times New Roman" w:hAnsi="Times New Roman"/>
        </w:rPr>
        <w:t xml:space="preserve"> (2021), which involve evaluating differences in performance across safeguarded demographic groups and adequately documenting</w:t>
      </w:r>
      <w:r w:rsidRPr="00D25B17">
        <w:rPr>
          <w:rFonts w:ascii="Times New Roman" w:hAnsi="Times New Roman"/>
        </w:rPr>
        <w:t xml:space="preserve"> these differences to submit them to regulators during audits. This audit will </w:t>
      </w:r>
      <w:r w:rsidR="00572ACC" w:rsidRPr="00D25B17">
        <w:rPr>
          <w:rFonts w:ascii="Times New Roman" w:hAnsi="Times New Roman"/>
        </w:rPr>
        <w:t>serve as a reference point for further compliance improvements. It will be one of the primary products offered to FCA supervisors as evidence of active involvement in Consumer Duty. Estimated price: 2.5 to 3 million,</w:t>
      </w:r>
      <w:r w:rsidRPr="00D25B17">
        <w:rPr>
          <w:rFonts w:ascii="Times New Roman" w:hAnsi="Times New Roman"/>
        </w:rPr>
        <w:t xml:space="preserve"> based on an accredited external audit company.</w:t>
      </w:r>
    </w:p>
    <w:p w14:paraId="6618E504" w14:textId="6CA2B454" w:rsidR="00531A51" w:rsidRPr="00D25B17" w:rsidRDefault="00531A51" w:rsidP="00D25B17">
      <w:pPr>
        <w:pStyle w:val="ListParagraph"/>
        <w:numPr>
          <w:ilvl w:val="0"/>
          <w:numId w:val="3"/>
        </w:numPr>
        <w:spacing w:before="80" w:after="80" w:line="360" w:lineRule="auto"/>
        <w:jc w:val="both"/>
        <w:rPr>
          <w:rFonts w:ascii="Times New Roman" w:hAnsi="Times New Roman"/>
        </w:rPr>
      </w:pPr>
      <w:r w:rsidRPr="00D25B17">
        <w:rPr>
          <w:rFonts w:ascii="Times New Roman" w:hAnsi="Times New Roman"/>
        </w:rPr>
        <w:t xml:space="preserve">Initiate a regulatory mapping project to identify all AI systems within the technology estate of Lloyds that can be considered as high-risk under the EU AI Act. As credit scoring AI is categorically proclaimed a high-risk under the European Parliament, the Act (2024) (Under Annex III) (European Parliament, 2024), this exercise is time-sensitive: the high-risk provisions of the EU AI Act will come into force in August 2026, and the preparatory compliance work is an urgent </w:t>
      </w:r>
      <w:r w:rsidR="00125FB2" w:rsidRPr="00D25B17">
        <w:rPr>
          <w:rFonts w:ascii="Times New Roman" w:hAnsi="Times New Roman"/>
        </w:rPr>
        <w:t>operational</w:t>
      </w:r>
      <w:r w:rsidRPr="00D25B17">
        <w:rPr>
          <w:rFonts w:ascii="Times New Roman" w:hAnsi="Times New Roman"/>
        </w:rPr>
        <w:t xml:space="preserve"> priority. This will produce a documented compliance </w:t>
      </w:r>
      <w:r w:rsidR="00125FB2" w:rsidRPr="00D25B17">
        <w:rPr>
          <w:rFonts w:ascii="Times New Roman" w:hAnsi="Times New Roman"/>
        </w:rPr>
        <w:t xml:space="preserve">roadmap for each high-risk system, plans to evaluate conformity, and </w:t>
      </w:r>
      <w:r w:rsidRPr="00D25B17">
        <w:rPr>
          <w:rFonts w:ascii="Times New Roman" w:hAnsi="Times New Roman"/>
        </w:rPr>
        <w:t>the necessary technical documentation.</w:t>
      </w:r>
    </w:p>
    <w:p w14:paraId="33F01FF4" w14:textId="1E6B2BCF" w:rsidR="00531A51" w:rsidRPr="00D25B17" w:rsidRDefault="00531A51" w:rsidP="00D25B17">
      <w:pPr>
        <w:pStyle w:val="ListParagraph"/>
        <w:numPr>
          <w:ilvl w:val="0"/>
          <w:numId w:val="3"/>
        </w:numPr>
        <w:spacing w:before="80" w:after="80" w:line="360" w:lineRule="auto"/>
        <w:jc w:val="both"/>
        <w:rPr>
          <w:rFonts w:ascii="Times New Roman" w:hAnsi="Times New Roman"/>
        </w:rPr>
      </w:pPr>
      <w:r w:rsidRPr="00D25B17">
        <w:rPr>
          <w:rFonts w:ascii="Times New Roman" w:hAnsi="Times New Roman"/>
        </w:rPr>
        <w:t xml:space="preserve">Bring in structured engagement with FCA through its AI Live Testing </w:t>
      </w:r>
      <w:proofErr w:type="spellStart"/>
      <w:r w:rsidRPr="00D25B17">
        <w:rPr>
          <w:rFonts w:ascii="Times New Roman" w:hAnsi="Times New Roman"/>
        </w:rPr>
        <w:t>programme</w:t>
      </w:r>
      <w:proofErr w:type="spellEnd"/>
      <w:r w:rsidRPr="00D25B17">
        <w:rPr>
          <w:rFonts w:ascii="Times New Roman" w:hAnsi="Times New Roman"/>
        </w:rPr>
        <w:t xml:space="preserve"> (Financial Conduct Authority, 2026). It turns Lloyds into a joint developer of AI governance standards, </w:t>
      </w:r>
      <w:r w:rsidRPr="00D25B17">
        <w:rPr>
          <w:rFonts w:ascii="Times New Roman" w:hAnsi="Times New Roman"/>
        </w:rPr>
        <w:lastRenderedPageBreak/>
        <w:t>rather than a passive recipient of regulatory requirements, both reputational and commercial in nature, as the FCA develops guidance that will be adopted throughout the sector beginning in 2027.</w:t>
      </w:r>
    </w:p>
    <w:p w14:paraId="48D3248D" w14:textId="77777777" w:rsidR="00AD4523" w:rsidRPr="00A77A2A" w:rsidRDefault="00AD4523" w:rsidP="00A77A2A">
      <w:pPr>
        <w:spacing w:before="80" w:after="40" w:line="360" w:lineRule="auto"/>
        <w:jc w:val="both"/>
        <w:rPr>
          <w:rFonts w:ascii="Times New Roman" w:hAnsi="Times New Roman"/>
        </w:rPr>
      </w:pPr>
    </w:p>
    <w:p w14:paraId="672E0F0F" w14:textId="77777777" w:rsidR="00AD4523" w:rsidRPr="00A77A2A" w:rsidRDefault="005C7783" w:rsidP="00A77A2A">
      <w:pPr>
        <w:pStyle w:val="Heading2"/>
        <w:spacing w:line="360" w:lineRule="auto"/>
        <w:jc w:val="both"/>
        <w:rPr>
          <w:rFonts w:ascii="Times New Roman" w:hAnsi="Times New Roman" w:cs="Times New Roman"/>
        </w:rPr>
      </w:pPr>
      <w:bookmarkStart w:id="12" w:name="_Toc228210226"/>
      <w:r w:rsidRPr="00A77A2A">
        <w:rPr>
          <w:rFonts w:ascii="Times New Roman" w:hAnsi="Times New Roman" w:cs="Times New Roman"/>
        </w:rPr>
        <w:t>Phase Two: Building Embedded Capability (One to Three Years)</w:t>
      </w:r>
      <w:bookmarkEnd w:id="12"/>
    </w:p>
    <w:p w14:paraId="6D04AA7B" w14:textId="77777777" w:rsidR="00AD4523" w:rsidRPr="00A77A2A" w:rsidRDefault="00AD4523" w:rsidP="00A77A2A">
      <w:pPr>
        <w:spacing w:before="40" w:after="20" w:line="360" w:lineRule="auto"/>
        <w:jc w:val="both"/>
        <w:rPr>
          <w:rFonts w:ascii="Times New Roman" w:hAnsi="Times New Roman"/>
        </w:rPr>
      </w:pPr>
    </w:p>
    <w:p w14:paraId="2F7E1589" w14:textId="7F7F9E8F" w:rsidR="005A1E62" w:rsidRPr="00005A6B" w:rsidRDefault="0079551A" w:rsidP="00005A6B">
      <w:pPr>
        <w:pStyle w:val="ListParagraph"/>
        <w:numPr>
          <w:ilvl w:val="0"/>
          <w:numId w:val="5"/>
        </w:numPr>
        <w:spacing w:before="80" w:after="80" w:line="360" w:lineRule="auto"/>
        <w:jc w:val="both"/>
        <w:rPr>
          <w:rFonts w:ascii="Times New Roman" w:hAnsi="Times New Roman"/>
        </w:rPr>
      </w:pPr>
      <w:proofErr w:type="spellStart"/>
      <w:r w:rsidRPr="00005A6B">
        <w:rPr>
          <w:rFonts w:ascii="Times New Roman" w:hAnsi="Times New Roman"/>
        </w:rPr>
        <w:t>Standardise</w:t>
      </w:r>
      <w:proofErr w:type="spellEnd"/>
      <w:r w:rsidR="005A1E62" w:rsidRPr="00005A6B">
        <w:rPr>
          <w:rFonts w:ascii="Times New Roman" w:hAnsi="Times New Roman"/>
        </w:rPr>
        <w:t xml:space="preserve"> and implement Explainable AI in all of the customer-facing and credit decision AI systems. Based on the engineering framework suggested by Goncalves and Correia (2025), the standard ought to state the type of explanatory methods that may or may not be acceptable regarding various model architectures, how explanations are produced and stored as audit-ready evidence, and how counterfactual explanations (as mandated by GDPR Article 22 and explained by Wachter, Mittelstadt and Russell, 2017) are made available Khan et al. (2025) present a systematic review of model-agnostic XAI approaches that can be used to address financial applications, which is a viable starting point in choosing suitable techniques depending on the type of model</w:t>
      </w:r>
      <w:r w:rsidRPr="00005A6B">
        <w:rPr>
          <w:rFonts w:ascii="Times New Roman" w:hAnsi="Times New Roman"/>
        </w:rPr>
        <w:t>—projected</w:t>
      </w:r>
      <w:r w:rsidR="005A1E62" w:rsidRPr="00005A6B">
        <w:rPr>
          <w:rFonts w:ascii="Times New Roman" w:hAnsi="Times New Roman"/>
        </w:rPr>
        <w:t xml:space="preserve"> investment: between 8 and 12 million during this period.</w:t>
      </w:r>
    </w:p>
    <w:p w14:paraId="130CF919" w14:textId="780C0433" w:rsidR="005A1E62" w:rsidRPr="00005A6B" w:rsidRDefault="005A1E62" w:rsidP="00005A6B">
      <w:pPr>
        <w:pStyle w:val="ListParagraph"/>
        <w:numPr>
          <w:ilvl w:val="0"/>
          <w:numId w:val="5"/>
        </w:numPr>
        <w:spacing w:before="80" w:after="80" w:line="360" w:lineRule="auto"/>
        <w:jc w:val="both"/>
        <w:rPr>
          <w:rFonts w:ascii="Times New Roman" w:hAnsi="Times New Roman"/>
        </w:rPr>
      </w:pPr>
      <w:r w:rsidRPr="00005A6B">
        <w:rPr>
          <w:rFonts w:ascii="Times New Roman" w:hAnsi="Times New Roman"/>
        </w:rPr>
        <w:t xml:space="preserve">Create an AI Ethics and Compliance Centre of Excellence, a mixture of model risk, regulatory affairs, data ethics and customer experience design. This team must be </w:t>
      </w:r>
      <w:r w:rsidR="0079551A" w:rsidRPr="00005A6B">
        <w:rPr>
          <w:rFonts w:ascii="Times New Roman" w:hAnsi="Times New Roman"/>
        </w:rPr>
        <w:t>responsible for developing internal AI governance standards, communicating with the FCA and EBA on new regulatory expectations, and periodically reviewing</w:t>
      </w:r>
      <w:r w:rsidRPr="00005A6B">
        <w:rPr>
          <w:rFonts w:ascii="Times New Roman" w:hAnsi="Times New Roman"/>
        </w:rPr>
        <w:t xml:space="preserve"> their independent models. According to Cihon, Schuett</w:t>
      </w:r>
      <w:r w:rsidR="0079551A" w:rsidRPr="00005A6B">
        <w:rPr>
          <w:rFonts w:ascii="Times New Roman" w:hAnsi="Times New Roman"/>
        </w:rPr>
        <w:t>, and Baum (2021), internal governance teams are best managed with a sense of institutional authority and external credibility, and it is important to invest in attracting professionals with</w:t>
      </w:r>
      <w:r w:rsidRPr="00005A6B">
        <w:rPr>
          <w:rFonts w:ascii="Times New Roman" w:hAnsi="Times New Roman"/>
        </w:rPr>
        <w:t xml:space="preserve"> both technical and regulatory experience.</w:t>
      </w:r>
    </w:p>
    <w:p w14:paraId="447FBB76" w14:textId="54E249ED" w:rsidR="00D04F35" w:rsidRPr="00005A6B" w:rsidRDefault="00D04F35" w:rsidP="00005A6B">
      <w:pPr>
        <w:pStyle w:val="ListParagraph"/>
        <w:numPr>
          <w:ilvl w:val="0"/>
          <w:numId w:val="5"/>
        </w:numPr>
        <w:spacing w:before="80" w:after="80" w:line="360" w:lineRule="auto"/>
        <w:jc w:val="both"/>
        <w:rPr>
          <w:rFonts w:ascii="Times New Roman" w:hAnsi="Times New Roman"/>
        </w:rPr>
      </w:pPr>
      <w:r w:rsidRPr="00005A6B">
        <w:rPr>
          <w:rFonts w:ascii="Times New Roman" w:hAnsi="Times New Roman"/>
        </w:rPr>
        <w:t xml:space="preserve">Design and adopt an obligatory AI literacy education course among all the staff working on model development, implementation, communication with the customers and regulatory reporting. The </w:t>
      </w:r>
      <w:proofErr w:type="spellStart"/>
      <w:r w:rsidRPr="00005A6B">
        <w:rPr>
          <w:rFonts w:ascii="Times New Roman" w:hAnsi="Times New Roman"/>
        </w:rPr>
        <w:t>programme</w:t>
      </w:r>
      <w:proofErr w:type="spellEnd"/>
      <w:r w:rsidRPr="00005A6B">
        <w:rPr>
          <w:rFonts w:ascii="Times New Roman" w:hAnsi="Times New Roman"/>
        </w:rPr>
        <w:t xml:space="preserve"> should be role differentiated</w:t>
      </w:r>
      <w:r w:rsidR="002537CD" w:rsidRPr="00005A6B">
        <w:rPr>
          <w:rFonts w:ascii="Times New Roman" w:hAnsi="Times New Roman"/>
        </w:rPr>
        <w:t>, with technical staff more knowledgeable about model documentation and bias testing, and customer-facing staff more knowledgeable about explaining AI decisions and escalating</w:t>
      </w:r>
      <w:r w:rsidRPr="00005A6B">
        <w:rPr>
          <w:rFonts w:ascii="Times New Roman" w:hAnsi="Times New Roman"/>
        </w:rPr>
        <w:t xml:space="preserve"> complaints. Chams and </w:t>
      </w:r>
      <w:proofErr w:type="spellStart"/>
      <w:r w:rsidRPr="00005A6B">
        <w:rPr>
          <w:rFonts w:ascii="Times New Roman" w:hAnsi="Times New Roman"/>
        </w:rPr>
        <w:t>Garccia</w:t>
      </w:r>
      <w:proofErr w:type="spellEnd"/>
      <w:r w:rsidRPr="00005A6B">
        <w:rPr>
          <w:rFonts w:ascii="Times New Roman" w:hAnsi="Times New Roman"/>
        </w:rPr>
        <w:t xml:space="preserve">-Blandon (2019) have argued that such an investment is consistent with the SDG 10 outcomes because the ability of the workforce to reason ethically using AI is a requirement </w:t>
      </w:r>
      <w:r w:rsidR="002537CD" w:rsidRPr="00005A6B">
        <w:rPr>
          <w:rFonts w:ascii="Times New Roman" w:hAnsi="Times New Roman"/>
        </w:rPr>
        <w:t xml:space="preserve">for </w:t>
      </w:r>
      <w:proofErr w:type="spellStart"/>
      <w:r w:rsidR="002537CD" w:rsidRPr="00005A6B">
        <w:rPr>
          <w:rFonts w:ascii="Times New Roman" w:hAnsi="Times New Roman"/>
        </w:rPr>
        <w:t>organisations</w:t>
      </w:r>
      <w:proofErr w:type="spellEnd"/>
      <w:r w:rsidR="002537CD" w:rsidRPr="00005A6B">
        <w:rPr>
          <w:rFonts w:ascii="Times New Roman" w:hAnsi="Times New Roman"/>
        </w:rPr>
        <w:t xml:space="preserve"> truly interested in </w:t>
      </w:r>
      <w:proofErr w:type="spellStart"/>
      <w:r w:rsidR="002537CD" w:rsidRPr="00005A6B">
        <w:rPr>
          <w:rFonts w:ascii="Times New Roman" w:hAnsi="Times New Roman"/>
        </w:rPr>
        <w:t>minimising</w:t>
      </w:r>
      <w:proofErr w:type="spellEnd"/>
      <w:r w:rsidR="002537CD" w:rsidRPr="00005A6B">
        <w:rPr>
          <w:rFonts w:ascii="Times New Roman" w:hAnsi="Times New Roman"/>
        </w:rPr>
        <w:t xml:space="preserve"> inequality through their commercial operations</w:t>
      </w:r>
      <w:r w:rsidRPr="00005A6B">
        <w:rPr>
          <w:rFonts w:ascii="Times New Roman" w:hAnsi="Times New Roman"/>
        </w:rPr>
        <w:t>.</w:t>
      </w:r>
    </w:p>
    <w:p w14:paraId="5B471C31" w14:textId="0F7927D1" w:rsidR="00D04F35" w:rsidRPr="00005A6B" w:rsidRDefault="00D04F35" w:rsidP="00005A6B">
      <w:pPr>
        <w:pStyle w:val="ListParagraph"/>
        <w:numPr>
          <w:ilvl w:val="0"/>
          <w:numId w:val="5"/>
        </w:numPr>
        <w:spacing w:before="80" w:after="80" w:line="360" w:lineRule="auto"/>
        <w:jc w:val="both"/>
        <w:rPr>
          <w:rFonts w:ascii="Times New Roman" w:hAnsi="Times New Roman"/>
        </w:rPr>
      </w:pPr>
      <w:r w:rsidRPr="00005A6B">
        <w:rPr>
          <w:rFonts w:ascii="Times New Roman" w:hAnsi="Times New Roman"/>
        </w:rPr>
        <w:lastRenderedPageBreak/>
        <w:t xml:space="preserve">Create a continuous model monitoring system to track the performance, fairness and operational resilience metrics of every implemented AI </w:t>
      </w:r>
      <w:r w:rsidR="002537CD" w:rsidRPr="00005A6B">
        <w:rPr>
          <w:rFonts w:ascii="Times New Roman" w:hAnsi="Times New Roman"/>
        </w:rPr>
        <w:t>system</w:t>
      </w:r>
      <w:r w:rsidRPr="00005A6B">
        <w:rPr>
          <w:rFonts w:ascii="Times New Roman" w:hAnsi="Times New Roman"/>
        </w:rPr>
        <w:t>. The principles of the PRA (Prudential Regulation Authority, 2023) model of risk management of performance require constant performance monitoring</w:t>
      </w:r>
      <w:r w:rsidR="002537CD" w:rsidRPr="00005A6B">
        <w:rPr>
          <w:rFonts w:ascii="Times New Roman" w:hAnsi="Times New Roman"/>
        </w:rPr>
        <w:t>. Still, the</w:t>
      </w:r>
      <w:r w:rsidRPr="00005A6B">
        <w:rPr>
          <w:rFonts w:ascii="Times New Roman" w:hAnsi="Times New Roman"/>
        </w:rPr>
        <w:t xml:space="preserve"> </w:t>
      </w:r>
      <w:r w:rsidR="002537CD" w:rsidRPr="00005A6B">
        <w:rPr>
          <w:rFonts w:ascii="Times New Roman" w:hAnsi="Times New Roman"/>
        </w:rPr>
        <w:t>Bank of England survey (2024) reveals that this is not the case in the majority of UK banks</w:t>
      </w:r>
      <w:r w:rsidRPr="00005A6B">
        <w:rPr>
          <w:rFonts w:ascii="Times New Roman" w:hAnsi="Times New Roman"/>
        </w:rPr>
        <w:t xml:space="preserve">. </w:t>
      </w:r>
      <w:r w:rsidR="002537CD" w:rsidRPr="00005A6B">
        <w:rPr>
          <w:rFonts w:ascii="Times New Roman" w:hAnsi="Times New Roman"/>
        </w:rPr>
        <w:t>By establishing a robust monitoring platform, Lloyd's will be ahead of regulatory requirements</w:t>
      </w:r>
      <w:r w:rsidRPr="00005A6B">
        <w:rPr>
          <w:rFonts w:ascii="Times New Roman" w:hAnsi="Times New Roman"/>
        </w:rPr>
        <w:t xml:space="preserve"> in the future.</w:t>
      </w:r>
    </w:p>
    <w:p w14:paraId="422BDEA6" w14:textId="77777777" w:rsidR="00AD4523" w:rsidRPr="00A77A2A" w:rsidRDefault="00AD4523" w:rsidP="00A77A2A">
      <w:pPr>
        <w:spacing w:before="80" w:after="40" w:line="360" w:lineRule="auto"/>
        <w:jc w:val="both"/>
        <w:rPr>
          <w:rFonts w:ascii="Times New Roman" w:hAnsi="Times New Roman"/>
        </w:rPr>
      </w:pPr>
    </w:p>
    <w:p w14:paraId="2809598D" w14:textId="77777777" w:rsidR="00AD4523" w:rsidRPr="00A77A2A" w:rsidRDefault="005C7783" w:rsidP="00A77A2A">
      <w:pPr>
        <w:pStyle w:val="Heading2"/>
        <w:spacing w:line="360" w:lineRule="auto"/>
        <w:jc w:val="both"/>
        <w:rPr>
          <w:rFonts w:ascii="Times New Roman" w:hAnsi="Times New Roman" w:cs="Times New Roman"/>
        </w:rPr>
      </w:pPr>
      <w:bookmarkStart w:id="13" w:name="_Toc228210227"/>
      <w:r w:rsidRPr="00A77A2A">
        <w:rPr>
          <w:rFonts w:ascii="Times New Roman" w:hAnsi="Times New Roman" w:cs="Times New Roman"/>
        </w:rPr>
        <w:t>Phase Three: Competitive Differentiation Through Governance Leadership (Three to Five Years)</w:t>
      </w:r>
      <w:bookmarkEnd w:id="13"/>
    </w:p>
    <w:p w14:paraId="09BD487F" w14:textId="77777777" w:rsidR="00AD4523" w:rsidRPr="00A77A2A" w:rsidRDefault="00AD4523" w:rsidP="00A77A2A">
      <w:pPr>
        <w:spacing w:before="40" w:after="20" w:line="360" w:lineRule="auto"/>
        <w:jc w:val="both"/>
        <w:rPr>
          <w:rFonts w:ascii="Times New Roman" w:hAnsi="Times New Roman"/>
        </w:rPr>
      </w:pPr>
    </w:p>
    <w:p w14:paraId="0EA33BBD" w14:textId="7670AA32" w:rsidR="00D04F35" w:rsidRPr="005807A4" w:rsidRDefault="00D04F35" w:rsidP="005807A4">
      <w:pPr>
        <w:pStyle w:val="ListParagraph"/>
        <w:numPr>
          <w:ilvl w:val="0"/>
          <w:numId w:val="6"/>
        </w:numPr>
        <w:spacing w:line="360" w:lineRule="auto"/>
        <w:jc w:val="both"/>
        <w:rPr>
          <w:rFonts w:ascii="Times New Roman" w:hAnsi="Times New Roman"/>
        </w:rPr>
      </w:pPr>
      <w:r w:rsidRPr="005807A4">
        <w:rPr>
          <w:rFonts w:ascii="Times New Roman" w:hAnsi="Times New Roman"/>
        </w:rPr>
        <w:t xml:space="preserve">Become transparent in AI governance as a commercial differentiator through publishing an annual AI Accountability Report as a stand-alone document. The report should include bias audit findings, Consumer Duty AI compliance findings, model risk events and mitigation, and regulatory engagement actions. The practice of disclosure aligns with convergent expectations under the EU AI Act, institutional ESG investors and the direction of travel stated by the FCA on responsible AI, meaning that the plausible public story on responsible AI by Lloyds </w:t>
      </w:r>
      <w:r w:rsidR="002537CD" w:rsidRPr="005807A4">
        <w:rPr>
          <w:rFonts w:ascii="Times New Roman" w:hAnsi="Times New Roman"/>
        </w:rPr>
        <w:t>would</w:t>
      </w:r>
      <w:r w:rsidRPr="005807A4">
        <w:rPr>
          <w:rFonts w:ascii="Times New Roman" w:hAnsi="Times New Roman"/>
        </w:rPr>
        <w:t xml:space="preserve"> be hard to replicate by challenger banks.</w:t>
      </w:r>
    </w:p>
    <w:p w14:paraId="27378AB8" w14:textId="77AD9CF7" w:rsidR="00D04F35" w:rsidRPr="005807A4" w:rsidRDefault="00D04F35" w:rsidP="005807A4">
      <w:pPr>
        <w:pStyle w:val="ListParagraph"/>
        <w:numPr>
          <w:ilvl w:val="0"/>
          <w:numId w:val="6"/>
        </w:numPr>
        <w:spacing w:line="360" w:lineRule="auto"/>
        <w:jc w:val="both"/>
        <w:rPr>
          <w:rFonts w:ascii="Times New Roman" w:hAnsi="Times New Roman"/>
        </w:rPr>
      </w:pPr>
      <w:r w:rsidRPr="005807A4">
        <w:rPr>
          <w:rFonts w:ascii="Times New Roman" w:hAnsi="Times New Roman"/>
        </w:rPr>
        <w:t xml:space="preserve">Coach to complete customer deployment of the AI-based financial helper with an in-built explainability, fairness and easy redress monitoring. The governance objective of this phase will be to </w:t>
      </w:r>
      <w:r w:rsidR="002537CD" w:rsidRPr="005807A4">
        <w:rPr>
          <w:rFonts w:ascii="Times New Roman" w:hAnsi="Times New Roman"/>
        </w:rPr>
        <w:t>ensure that the advice given by the assistant is auditable, contestable by customers, and that good-outcome Consumer Duty standards apply to all customer groups</w:t>
      </w:r>
      <w:r w:rsidRPr="005807A4">
        <w:rPr>
          <w:rFonts w:ascii="Times New Roman" w:hAnsi="Times New Roman"/>
        </w:rPr>
        <w:t xml:space="preserve">, including vulnerable groups. </w:t>
      </w:r>
      <w:proofErr w:type="spellStart"/>
      <w:r w:rsidRPr="005807A4">
        <w:rPr>
          <w:rFonts w:ascii="Times New Roman" w:hAnsi="Times New Roman"/>
        </w:rPr>
        <w:t>Floridi</w:t>
      </w:r>
      <w:proofErr w:type="spellEnd"/>
      <w:r w:rsidRPr="005807A4">
        <w:rPr>
          <w:rFonts w:ascii="Times New Roman" w:hAnsi="Times New Roman"/>
        </w:rPr>
        <w:t xml:space="preserve"> et al. (2018) </w:t>
      </w:r>
      <w:r w:rsidR="002537CD" w:rsidRPr="005807A4">
        <w:rPr>
          <w:rFonts w:ascii="Times New Roman" w:hAnsi="Times New Roman"/>
        </w:rPr>
        <w:t>argue that AI serving human flourishing must be designed to support, rather than suppress,</w:t>
      </w:r>
      <w:r w:rsidRPr="005807A4">
        <w:rPr>
          <w:rFonts w:ascii="Times New Roman" w:hAnsi="Times New Roman"/>
        </w:rPr>
        <w:t xml:space="preserve"> human agency. The assistant should be designed to apply this principle in its creation.</w:t>
      </w:r>
    </w:p>
    <w:p w14:paraId="18D16C25" w14:textId="02943B34" w:rsidR="00D04F35" w:rsidRPr="005807A4" w:rsidRDefault="00D04F35" w:rsidP="005807A4">
      <w:pPr>
        <w:pStyle w:val="ListParagraph"/>
        <w:numPr>
          <w:ilvl w:val="0"/>
          <w:numId w:val="6"/>
        </w:numPr>
        <w:spacing w:line="360" w:lineRule="auto"/>
        <w:jc w:val="both"/>
        <w:rPr>
          <w:rFonts w:ascii="Times New Roman" w:hAnsi="Times New Roman"/>
        </w:rPr>
      </w:pPr>
      <w:r w:rsidRPr="005807A4">
        <w:rPr>
          <w:rFonts w:ascii="Times New Roman" w:hAnsi="Times New Roman"/>
        </w:rPr>
        <w:t xml:space="preserve">Create a strategic alliance system of </w:t>
      </w:r>
      <w:proofErr w:type="spellStart"/>
      <w:r w:rsidRPr="005807A4">
        <w:rPr>
          <w:rFonts w:ascii="Times New Roman" w:hAnsi="Times New Roman"/>
        </w:rPr>
        <w:t>fintechs</w:t>
      </w:r>
      <w:proofErr w:type="spellEnd"/>
      <w:r w:rsidRPr="005807A4">
        <w:rPr>
          <w:rFonts w:ascii="Times New Roman" w:hAnsi="Times New Roman"/>
        </w:rPr>
        <w:t xml:space="preserve"> and </w:t>
      </w:r>
      <w:proofErr w:type="spellStart"/>
      <w:r w:rsidRPr="005807A4">
        <w:rPr>
          <w:rFonts w:ascii="Times New Roman" w:hAnsi="Times New Roman"/>
        </w:rPr>
        <w:t>RegTech</w:t>
      </w:r>
      <w:proofErr w:type="spellEnd"/>
      <w:r w:rsidRPr="005807A4">
        <w:rPr>
          <w:rFonts w:ascii="Times New Roman" w:hAnsi="Times New Roman"/>
        </w:rPr>
        <w:t xml:space="preserve"> providers that inculcates governance principles in the form of a contractual requirement, not aspirational principles. The bias testing, documentation</w:t>
      </w:r>
      <w:r w:rsidR="002537CD" w:rsidRPr="005807A4">
        <w:rPr>
          <w:rFonts w:ascii="Times New Roman" w:hAnsi="Times New Roman"/>
        </w:rPr>
        <w:t>,</w:t>
      </w:r>
      <w:r w:rsidRPr="005807A4">
        <w:rPr>
          <w:rFonts w:ascii="Times New Roman" w:hAnsi="Times New Roman"/>
        </w:rPr>
        <w:t xml:space="preserve"> and explainability requirements </w:t>
      </w:r>
      <w:r w:rsidR="002537CD" w:rsidRPr="005807A4">
        <w:rPr>
          <w:rFonts w:ascii="Times New Roman" w:hAnsi="Times New Roman"/>
        </w:rPr>
        <w:t>for third-party AI systems entering the technology cell at Lloyd will be identical to those for</w:t>
      </w:r>
      <w:r w:rsidRPr="005807A4">
        <w:rPr>
          <w:rFonts w:ascii="Times New Roman" w:hAnsi="Times New Roman"/>
        </w:rPr>
        <w:t xml:space="preserve"> internally developed models. Arner, Barberis and Buckley (2016) argue that </w:t>
      </w:r>
      <w:proofErr w:type="spellStart"/>
      <w:r w:rsidRPr="005807A4">
        <w:rPr>
          <w:rFonts w:ascii="Times New Roman" w:hAnsi="Times New Roman"/>
        </w:rPr>
        <w:t>RegTech</w:t>
      </w:r>
      <w:proofErr w:type="spellEnd"/>
      <w:r w:rsidRPr="005807A4">
        <w:rPr>
          <w:rFonts w:ascii="Times New Roman" w:hAnsi="Times New Roman"/>
        </w:rPr>
        <w:t xml:space="preserve"> is emerging as a vital component of </w:t>
      </w:r>
      <w:r w:rsidR="002537CD" w:rsidRPr="005807A4">
        <w:rPr>
          <w:rFonts w:ascii="Times New Roman" w:hAnsi="Times New Roman"/>
        </w:rPr>
        <w:t>financial institutions' infrastructure in challenging regulatory landscapes, and that investing in it will reduce future compliance costs associated with regulatory change</w:t>
      </w:r>
      <w:r w:rsidRPr="005807A4">
        <w:rPr>
          <w:rFonts w:ascii="Times New Roman" w:hAnsi="Times New Roman"/>
        </w:rPr>
        <w:t xml:space="preserve">. </w:t>
      </w:r>
      <w:r w:rsidRPr="005807A4">
        <w:rPr>
          <w:rFonts w:ascii="Times New Roman" w:hAnsi="Times New Roman"/>
        </w:rPr>
        <w:lastRenderedPageBreak/>
        <w:t>Estimates of investment at this phase: infrastructure of between 20 and 35 million, specialist talent and regulatory intervention.</w:t>
      </w:r>
    </w:p>
    <w:p w14:paraId="52F26E44" w14:textId="2524141B" w:rsidR="00AD4523" w:rsidRPr="005807A4" w:rsidRDefault="00D04F35" w:rsidP="005807A4">
      <w:pPr>
        <w:pStyle w:val="ListParagraph"/>
        <w:numPr>
          <w:ilvl w:val="0"/>
          <w:numId w:val="6"/>
        </w:numPr>
        <w:spacing w:line="360" w:lineRule="auto"/>
        <w:jc w:val="both"/>
        <w:rPr>
          <w:rFonts w:ascii="Times New Roman" w:hAnsi="Times New Roman"/>
        </w:rPr>
      </w:pPr>
      <w:r w:rsidRPr="005807A4">
        <w:rPr>
          <w:rFonts w:ascii="Times New Roman" w:hAnsi="Times New Roman"/>
        </w:rPr>
        <w:t>Enlist board level endorsement of a Responsible AI Charter publicly committing Lloyds to some, measurable standards on fairness, transparency, customer redress and SDG 10 compliance. The Charter is to be reviewed by the Board Risk Committee annually and reported on in the Annual Report and the AI Accountability Report. The process creates more resilient institutional accountability frameworks by being less reliant on individual staffing and regulatory lifecycles</w:t>
      </w:r>
      <w:r w:rsidR="002537CD" w:rsidRPr="005807A4">
        <w:rPr>
          <w:rFonts w:ascii="Times New Roman" w:hAnsi="Times New Roman"/>
        </w:rPr>
        <w:t>, and by turning responsible AI into a strategic value</w:t>
      </w:r>
      <w:r w:rsidRPr="005807A4">
        <w:rPr>
          <w:rFonts w:ascii="Times New Roman" w:hAnsi="Times New Roman"/>
        </w:rPr>
        <w:t xml:space="preserve"> rather than a short-lived compliance undertaking. </w:t>
      </w:r>
      <w:r w:rsidR="005C7783" w:rsidRPr="005807A4">
        <w:rPr>
          <w:rFonts w:ascii="Times New Roman" w:hAnsi="Times New Roman"/>
        </w:rPr>
        <w:br w:type="page"/>
      </w:r>
    </w:p>
    <w:p w14:paraId="397D0A35" w14:textId="77777777" w:rsidR="00AD4523" w:rsidRPr="00A77A2A" w:rsidRDefault="005C7783" w:rsidP="00A77A2A">
      <w:pPr>
        <w:pStyle w:val="Heading1"/>
        <w:spacing w:line="360" w:lineRule="auto"/>
        <w:jc w:val="both"/>
        <w:rPr>
          <w:rFonts w:ascii="Times New Roman" w:hAnsi="Times New Roman" w:cs="Times New Roman"/>
        </w:rPr>
      </w:pPr>
      <w:bookmarkStart w:id="14" w:name="_Toc228210228"/>
      <w:r w:rsidRPr="00A77A2A">
        <w:rPr>
          <w:rFonts w:ascii="Times New Roman" w:hAnsi="Times New Roman" w:cs="Times New Roman"/>
        </w:rPr>
        <w:lastRenderedPageBreak/>
        <w:t>4. Looking Ahead: Conclusions and Strategic Outlook</w:t>
      </w:r>
      <w:bookmarkEnd w:id="14"/>
    </w:p>
    <w:p w14:paraId="36022165" w14:textId="77777777" w:rsidR="009B2821" w:rsidRPr="009B2821" w:rsidRDefault="009B2821" w:rsidP="009B2821">
      <w:pPr>
        <w:spacing w:before="80" w:after="120" w:line="360" w:lineRule="auto"/>
        <w:jc w:val="both"/>
        <w:rPr>
          <w:rFonts w:ascii="Times New Roman" w:hAnsi="Times New Roman"/>
        </w:rPr>
      </w:pPr>
      <w:r w:rsidRPr="009B2821">
        <w:rPr>
          <w:rFonts w:ascii="Times New Roman" w:hAnsi="Times New Roman"/>
        </w:rPr>
        <w:t xml:space="preserve">Lloyds Banking Group stands on the crossroads of its history. The current investments in AI by the bank will set its competitive standing, interactions with regulators, and customer confidence within five to 10 years (at least) on an optimistic note. The conclusion of all the analytic frames applied in this report is the same: The structural preconditions of a leader in responsible AI-driven banking becoming Lloyd are present, but time to do so by actively governing itself is running out as regulatory demands are increasingly becoming </w:t>
      </w:r>
      <w:proofErr w:type="spellStart"/>
      <w:r w:rsidRPr="009B2821">
        <w:rPr>
          <w:rFonts w:ascii="Times New Roman" w:hAnsi="Times New Roman"/>
        </w:rPr>
        <w:t>institutionalised</w:t>
      </w:r>
      <w:proofErr w:type="spellEnd"/>
      <w:r w:rsidRPr="009B2821">
        <w:rPr>
          <w:rFonts w:ascii="Times New Roman" w:hAnsi="Times New Roman"/>
        </w:rPr>
        <w:t>, and fintech rivals are increasingly building their capacity to do so.</w:t>
      </w:r>
    </w:p>
    <w:p w14:paraId="395F3E3F" w14:textId="0AC80034" w:rsidR="009B2821" w:rsidRPr="00A77A2A" w:rsidRDefault="009B2821" w:rsidP="009B2821">
      <w:pPr>
        <w:spacing w:before="80" w:after="120" w:line="360" w:lineRule="auto"/>
        <w:jc w:val="both"/>
        <w:rPr>
          <w:rFonts w:ascii="Times New Roman" w:hAnsi="Times New Roman"/>
        </w:rPr>
      </w:pPr>
      <w:r w:rsidRPr="009B2821">
        <w:rPr>
          <w:rFonts w:ascii="Times New Roman" w:hAnsi="Times New Roman"/>
        </w:rPr>
        <w:t>The two-tier regulatory problem of meeting the FCA Consumer Duty regulations and complying with the high-risk AI regulations under the EU AI Act is the first, yet not the only, challenge of functioning. Nevertheless, by reducing AI regulation to a mere compliance practice, one would fail to see a bigger strategic picture: in retail banking, where trust is the currency of all customer relationships, the power to build a fair, transparent and responsible AI is becoming a competitive advantage in real. According to McKinsey and Company (2025), sitting banks can only be threatened when they do not pass the compliance-oriented AI implementation stage but the real capability leadership stage; this report asserts that leadership can be achieved through governance quality.</w:t>
      </w:r>
    </w:p>
    <w:p w14:paraId="7BF86514" w14:textId="797E1916" w:rsidR="005A1E62" w:rsidRPr="00A77A2A" w:rsidRDefault="005A1E62" w:rsidP="00A77A2A">
      <w:pPr>
        <w:spacing w:before="80" w:after="120" w:line="360" w:lineRule="auto"/>
        <w:jc w:val="both"/>
        <w:rPr>
          <w:rFonts w:ascii="Times New Roman" w:hAnsi="Times New Roman"/>
        </w:rPr>
      </w:pPr>
      <w:r w:rsidRPr="00A77A2A">
        <w:rPr>
          <w:rFonts w:ascii="Times New Roman" w:hAnsi="Times New Roman"/>
        </w:rPr>
        <w:t xml:space="preserve">The social aspect of this plan is also significant. Assuring that AI systems do not create or enhance current financial exclusion - by discriminatory credit decisions, obscure fraud alerts or inaccessible automated communications - is a regulatory imperative and a CSR commitment which the Triple Bottom Line framework (Nica, </w:t>
      </w:r>
      <w:proofErr w:type="spellStart"/>
      <w:r w:rsidRPr="00A77A2A">
        <w:rPr>
          <w:rFonts w:ascii="Times New Roman" w:hAnsi="Times New Roman"/>
        </w:rPr>
        <w:t>Chiriță</w:t>
      </w:r>
      <w:proofErr w:type="spellEnd"/>
      <w:r w:rsidRPr="00A77A2A">
        <w:rPr>
          <w:rFonts w:ascii="Times New Roman" w:hAnsi="Times New Roman"/>
        </w:rPr>
        <w:t xml:space="preserve"> and Georgescu, 2025) renders intelligible strategically. Cihon, Schuett</w:t>
      </w:r>
      <w:r w:rsidR="0079551A" w:rsidRPr="00A77A2A">
        <w:rPr>
          <w:rFonts w:ascii="Times New Roman" w:hAnsi="Times New Roman"/>
        </w:rPr>
        <w:t>, and Baum (2021) warn practitioners that corporate AI governance in the public interest requires institutions to ensure that internal incentives align with external social outcomes</w:t>
      </w:r>
      <w:r w:rsidRPr="00A77A2A">
        <w:rPr>
          <w:rFonts w:ascii="Times New Roman" w:hAnsi="Times New Roman"/>
        </w:rPr>
        <w:t>. The size and institutional authority of Lloyds can serve as a model to show that this alignment is possible, and the rest of the banking industry will not be able to disregard this example.</w:t>
      </w:r>
    </w:p>
    <w:p w14:paraId="108633DB" w14:textId="77777777" w:rsidR="00AD4523" w:rsidRPr="00A77A2A" w:rsidRDefault="005C7783" w:rsidP="00A77A2A">
      <w:pPr>
        <w:spacing w:line="360" w:lineRule="auto"/>
        <w:jc w:val="both"/>
        <w:rPr>
          <w:rFonts w:ascii="Times New Roman" w:hAnsi="Times New Roman"/>
        </w:rPr>
      </w:pPr>
      <w:r w:rsidRPr="00A77A2A">
        <w:rPr>
          <w:rFonts w:ascii="Times New Roman" w:hAnsi="Times New Roman"/>
        </w:rPr>
        <w:br w:type="page"/>
      </w:r>
    </w:p>
    <w:p w14:paraId="0780207E" w14:textId="77777777" w:rsidR="00AD4523" w:rsidRPr="00A77A2A" w:rsidRDefault="005C7783" w:rsidP="00A77A2A">
      <w:pPr>
        <w:pStyle w:val="Heading1"/>
        <w:spacing w:line="360" w:lineRule="auto"/>
        <w:jc w:val="both"/>
        <w:rPr>
          <w:rFonts w:ascii="Times New Roman" w:hAnsi="Times New Roman" w:cs="Times New Roman"/>
        </w:rPr>
      </w:pPr>
      <w:bookmarkStart w:id="15" w:name="_Toc228210229"/>
      <w:r w:rsidRPr="00A77A2A">
        <w:rPr>
          <w:rFonts w:ascii="Times New Roman" w:hAnsi="Times New Roman" w:cs="Times New Roman"/>
        </w:rPr>
        <w:lastRenderedPageBreak/>
        <w:t>5. Bibliography</w:t>
      </w:r>
      <w:bookmarkEnd w:id="15"/>
    </w:p>
    <w:p w14:paraId="596B43A2" w14:textId="7C2DCE8D"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Arner, D.W., Barberis, J.N. and Buckley, R.P. (2016) 'FinTech, </w:t>
      </w:r>
      <w:proofErr w:type="spellStart"/>
      <w:r w:rsidRPr="00A77A2A">
        <w:rPr>
          <w:rFonts w:ascii="Times New Roman" w:hAnsi="Times New Roman"/>
        </w:rPr>
        <w:t>RegTech</w:t>
      </w:r>
      <w:proofErr w:type="spellEnd"/>
      <w:r w:rsidRPr="00A77A2A">
        <w:rPr>
          <w:rFonts w:ascii="Times New Roman" w:hAnsi="Times New Roman"/>
        </w:rPr>
        <w:t xml:space="preserve"> and the </w:t>
      </w:r>
      <w:proofErr w:type="spellStart"/>
      <w:r w:rsidR="0079551A" w:rsidRPr="00A77A2A">
        <w:rPr>
          <w:rFonts w:ascii="Times New Roman" w:hAnsi="Times New Roman"/>
        </w:rPr>
        <w:t>Reconceptualisation</w:t>
      </w:r>
      <w:proofErr w:type="spellEnd"/>
      <w:r w:rsidRPr="00A77A2A">
        <w:rPr>
          <w:rFonts w:ascii="Times New Roman" w:hAnsi="Times New Roman"/>
        </w:rPr>
        <w:t xml:space="preserve"> of Financial Regulation', SSRN. Available at: </w:t>
      </w:r>
      <w:hyperlink r:id="rId8" w:history="1">
        <w:r w:rsidR="00E865B5" w:rsidRPr="00F96513">
          <w:rPr>
            <w:rStyle w:val="Hyperlink"/>
            <w:rFonts w:ascii="Times New Roman" w:hAnsi="Times New Roman"/>
          </w:rPr>
          <w:t>https://ssrn.com/abstract=2847806</w:t>
        </w:r>
      </w:hyperlink>
      <w:r w:rsidR="00E865B5">
        <w:rPr>
          <w:rFonts w:ascii="Times New Roman" w:hAnsi="Times New Roman"/>
        </w:rPr>
        <w:t xml:space="preserve"> </w:t>
      </w:r>
    </w:p>
    <w:p w14:paraId="030E9118" w14:textId="4B360BEB"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Bank of England (2022) DP5/22 — Artificial Intelligence and Machine Learning. London: Bank of England. Available at: </w:t>
      </w:r>
      <w:hyperlink r:id="rId9" w:history="1">
        <w:r w:rsidR="00E865B5" w:rsidRPr="00F96513">
          <w:rPr>
            <w:rStyle w:val="Hyperlink"/>
            <w:rFonts w:ascii="Times New Roman" w:hAnsi="Times New Roman"/>
          </w:rPr>
          <w:t>https://www.bankofengland.co.uk/prudential-regulation/publication/2022/october/artificial-intelligence</w:t>
        </w:r>
      </w:hyperlink>
      <w:r w:rsidR="00E865B5">
        <w:rPr>
          <w:rFonts w:ascii="Times New Roman" w:hAnsi="Times New Roman"/>
        </w:rPr>
        <w:t xml:space="preserve"> </w:t>
      </w:r>
    </w:p>
    <w:p w14:paraId="60E10721" w14:textId="1D47FAF9"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Bank of England (2024) Artificial Intelligence in UK Financial Services — 2024. London: Bank of England. Available at: </w:t>
      </w:r>
      <w:hyperlink r:id="rId10" w:history="1">
        <w:r w:rsidR="00E865B5" w:rsidRPr="00F96513">
          <w:rPr>
            <w:rStyle w:val="Hyperlink"/>
            <w:rFonts w:ascii="Times New Roman" w:hAnsi="Times New Roman"/>
          </w:rPr>
          <w:t>https://www.bankofengland.co.uk/report/2024/artificial-intelligence-in-uk-financial-services-2024</w:t>
        </w:r>
      </w:hyperlink>
      <w:r w:rsidR="00E865B5">
        <w:rPr>
          <w:rFonts w:ascii="Times New Roman" w:hAnsi="Times New Roman"/>
        </w:rPr>
        <w:t xml:space="preserve"> </w:t>
      </w:r>
    </w:p>
    <w:p w14:paraId="33DB6CC9"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Batool, A., </w:t>
      </w:r>
      <w:proofErr w:type="spellStart"/>
      <w:r w:rsidRPr="00A77A2A">
        <w:rPr>
          <w:rFonts w:ascii="Times New Roman" w:hAnsi="Times New Roman"/>
        </w:rPr>
        <w:t>Zowghi</w:t>
      </w:r>
      <w:proofErr w:type="spellEnd"/>
      <w:r w:rsidRPr="00A77A2A">
        <w:rPr>
          <w:rFonts w:ascii="Times New Roman" w:hAnsi="Times New Roman"/>
        </w:rPr>
        <w:t>, D. and Bano, M. (2025) 'AI governance: a systematic literature review', AI and Ethics, 5. doi:10.1007/s43681-024-00653-w.</w:t>
      </w:r>
    </w:p>
    <w:p w14:paraId="03E925CD" w14:textId="62A20D0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Belsare, H.V. (2025) 'PESTLE analysis', International Journal of Advanced Research, 13(02</w:t>
      </w:r>
      <w:proofErr w:type="gramStart"/>
      <w:r w:rsidRPr="00A77A2A">
        <w:rPr>
          <w:rFonts w:ascii="Times New Roman" w:hAnsi="Times New Roman"/>
        </w:rPr>
        <w:t>)</w:t>
      </w:r>
      <w:r w:rsidR="00BE3BE1">
        <w:rPr>
          <w:rFonts w:ascii="Times New Roman" w:hAnsi="Times New Roman"/>
        </w:rPr>
        <w:t>,</w:t>
      </w:r>
      <w:r w:rsidRPr="00A77A2A">
        <w:rPr>
          <w:rFonts w:ascii="Times New Roman" w:hAnsi="Times New Roman"/>
        </w:rPr>
        <w:t>.</w:t>
      </w:r>
      <w:proofErr w:type="gramEnd"/>
      <w:r w:rsidRPr="00A77A2A">
        <w:rPr>
          <w:rFonts w:ascii="Times New Roman" w:hAnsi="Times New Roman"/>
        </w:rPr>
        <w:t xml:space="preserve"> doi:10.21474/IJAR01/20411.</w:t>
      </w:r>
      <w:r w:rsidR="00E865B5">
        <w:rPr>
          <w:rFonts w:ascii="Times New Roman" w:hAnsi="Times New Roman"/>
        </w:rPr>
        <w:t xml:space="preserve"> </w:t>
      </w:r>
    </w:p>
    <w:p w14:paraId="225BE797" w14:textId="0BBC89F4"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Bryan Cave Leighton Paisner (2026) AI Regulation in Financial Services: Turning Principles into Practice. London: BCLP Law. Available at: </w:t>
      </w:r>
      <w:hyperlink r:id="rId11" w:history="1">
        <w:r w:rsidR="00E865B5" w:rsidRPr="00F96513">
          <w:rPr>
            <w:rStyle w:val="Hyperlink"/>
            <w:rFonts w:ascii="Times New Roman" w:hAnsi="Times New Roman"/>
          </w:rPr>
          <w:t>https://www.bclplaw.com/en-US/events-insights-news/ai-regulation-in-financial-services-turning-principles-into-practice.html</w:t>
        </w:r>
      </w:hyperlink>
      <w:r w:rsidR="00E865B5">
        <w:rPr>
          <w:rFonts w:ascii="Times New Roman" w:hAnsi="Times New Roman"/>
        </w:rPr>
        <w:t xml:space="preserve"> </w:t>
      </w:r>
    </w:p>
    <w:p w14:paraId="3AD05596"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Chams, N. and García-Blandón, J. (2019) 'On the importance of sustainable human resource management for the adoption of sustainable development goals', Resources, Conservation and Recycling, 141(1), pp.109–122. doi:10.1016/j.resconrec.2018.10.006.</w:t>
      </w:r>
    </w:p>
    <w:p w14:paraId="65702B24" w14:textId="614D5E74"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Cihon, P., Schuett, J. and Baum, S.D. (2021) 'Corporate governance of artificial intelligence in the public interest', Information, 12(7), p.275. Available at: </w:t>
      </w:r>
      <w:hyperlink r:id="rId12" w:history="1">
        <w:r w:rsidR="00E865B5" w:rsidRPr="00F96513">
          <w:rPr>
            <w:rStyle w:val="Hyperlink"/>
            <w:rFonts w:ascii="Times New Roman" w:hAnsi="Times New Roman"/>
          </w:rPr>
          <w:t>https://www.mdpi.com/2078-2489/12/7/275</w:t>
        </w:r>
      </w:hyperlink>
      <w:r w:rsidR="00E865B5">
        <w:rPr>
          <w:rFonts w:ascii="Times New Roman" w:hAnsi="Times New Roman"/>
        </w:rPr>
        <w:t xml:space="preserve"> </w:t>
      </w:r>
    </w:p>
    <w:p w14:paraId="1B33E124"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Cristina, A., Gomes, M. and </w:t>
      </w:r>
      <w:proofErr w:type="spellStart"/>
      <w:r w:rsidRPr="00A77A2A">
        <w:rPr>
          <w:rFonts w:ascii="Times New Roman" w:hAnsi="Times New Roman"/>
        </w:rPr>
        <w:t>Rigobon</w:t>
      </w:r>
      <w:proofErr w:type="spellEnd"/>
      <w:r w:rsidRPr="00A77A2A">
        <w:rPr>
          <w:rFonts w:ascii="Times New Roman" w:hAnsi="Times New Roman"/>
        </w:rPr>
        <w:t>, R. (2023) 'Algorithmic discrimination in the credit domain: what do we know about it?', AI and Society, 39, pp.2059–2098. doi:10.1007/s00146-023-01676-3.</w:t>
      </w:r>
    </w:p>
    <w:p w14:paraId="2B8D12B0"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English, P.V. and </w:t>
      </w:r>
      <w:proofErr w:type="spellStart"/>
      <w:r w:rsidRPr="00A77A2A">
        <w:rPr>
          <w:rFonts w:ascii="Times New Roman" w:hAnsi="Times New Roman"/>
        </w:rPr>
        <w:t>Fascinari</w:t>
      </w:r>
      <w:proofErr w:type="spellEnd"/>
      <w:r w:rsidRPr="00A77A2A">
        <w:rPr>
          <w:rFonts w:ascii="Times New Roman" w:hAnsi="Times New Roman"/>
        </w:rPr>
        <w:t>, M. (2026) 'AI adoption as the 6th force in Porter's Five Forces model: A conceptual framework for SME competitive strategy', International Journal of Management and Economics Invention, 12(02). doi:10.47191/</w:t>
      </w:r>
      <w:proofErr w:type="spellStart"/>
      <w:r w:rsidRPr="00A77A2A">
        <w:rPr>
          <w:rFonts w:ascii="Times New Roman" w:hAnsi="Times New Roman"/>
        </w:rPr>
        <w:t>ijmei</w:t>
      </w:r>
      <w:proofErr w:type="spellEnd"/>
      <w:r w:rsidRPr="00A77A2A">
        <w:rPr>
          <w:rFonts w:ascii="Times New Roman" w:hAnsi="Times New Roman"/>
        </w:rPr>
        <w:t>/v12i2.06.</w:t>
      </w:r>
    </w:p>
    <w:p w14:paraId="5E12A1E8" w14:textId="6171FC0E"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European Banking Authority (2025) AI Act: Implications for the EU Banking and Payments Sector. EBA, Paris. Available at: </w:t>
      </w:r>
      <w:hyperlink r:id="rId13" w:history="1">
        <w:r w:rsidR="00E865B5" w:rsidRPr="00F96513">
          <w:rPr>
            <w:rStyle w:val="Hyperlink"/>
            <w:rFonts w:ascii="Times New Roman" w:hAnsi="Times New Roman"/>
          </w:rPr>
          <w:t>https://www.eba.europa.eu/sites/default/files/2025-</w:t>
        </w:r>
        <w:r w:rsidR="00E865B5" w:rsidRPr="00F96513">
          <w:rPr>
            <w:rStyle w:val="Hyperlink"/>
            <w:rFonts w:ascii="Times New Roman" w:hAnsi="Times New Roman"/>
          </w:rPr>
          <w:lastRenderedPageBreak/>
          <w:t>11/d8b999ce-a1d9-4964-9606-971bbc2aaf89/AI%20Act%20implications%20for%20the%20EU%20banking%20sector.pdf</w:t>
        </w:r>
      </w:hyperlink>
      <w:r w:rsidR="00E865B5">
        <w:rPr>
          <w:rFonts w:ascii="Times New Roman" w:hAnsi="Times New Roman"/>
        </w:rPr>
        <w:t xml:space="preserve"> </w:t>
      </w:r>
    </w:p>
    <w:p w14:paraId="0BDA356C" w14:textId="109BF5AB"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European Parliament (2024) Regulation (EU) 2024/1689 — Artificial Intelligence Act. Available at: </w:t>
      </w:r>
      <w:hyperlink r:id="rId14" w:history="1">
        <w:r w:rsidR="00E865B5" w:rsidRPr="00F96513">
          <w:rPr>
            <w:rStyle w:val="Hyperlink"/>
            <w:rFonts w:ascii="Times New Roman" w:hAnsi="Times New Roman"/>
          </w:rPr>
          <w:t>https://eur-lex.europa.eu/legal-content/EN/TXT/?uri=OJ:L_202401689</w:t>
        </w:r>
      </w:hyperlink>
      <w:r w:rsidR="00E865B5">
        <w:rPr>
          <w:rFonts w:ascii="Times New Roman" w:hAnsi="Times New Roman"/>
        </w:rPr>
        <w:t xml:space="preserve"> </w:t>
      </w:r>
    </w:p>
    <w:p w14:paraId="4D40388A"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Fariha, N., Khan, M.N.M., Hossain, M.I., Reza, S.A., </w:t>
      </w:r>
      <w:proofErr w:type="spellStart"/>
      <w:r w:rsidRPr="00A77A2A">
        <w:rPr>
          <w:rFonts w:ascii="Times New Roman" w:hAnsi="Times New Roman"/>
        </w:rPr>
        <w:t>Bortty</w:t>
      </w:r>
      <w:proofErr w:type="spellEnd"/>
      <w:r w:rsidRPr="00A77A2A">
        <w:rPr>
          <w:rFonts w:ascii="Times New Roman" w:hAnsi="Times New Roman"/>
        </w:rPr>
        <w:t>, J.C., Sultana, K.S., Jawad, M.S.I., Safat, S., Ahad, M.A. and Begum, M. (2025) 'Advanced fraud detection using machine learning models: enhancing financial transaction security', International Journal of Accounting and Economics Studies, 12(2), pp.85–104. doi:10.14419/c73kcb17.</w:t>
      </w:r>
    </w:p>
    <w:p w14:paraId="33C5EAD6" w14:textId="7791F661"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Financial Conduct Authority (2022) Consumer Duty: Final Rules and Guidance (PS22/9). London: FCA. Available at: </w:t>
      </w:r>
      <w:hyperlink r:id="rId15" w:history="1">
        <w:r w:rsidR="00E865B5" w:rsidRPr="00F96513">
          <w:rPr>
            <w:rStyle w:val="Hyperlink"/>
            <w:rFonts w:ascii="Times New Roman" w:hAnsi="Times New Roman"/>
          </w:rPr>
          <w:t>https://www.fca.org.uk/publication/policy/ps22-9.pdf</w:t>
        </w:r>
      </w:hyperlink>
      <w:r w:rsidR="00E865B5">
        <w:rPr>
          <w:rFonts w:ascii="Times New Roman" w:hAnsi="Times New Roman"/>
        </w:rPr>
        <w:t xml:space="preserve"> </w:t>
      </w:r>
    </w:p>
    <w:p w14:paraId="4ACEF260" w14:textId="545949E9"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Financial Conduct Authority (2025) AI and the FCA: Our Approach. London: FCA. Available at: </w:t>
      </w:r>
      <w:hyperlink r:id="rId16" w:history="1">
        <w:r w:rsidR="00CC3550" w:rsidRPr="00F96513">
          <w:rPr>
            <w:rStyle w:val="Hyperlink"/>
            <w:rFonts w:ascii="Times New Roman" w:hAnsi="Times New Roman"/>
          </w:rPr>
          <w:t>https://www.fca.org.uk/firms/innovation/ai-approach</w:t>
        </w:r>
      </w:hyperlink>
      <w:r w:rsidR="00CC3550">
        <w:rPr>
          <w:rFonts w:ascii="Times New Roman" w:hAnsi="Times New Roman"/>
        </w:rPr>
        <w:t xml:space="preserve"> </w:t>
      </w:r>
    </w:p>
    <w:p w14:paraId="00353687" w14:textId="7ADB6BFB"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Financial Conduct Authority (2026) Review into the Long-Term Impact of AI on Retail Financial Services (The Mills Review). London: FCA. Available at: </w:t>
      </w:r>
      <w:hyperlink r:id="rId17" w:history="1">
        <w:r w:rsidR="00CC3550" w:rsidRPr="00F96513">
          <w:rPr>
            <w:rStyle w:val="Hyperlink"/>
            <w:rFonts w:ascii="Times New Roman" w:hAnsi="Times New Roman"/>
          </w:rPr>
          <w:t>https://www.fca.org.uk/publications/calls-input/review-long-term-impact-ai-retail-financial-services-mills-review</w:t>
        </w:r>
      </w:hyperlink>
      <w:r w:rsidR="00CC3550">
        <w:rPr>
          <w:rFonts w:ascii="Times New Roman" w:hAnsi="Times New Roman"/>
        </w:rPr>
        <w:t xml:space="preserve"> </w:t>
      </w:r>
    </w:p>
    <w:p w14:paraId="147990DE" w14:textId="77777777" w:rsidR="00AD4523" w:rsidRPr="00A77A2A" w:rsidRDefault="005C7783" w:rsidP="00A77A2A">
      <w:pPr>
        <w:spacing w:before="60" w:after="80" w:line="360" w:lineRule="auto"/>
        <w:jc w:val="both"/>
        <w:rPr>
          <w:rFonts w:ascii="Times New Roman" w:hAnsi="Times New Roman"/>
        </w:rPr>
      </w:pPr>
      <w:proofErr w:type="spellStart"/>
      <w:r w:rsidRPr="00A77A2A">
        <w:rPr>
          <w:rFonts w:ascii="Times New Roman" w:hAnsi="Times New Roman"/>
        </w:rPr>
        <w:t>Floridi</w:t>
      </w:r>
      <w:proofErr w:type="spellEnd"/>
      <w:r w:rsidRPr="00A77A2A">
        <w:rPr>
          <w:rFonts w:ascii="Times New Roman" w:hAnsi="Times New Roman"/>
        </w:rPr>
        <w:t xml:space="preserve">, L., Cowls, J., </w:t>
      </w:r>
      <w:proofErr w:type="spellStart"/>
      <w:r w:rsidRPr="00A77A2A">
        <w:rPr>
          <w:rFonts w:ascii="Times New Roman" w:hAnsi="Times New Roman"/>
        </w:rPr>
        <w:t>Beltrametti</w:t>
      </w:r>
      <w:proofErr w:type="spellEnd"/>
      <w:r w:rsidRPr="00A77A2A">
        <w:rPr>
          <w:rFonts w:ascii="Times New Roman" w:hAnsi="Times New Roman"/>
        </w:rPr>
        <w:t xml:space="preserve">, M., Chatila, R., </w:t>
      </w:r>
      <w:proofErr w:type="spellStart"/>
      <w:r w:rsidRPr="00A77A2A">
        <w:rPr>
          <w:rFonts w:ascii="Times New Roman" w:hAnsi="Times New Roman"/>
        </w:rPr>
        <w:t>Chazerand</w:t>
      </w:r>
      <w:proofErr w:type="spellEnd"/>
      <w:r w:rsidRPr="00A77A2A">
        <w:rPr>
          <w:rFonts w:ascii="Times New Roman" w:hAnsi="Times New Roman"/>
        </w:rPr>
        <w:t xml:space="preserve">, P., Dignum, V., Luetge, C., Madelin, R., </w:t>
      </w:r>
      <w:proofErr w:type="spellStart"/>
      <w:r w:rsidRPr="00A77A2A">
        <w:rPr>
          <w:rFonts w:ascii="Times New Roman" w:hAnsi="Times New Roman"/>
        </w:rPr>
        <w:t>Pagallo</w:t>
      </w:r>
      <w:proofErr w:type="spellEnd"/>
      <w:r w:rsidRPr="00A77A2A">
        <w:rPr>
          <w:rFonts w:ascii="Times New Roman" w:hAnsi="Times New Roman"/>
        </w:rPr>
        <w:t xml:space="preserve">, U., Rossi, F., Schafer, B., Valcke, P. and </w:t>
      </w:r>
      <w:proofErr w:type="spellStart"/>
      <w:r w:rsidRPr="00A77A2A">
        <w:rPr>
          <w:rFonts w:ascii="Times New Roman" w:hAnsi="Times New Roman"/>
        </w:rPr>
        <w:t>Vayena</w:t>
      </w:r>
      <w:proofErr w:type="spellEnd"/>
      <w:r w:rsidRPr="00A77A2A">
        <w:rPr>
          <w:rFonts w:ascii="Times New Roman" w:hAnsi="Times New Roman"/>
        </w:rPr>
        <w:t>, E. (2018) 'AI4People — An Ethical Framework for a Good AI Society: Opportunities, Risks, Principles, and Recommendations', Minds and Machines, 28(4), pp.689–707. doi:10.1007/s11023-018-9482-5.</w:t>
      </w:r>
    </w:p>
    <w:p w14:paraId="16B7547E"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Florian Ulrich-Diener, </w:t>
      </w:r>
      <w:proofErr w:type="spellStart"/>
      <w:r w:rsidRPr="00A77A2A">
        <w:rPr>
          <w:rFonts w:ascii="Times New Roman" w:hAnsi="Times New Roman"/>
        </w:rPr>
        <w:t>Dvouletý</w:t>
      </w:r>
      <w:proofErr w:type="spellEnd"/>
      <w:r w:rsidRPr="00A77A2A">
        <w:rPr>
          <w:rFonts w:ascii="Times New Roman" w:hAnsi="Times New Roman"/>
        </w:rPr>
        <w:t>, O. and Špaček, M. (2023) 'The future of banking: What are the actual barriers to bank digitalization?', BRQ Business Research Quarterly, 28(2). doi:10.1177/23409444231211597.</w:t>
      </w:r>
    </w:p>
    <w:p w14:paraId="12311E54"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Gonçalves, A. and Correia, A. (2025) 'Engineering explainable AI systems for GDPR-aligned decision transparency: A modular framework for continuous compliance', Journal of Cybersecurity and Privacy, 6(1), p.7. doi:10.3390/jcp6010007.</w:t>
      </w:r>
    </w:p>
    <w:p w14:paraId="01653D2A"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Goodman, B. and Flaxman, S. (2017) 'European Union regulations on algorithmic decision-making and a "right to explanation"', AI Magazine, 38(3), pp.50–57. doi:10.1609/aimag.v38i3.2741.</w:t>
      </w:r>
    </w:p>
    <w:p w14:paraId="23E82638"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Hafez, I.Y., Hafez, A.Y., Saleh, A., El-</w:t>
      </w:r>
      <w:proofErr w:type="spellStart"/>
      <w:r w:rsidRPr="00A77A2A">
        <w:rPr>
          <w:rFonts w:ascii="Times New Roman" w:hAnsi="Times New Roman"/>
        </w:rPr>
        <w:t>Mageed</w:t>
      </w:r>
      <w:proofErr w:type="spellEnd"/>
      <w:r w:rsidRPr="00A77A2A">
        <w:rPr>
          <w:rFonts w:ascii="Times New Roman" w:hAnsi="Times New Roman"/>
        </w:rPr>
        <w:t xml:space="preserve">, A.A.A. and </w:t>
      </w:r>
      <w:proofErr w:type="spellStart"/>
      <w:r w:rsidRPr="00A77A2A">
        <w:rPr>
          <w:rFonts w:ascii="Times New Roman" w:hAnsi="Times New Roman"/>
        </w:rPr>
        <w:t>Abohany</w:t>
      </w:r>
      <w:proofErr w:type="spellEnd"/>
      <w:r w:rsidRPr="00A77A2A">
        <w:rPr>
          <w:rFonts w:ascii="Times New Roman" w:hAnsi="Times New Roman"/>
        </w:rPr>
        <w:t>, A.A. (2025) 'A systematic review of AI-enhanced techniques in credit card fraud detection', Journal of Big Data, 12(1). doi:10.1186/s40537-024-01048-8.</w:t>
      </w:r>
    </w:p>
    <w:p w14:paraId="1C0EF397" w14:textId="77777777" w:rsidR="00AD4523" w:rsidRPr="00A77A2A" w:rsidRDefault="005C7783" w:rsidP="00A77A2A">
      <w:pPr>
        <w:spacing w:before="60" w:after="80" w:line="360" w:lineRule="auto"/>
        <w:jc w:val="both"/>
        <w:rPr>
          <w:rFonts w:ascii="Times New Roman" w:hAnsi="Times New Roman"/>
        </w:rPr>
      </w:pPr>
      <w:proofErr w:type="spellStart"/>
      <w:r w:rsidRPr="00A77A2A">
        <w:rPr>
          <w:rFonts w:ascii="Times New Roman" w:hAnsi="Times New Roman"/>
        </w:rPr>
        <w:lastRenderedPageBreak/>
        <w:t>Heß</w:t>
      </w:r>
      <w:proofErr w:type="spellEnd"/>
      <w:r w:rsidRPr="00A77A2A">
        <w:rPr>
          <w:rFonts w:ascii="Times New Roman" w:hAnsi="Times New Roman"/>
        </w:rPr>
        <w:t xml:space="preserve">, V.L. and </w:t>
      </w:r>
      <w:proofErr w:type="spellStart"/>
      <w:r w:rsidRPr="00A77A2A">
        <w:rPr>
          <w:rFonts w:ascii="Times New Roman" w:hAnsi="Times New Roman"/>
        </w:rPr>
        <w:t>Damásio</w:t>
      </w:r>
      <w:proofErr w:type="spellEnd"/>
      <w:r w:rsidRPr="00A77A2A">
        <w:rPr>
          <w:rFonts w:ascii="Times New Roman" w:hAnsi="Times New Roman"/>
        </w:rPr>
        <w:t>, B. (2025) 'Machine learning in banking risk management: Mapping a decade of evolution', International Journal of Information Management Data Insights, 5(1), p.100324. doi:10.1016/j.jjimei.2025.100324.</w:t>
      </w:r>
    </w:p>
    <w:p w14:paraId="04A3B6AF"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Hilb, M. (2020) 'Toward artificial governance? The role of artificial intelligence in shaping the future of corporate governance', Journal of Management and Governance, 24(4). doi:10.1007/s10997-020-09519-9.</w:t>
      </w:r>
    </w:p>
    <w:p w14:paraId="17A40E59" w14:textId="63DD5639"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Hofstede, G. (2001)</w:t>
      </w:r>
      <w:r w:rsidR="0079551A" w:rsidRPr="00A77A2A">
        <w:rPr>
          <w:rFonts w:ascii="Times New Roman" w:hAnsi="Times New Roman"/>
        </w:rPr>
        <w:t xml:space="preserve">. Culture's Consequences: Comparing Values, </w:t>
      </w:r>
      <w:proofErr w:type="spellStart"/>
      <w:r w:rsidR="0079551A" w:rsidRPr="00A77A2A">
        <w:rPr>
          <w:rFonts w:ascii="Times New Roman" w:hAnsi="Times New Roman"/>
        </w:rPr>
        <w:t>Behaviours</w:t>
      </w:r>
      <w:proofErr w:type="spellEnd"/>
      <w:r w:rsidR="0079551A" w:rsidRPr="00A77A2A">
        <w:rPr>
          <w:rFonts w:ascii="Times New Roman" w:hAnsi="Times New Roman"/>
        </w:rPr>
        <w:t xml:space="preserve">, Institutions, and </w:t>
      </w:r>
      <w:proofErr w:type="spellStart"/>
      <w:r w:rsidR="0079551A" w:rsidRPr="00A77A2A">
        <w:rPr>
          <w:rFonts w:ascii="Times New Roman" w:hAnsi="Times New Roman"/>
        </w:rPr>
        <w:t>Organisations</w:t>
      </w:r>
      <w:proofErr w:type="spellEnd"/>
      <w:r w:rsidRPr="00A77A2A">
        <w:rPr>
          <w:rFonts w:ascii="Times New Roman" w:hAnsi="Times New Roman"/>
        </w:rPr>
        <w:t xml:space="preserve"> across Nations. 2nd </w:t>
      </w:r>
      <w:proofErr w:type="spellStart"/>
      <w:r w:rsidRPr="00A77A2A">
        <w:rPr>
          <w:rFonts w:ascii="Times New Roman" w:hAnsi="Times New Roman"/>
        </w:rPr>
        <w:t>edn</w:t>
      </w:r>
      <w:proofErr w:type="spellEnd"/>
      <w:r w:rsidRPr="00A77A2A">
        <w:rPr>
          <w:rFonts w:ascii="Times New Roman" w:hAnsi="Times New Roman"/>
        </w:rPr>
        <w:t>. London: Sage Publications.</w:t>
      </w:r>
    </w:p>
    <w:p w14:paraId="0BC73DB5" w14:textId="77777777" w:rsidR="00AD4523" w:rsidRPr="00A77A2A" w:rsidRDefault="005C7783" w:rsidP="00A77A2A">
      <w:pPr>
        <w:spacing w:before="60" w:after="80" w:line="360" w:lineRule="auto"/>
        <w:jc w:val="both"/>
        <w:rPr>
          <w:rFonts w:ascii="Times New Roman" w:hAnsi="Times New Roman"/>
        </w:rPr>
      </w:pPr>
      <w:proofErr w:type="spellStart"/>
      <w:r w:rsidRPr="00A77A2A">
        <w:rPr>
          <w:rFonts w:ascii="Times New Roman" w:hAnsi="Times New Roman"/>
        </w:rPr>
        <w:t>Iansiti</w:t>
      </w:r>
      <w:proofErr w:type="spellEnd"/>
      <w:r w:rsidRPr="00A77A2A">
        <w:rPr>
          <w:rFonts w:ascii="Times New Roman" w:hAnsi="Times New Roman"/>
        </w:rPr>
        <w:t>, M. and Lakhani, K.R. (2020) Competing in the Age of AI: Strategy and Leadership When Algorithms and Networks Run the World. Boston: Harvard Business Review Press.</w:t>
      </w:r>
    </w:p>
    <w:p w14:paraId="75970644"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Khan, F.S., Mazhar, S.S., Mazhar, K., AlSaleh, D.A. and Mazhar, A. (2025) 'Model-agnostic explainable artificial intelligence methods in finance: a systematic review, recent developments, limitations, challenges and future directions', Artificial Intelligence Review, 58(8). doi:10.1007/s10462-025-11215-9.</w:t>
      </w:r>
    </w:p>
    <w:p w14:paraId="3DD863C7" w14:textId="77777777" w:rsidR="00AD4523" w:rsidRPr="00A77A2A" w:rsidRDefault="005C7783" w:rsidP="00A77A2A">
      <w:pPr>
        <w:spacing w:before="60" w:after="80" w:line="360" w:lineRule="auto"/>
        <w:jc w:val="both"/>
        <w:rPr>
          <w:rFonts w:ascii="Times New Roman" w:hAnsi="Times New Roman"/>
        </w:rPr>
      </w:pPr>
      <w:proofErr w:type="spellStart"/>
      <w:r w:rsidRPr="00A77A2A">
        <w:rPr>
          <w:rFonts w:ascii="Times New Roman" w:hAnsi="Times New Roman"/>
        </w:rPr>
        <w:t>Kozodoi</w:t>
      </w:r>
      <w:proofErr w:type="spellEnd"/>
      <w:r w:rsidRPr="00A77A2A">
        <w:rPr>
          <w:rFonts w:ascii="Times New Roman" w:hAnsi="Times New Roman"/>
        </w:rPr>
        <w:t>, N., Jacob, J. and Lessmann, S. (2021) 'Fairness in credit scoring: Assessment, implementation and profit implications', European Journal of Operational Research, 297(3). doi:10.1016/j.ejor.2021.06.023.</w:t>
      </w:r>
    </w:p>
    <w:p w14:paraId="3178938C"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Leo, M., Sharma, S. and </w:t>
      </w:r>
      <w:proofErr w:type="spellStart"/>
      <w:r w:rsidRPr="00A77A2A">
        <w:rPr>
          <w:rFonts w:ascii="Times New Roman" w:hAnsi="Times New Roman"/>
        </w:rPr>
        <w:t>Maddulety</w:t>
      </w:r>
      <w:proofErr w:type="spellEnd"/>
      <w:r w:rsidRPr="00A77A2A">
        <w:rPr>
          <w:rFonts w:ascii="Times New Roman" w:hAnsi="Times New Roman"/>
        </w:rPr>
        <w:t>, K. (2019) 'Machine learning in banking risk management: A literature review', Risks, 7(1), p.29. doi:10.3390/risks7010029.</w:t>
      </w:r>
    </w:p>
    <w:p w14:paraId="79C13BEC"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Leslie, D. (2019) Understanding Artificial Intelligence Ethics and Safety: A Guide for the Responsible Design and Implementation of AI Systems in the Public Sector. London: The Alan Turing Institute. doi:10.5281/zenodo.3240529.</w:t>
      </w:r>
    </w:p>
    <w:p w14:paraId="0524B351" w14:textId="6AF0C2FB"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Lloyds Banking Group plc (2024) Annual Report and Accounts 2024. London: Lloyds Banking Group. Available at: </w:t>
      </w:r>
      <w:hyperlink r:id="rId18" w:history="1">
        <w:r w:rsidR="00EF4B4D" w:rsidRPr="00F96513">
          <w:rPr>
            <w:rStyle w:val="Hyperlink"/>
            <w:rFonts w:ascii="Times New Roman" w:hAnsi="Times New Roman"/>
          </w:rPr>
          <w:t>https://www.lloydsbankinggroup.com/assets/pdfs/investors/financial-performance/lloyds-banking-group-2024-annual-report.pdf</w:t>
        </w:r>
      </w:hyperlink>
      <w:r w:rsidR="00EF4B4D">
        <w:rPr>
          <w:rFonts w:ascii="Times New Roman" w:hAnsi="Times New Roman"/>
        </w:rPr>
        <w:t xml:space="preserve"> </w:t>
      </w:r>
    </w:p>
    <w:p w14:paraId="6BFFD129" w14:textId="7B75A771"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McKinsey and Company (2025) Banking Trends Snapshot: How Banks Can Catch Up to Fintechs on AI. New York: McKinsey Global Institute. Available at: </w:t>
      </w:r>
      <w:hyperlink r:id="rId19" w:history="1">
        <w:r w:rsidR="00EF4B4D" w:rsidRPr="00F96513">
          <w:rPr>
            <w:rStyle w:val="Hyperlink"/>
            <w:rFonts w:ascii="Times New Roman" w:hAnsi="Times New Roman"/>
          </w:rPr>
          <w:t>https://www.mckinsey.com/industries/financial-services/our-insights/banking-matters/banking-trends-snapshot-how-banks-can-catch-up-to-fintechs-on-ai</w:t>
        </w:r>
      </w:hyperlink>
      <w:r w:rsidR="00EF4B4D">
        <w:rPr>
          <w:rFonts w:ascii="Times New Roman" w:hAnsi="Times New Roman"/>
        </w:rPr>
        <w:t xml:space="preserve"> </w:t>
      </w:r>
    </w:p>
    <w:p w14:paraId="50080E93"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Miller, R. (2023) '</w:t>
      </w:r>
      <w:proofErr w:type="spellStart"/>
      <w:r w:rsidRPr="00A77A2A">
        <w:rPr>
          <w:rFonts w:ascii="Times New Roman" w:hAnsi="Times New Roman"/>
        </w:rPr>
        <w:t>Capitalising</w:t>
      </w:r>
      <w:proofErr w:type="spellEnd"/>
      <w:r w:rsidRPr="00A77A2A">
        <w:rPr>
          <w:rFonts w:ascii="Times New Roman" w:hAnsi="Times New Roman"/>
        </w:rPr>
        <w:t xml:space="preserve"> on machine learning algorithms/techniques to enhance business decision making in macro-environments (PESTLE)', SSRN Electronic Journal. doi:10.2139/ssrn.4394639.</w:t>
      </w:r>
    </w:p>
    <w:p w14:paraId="602400D5" w14:textId="77777777" w:rsidR="00AD4523" w:rsidRPr="00A77A2A" w:rsidRDefault="005C7783" w:rsidP="00A77A2A">
      <w:pPr>
        <w:spacing w:before="60" w:after="80" w:line="360" w:lineRule="auto"/>
        <w:jc w:val="both"/>
        <w:rPr>
          <w:rFonts w:ascii="Times New Roman" w:hAnsi="Times New Roman"/>
        </w:rPr>
      </w:pPr>
      <w:proofErr w:type="spellStart"/>
      <w:r w:rsidRPr="00A77A2A">
        <w:rPr>
          <w:rFonts w:ascii="Times New Roman" w:hAnsi="Times New Roman"/>
        </w:rPr>
        <w:lastRenderedPageBreak/>
        <w:t>Mittelstadt</w:t>
      </w:r>
      <w:proofErr w:type="spellEnd"/>
      <w:r w:rsidRPr="00A77A2A">
        <w:rPr>
          <w:rFonts w:ascii="Times New Roman" w:hAnsi="Times New Roman"/>
        </w:rPr>
        <w:t xml:space="preserve">, B.D., </w:t>
      </w:r>
      <w:proofErr w:type="spellStart"/>
      <w:r w:rsidRPr="00A77A2A">
        <w:rPr>
          <w:rFonts w:ascii="Times New Roman" w:hAnsi="Times New Roman"/>
        </w:rPr>
        <w:t>Allo</w:t>
      </w:r>
      <w:proofErr w:type="spellEnd"/>
      <w:r w:rsidRPr="00A77A2A">
        <w:rPr>
          <w:rFonts w:ascii="Times New Roman" w:hAnsi="Times New Roman"/>
        </w:rPr>
        <w:t xml:space="preserve">, P., Taddeo, M., Wachter, S. and </w:t>
      </w:r>
      <w:proofErr w:type="spellStart"/>
      <w:r w:rsidRPr="00A77A2A">
        <w:rPr>
          <w:rFonts w:ascii="Times New Roman" w:hAnsi="Times New Roman"/>
        </w:rPr>
        <w:t>Floridi</w:t>
      </w:r>
      <w:proofErr w:type="spellEnd"/>
      <w:r w:rsidRPr="00A77A2A">
        <w:rPr>
          <w:rFonts w:ascii="Times New Roman" w:hAnsi="Times New Roman"/>
        </w:rPr>
        <w:t>, L. (2016) 'The ethics of algorithms: Mapping the debate', Big Data and Society, 3(2), pp.1–21. doi:10.1177/2053951716679679.</w:t>
      </w:r>
    </w:p>
    <w:p w14:paraId="6040C6A4"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Moura, L., </w:t>
      </w:r>
      <w:proofErr w:type="spellStart"/>
      <w:r w:rsidRPr="00A77A2A">
        <w:rPr>
          <w:rFonts w:ascii="Times New Roman" w:hAnsi="Times New Roman"/>
        </w:rPr>
        <w:t>Barcaui</w:t>
      </w:r>
      <w:proofErr w:type="spellEnd"/>
      <w:r w:rsidRPr="00A77A2A">
        <w:rPr>
          <w:rFonts w:ascii="Times New Roman" w:hAnsi="Times New Roman"/>
        </w:rPr>
        <w:t>, A. and Payer, R. (2025) 'AI and financial fraud prevention: Mapping the trends and challenges through a bibliometric lens', Journal of Risk and Financial Management, 18(6), pp.323–323. doi:10.3390/jrfm18060323.</w:t>
      </w:r>
    </w:p>
    <w:p w14:paraId="3011648F"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Nica, I., </w:t>
      </w:r>
      <w:proofErr w:type="spellStart"/>
      <w:r w:rsidRPr="00A77A2A">
        <w:rPr>
          <w:rFonts w:ascii="Times New Roman" w:hAnsi="Times New Roman"/>
        </w:rPr>
        <w:t>Chiriță</w:t>
      </w:r>
      <w:proofErr w:type="spellEnd"/>
      <w:r w:rsidRPr="00A77A2A">
        <w:rPr>
          <w:rFonts w:ascii="Times New Roman" w:hAnsi="Times New Roman"/>
        </w:rPr>
        <w:t>, N. and Georgescu, I. (2025) 'Triple bottom line in sustainable development: A comprehensive bibliometric analysis', Sustainability, 17(5), p.1932. doi:10.3390/su17051932.</w:t>
      </w:r>
    </w:p>
    <w:p w14:paraId="3D56C98C" w14:textId="6BDA37A6"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Porter, M.E. (1979) 'How competitive forces shape strategy', Harvard Business Review, 57(2), pp.137–145. Available at: </w:t>
      </w:r>
      <w:hyperlink r:id="rId20" w:history="1">
        <w:r w:rsidR="00EF4B4D" w:rsidRPr="00F96513">
          <w:rPr>
            <w:rStyle w:val="Hyperlink"/>
            <w:rFonts w:ascii="Times New Roman" w:hAnsi="Times New Roman"/>
          </w:rPr>
          <w:t>https://hbr.org/1979/03/how-competitive-forces-shape-strategy</w:t>
        </w:r>
      </w:hyperlink>
      <w:r w:rsidR="00EF4B4D">
        <w:rPr>
          <w:rFonts w:ascii="Times New Roman" w:hAnsi="Times New Roman"/>
        </w:rPr>
        <w:t xml:space="preserve"> </w:t>
      </w:r>
    </w:p>
    <w:p w14:paraId="457ED56D" w14:textId="0AD73D51"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PricewaterhouseCoopers (2025) Scaling Customer-Facing AI: Unlocking Better Outcomes and Consumer Duty Compliance. London: PwC. Available at: </w:t>
      </w:r>
      <w:hyperlink r:id="rId21" w:history="1">
        <w:r w:rsidR="00EF4B4D" w:rsidRPr="00F96513">
          <w:rPr>
            <w:rStyle w:val="Hyperlink"/>
            <w:rFonts w:ascii="Times New Roman" w:hAnsi="Times New Roman"/>
          </w:rPr>
          <w:t>https://www.pwc.co.uk/industries/financial-services/understanding-regulatory-developments/scaling-customer-facing-ai-unlocking-better-outcomes-and-consumer-duty-compliance.html</w:t>
        </w:r>
      </w:hyperlink>
      <w:r w:rsidR="00EF4B4D">
        <w:rPr>
          <w:rFonts w:ascii="Times New Roman" w:hAnsi="Times New Roman"/>
        </w:rPr>
        <w:t xml:space="preserve"> </w:t>
      </w:r>
    </w:p>
    <w:p w14:paraId="2DCEA112" w14:textId="2254A5AA"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Prudential Regulation Authority (2023) PS6/23 — Model Risk Management Principles for Banks. London: Bank of England. Available at: </w:t>
      </w:r>
      <w:hyperlink r:id="rId22" w:history="1">
        <w:r w:rsidR="00EF4B4D" w:rsidRPr="00F96513">
          <w:rPr>
            <w:rStyle w:val="Hyperlink"/>
            <w:rFonts w:ascii="Times New Roman" w:hAnsi="Times New Roman"/>
          </w:rPr>
          <w:t>https://www.bankofengland.co.uk/prudential-regulation/publication/2023/may/model-risk-management-principles-for-banks</w:t>
        </w:r>
      </w:hyperlink>
      <w:r w:rsidR="00EF4B4D">
        <w:rPr>
          <w:rFonts w:ascii="Times New Roman" w:hAnsi="Times New Roman"/>
        </w:rPr>
        <w:t xml:space="preserve"> </w:t>
      </w:r>
    </w:p>
    <w:p w14:paraId="6B060DA6" w14:textId="0EC810F3"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 xml:space="preserve">UK Government (2023) AI Regulation: A Pro-innovation Approach. London: Department for Science, Innovation and Technology. Available at: </w:t>
      </w:r>
      <w:hyperlink r:id="rId23" w:history="1">
        <w:r w:rsidR="00EF4B4D" w:rsidRPr="00F96513">
          <w:rPr>
            <w:rStyle w:val="Hyperlink"/>
            <w:rFonts w:ascii="Times New Roman" w:hAnsi="Times New Roman"/>
          </w:rPr>
          <w:t>https://www.gov.uk/government/publications/ai-regulation-a-pro-innovation-approach</w:t>
        </w:r>
      </w:hyperlink>
      <w:r w:rsidR="00EF4B4D">
        <w:rPr>
          <w:rFonts w:ascii="Times New Roman" w:hAnsi="Times New Roman"/>
        </w:rPr>
        <w:t xml:space="preserve"> </w:t>
      </w:r>
    </w:p>
    <w:p w14:paraId="62467889" w14:textId="77777777" w:rsidR="00AD4523" w:rsidRPr="00A77A2A" w:rsidRDefault="005C7783" w:rsidP="00A77A2A">
      <w:pPr>
        <w:spacing w:before="60" w:after="80" w:line="360" w:lineRule="auto"/>
        <w:jc w:val="both"/>
        <w:rPr>
          <w:rFonts w:ascii="Times New Roman" w:hAnsi="Times New Roman"/>
        </w:rPr>
      </w:pPr>
      <w:r w:rsidRPr="00A77A2A">
        <w:rPr>
          <w:rFonts w:ascii="Times New Roman" w:hAnsi="Times New Roman"/>
        </w:rPr>
        <w:t>Wachter, S., Mittelstadt, B. and Russell, C. (2017) 'Counterfactual explanations without opening the black box: Automated decisions and the GDPR', SSRN Electronic Journal, 31(2). doi:10.2139/ssrn.3063289.</w:t>
      </w:r>
    </w:p>
    <w:p w14:paraId="448B1AE0" w14:textId="7DDABC73" w:rsidR="00AD4523" w:rsidRPr="00A77A2A" w:rsidRDefault="00AD4523" w:rsidP="00A77A2A">
      <w:pPr>
        <w:spacing w:before="60" w:after="80" w:line="360" w:lineRule="auto"/>
        <w:jc w:val="both"/>
        <w:rPr>
          <w:rFonts w:ascii="Times New Roman" w:hAnsi="Times New Roman"/>
        </w:rPr>
      </w:pPr>
    </w:p>
    <w:sectPr w:rsidR="00AD4523" w:rsidRPr="00A77A2A" w:rsidSect="0097239F">
      <w:footerReference w:type="default" r:id="rId24"/>
      <w:pgSz w:w="11906" w:h="16838"/>
      <w:pgMar w:top="1440" w:right="126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8D57E" w14:textId="77777777" w:rsidR="00AC44FB" w:rsidRDefault="00AC44FB">
      <w:r>
        <w:separator/>
      </w:r>
    </w:p>
  </w:endnote>
  <w:endnote w:type="continuationSeparator" w:id="0">
    <w:p w14:paraId="1BA99B87" w14:textId="77777777" w:rsidR="00AC44FB" w:rsidRDefault="00AC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671507"/>
      <w:docPartObj>
        <w:docPartGallery w:val="Page Numbers (Bottom of Page)"/>
        <w:docPartUnique/>
      </w:docPartObj>
    </w:sdtPr>
    <w:sdtEndPr>
      <w:rPr>
        <w:noProof/>
      </w:rPr>
    </w:sdtEndPr>
    <w:sdtContent>
      <w:p w14:paraId="4A947C31" w14:textId="3E436E74" w:rsidR="00D25B17" w:rsidRDefault="00D25B17" w:rsidP="009723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6B074" w14:textId="77777777" w:rsidR="00AC44FB" w:rsidRDefault="00AC44FB">
      <w:r>
        <w:separator/>
      </w:r>
    </w:p>
  </w:footnote>
  <w:footnote w:type="continuationSeparator" w:id="0">
    <w:p w14:paraId="23D6DD10" w14:textId="77777777" w:rsidR="00AC44FB" w:rsidRDefault="00AC44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7556"/>
    <w:multiLevelType w:val="hybridMultilevel"/>
    <w:tmpl w:val="6C8CD7C0"/>
    <w:lvl w:ilvl="0" w:tplc="863E7994">
      <w:start w:val="1"/>
      <w:numFmt w:val="bullet"/>
      <w:lvlText w:val="•"/>
      <w:lvlJc w:val="left"/>
      <w:pPr>
        <w:ind w:left="720" w:hanging="360"/>
      </w:pPr>
    </w:lvl>
    <w:lvl w:ilvl="1" w:tplc="9716AAE2">
      <w:numFmt w:val="decimal"/>
      <w:lvlText w:val=""/>
      <w:lvlJc w:val="left"/>
    </w:lvl>
    <w:lvl w:ilvl="2" w:tplc="55A4E508">
      <w:numFmt w:val="decimal"/>
      <w:lvlText w:val=""/>
      <w:lvlJc w:val="left"/>
    </w:lvl>
    <w:lvl w:ilvl="3" w:tplc="F918B806">
      <w:numFmt w:val="decimal"/>
      <w:lvlText w:val=""/>
      <w:lvlJc w:val="left"/>
    </w:lvl>
    <w:lvl w:ilvl="4" w:tplc="43B6EFC0">
      <w:numFmt w:val="decimal"/>
      <w:lvlText w:val=""/>
      <w:lvlJc w:val="left"/>
    </w:lvl>
    <w:lvl w:ilvl="5" w:tplc="30CAFACE">
      <w:numFmt w:val="decimal"/>
      <w:lvlText w:val=""/>
      <w:lvlJc w:val="left"/>
    </w:lvl>
    <w:lvl w:ilvl="6" w:tplc="557E54DC">
      <w:numFmt w:val="decimal"/>
      <w:lvlText w:val=""/>
      <w:lvlJc w:val="left"/>
    </w:lvl>
    <w:lvl w:ilvl="7" w:tplc="CD8C269C">
      <w:numFmt w:val="decimal"/>
      <w:lvlText w:val=""/>
      <w:lvlJc w:val="left"/>
    </w:lvl>
    <w:lvl w:ilvl="8" w:tplc="7820F3A6">
      <w:numFmt w:val="decimal"/>
      <w:lvlText w:val=""/>
      <w:lvlJc w:val="left"/>
    </w:lvl>
  </w:abstractNum>
  <w:abstractNum w:abstractNumId="1" w15:restartNumberingAfterBreak="0">
    <w:nsid w:val="2AFD5459"/>
    <w:multiLevelType w:val="hybridMultilevel"/>
    <w:tmpl w:val="7AD6D9A2"/>
    <w:lvl w:ilvl="0" w:tplc="0CB614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39709B"/>
    <w:multiLevelType w:val="hybridMultilevel"/>
    <w:tmpl w:val="6A98C7BE"/>
    <w:lvl w:ilvl="0" w:tplc="38FC9C3A">
      <w:start w:val="1"/>
      <w:numFmt w:val="bullet"/>
      <w:lvlText w:val="●"/>
      <w:lvlJc w:val="left"/>
      <w:pPr>
        <w:ind w:left="720" w:hanging="360"/>
      </w:pPr>
    </w:lvl>
    <w:lvl w:ilvl="1" w:tplc="DC30A960">
      <w:start w:val="1"/>
      <w:numFmt w:val="bullet"/>
      <w:lvlText w:val="○"/>
      <w:lvlJc w:val="left"/>
      <w:pPr>
        <w:ind w:left="1440" w:hanging="360"/>
      </w:pPr>
    </w:lvl>
    <w:lvl w:ilvl="2" w:tplc="7CEA793E">
      <w:start w:val="1"/>
      <w:numFmt w:val="bullet"/>
      <w:lvlText w:val="■"/>
      <w:lvlJc w:val="left"/>
      <w:pPr>
        <w:ind w:left="2160" w:hanging="360"/>
      </w:pPr>
    </w:lvl>
    <w:lvl w:ilvl="3" w:tplc="9E84D5F4">
      <w:start w:val="1"/>
      <w:numFmt w:val="bullet"/>
      <w:lvlText w:val="●"/>
      <w:lvlJc w:val="left"/>
      <w:pPr>
        <w:ind w:left="2880" w:hanging="360"/>
      </w:pPr>
    </w:lvl>
    <w:lvl w:ilvl="4" w:tplc="A9780C5E">
      <w:start w:val="1"/>
      <w:numFmt w:val="bullet"/>
      <w:lvlText w:val="○"/>
      <w:lvlJc w:val="left"/>
      <w:pPr>
        <w:ind w:left="3600" w:hanging="360"/>
      </w:pPr>
    </w:lvl>
    <w:lvl w:ilvl="5" w:tplc="AD24D8C6">
      <w:start w:val="1"/>
      <w:numFmt w:val="bullet"/>
      <w:lvlText w:val="■"/>
      <w:lvlJc w:val="left"/>
      <w:pPr>
        <w:ind w:left="4320" w:hanging="360"/>
      </w:pPr>
    </w:lvl>
    <w:lvl w:ilvl="6" w:tplc="BA107D74">
      <w:start w:val="1"/>
      <w:numFmt w:val="bullet"/>
      <w:lvlText w:val="●"/>
      <w:lvlJc w:val="left"/>
      <w:pPr>
        <w:ind w:left="5040" w:hanging="360"/>
      </w:pPr>
    </w:lvl>
    <w:lvl w:ilvl="7" w:tplc="4F165BB6">
      <w:start w:val="1"/>
      <w:numFmt w:val="bullet"/>
      <w:lvlText w:val="●"/>
      <w:lvlJc w:val="left"/>
      <w:pPr>
        <w:ind w:left="5760" w:hanging="360"/>
      </w:pPr>
    </w:lvl>
    <w:lvl w:ilvl="8" w:tplc="B58C308A">
      <w:start w:val="1"/>
      <w:numFmt w:val="bullet"/>
      <w:lvlText w:val="●"/>
      <w:lvlJc w:val="left"/>
      <w:pPr>
        <w:ind w:left="6480" w:hanging="360"/>
      </w:pPr>
    </w:lvl>
  </w:abstractNum>
  <w:abstractNum w:abstractNumId="3" w15:restartNumberingAfterBreak="0">
    <w:nsid w:val="426E3829"/>
    <w:multiLevelType w:val="hybridMultilevel"/>
    <w:tmpl w:val="8C68E9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A3B3916"/>
    <w:multiLevelType w:val="hybridMultilevel"/>
    <w:tmpl w:val="80105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0F819DD"/>
    <w:multiLevelType w:val="hybridMultilevel"/>
    <w:tmpl w:val="D7B6F1AA"/>
    <w:lvl w:ilvl="0" w:tplc="88280B94">
      <w:start w:val="1"/>
      <w:numFmt w:val="decimal"/>
      <w:lvlText w:val="%1."/>
      <w:lvlJc w:val="left"/>
      <w:pPr>
        <w:ind w:left="720" w:hanging="360"/>
      </w:pPr>
    </w:lvl>
    <w:lvl w:ilvl="1" w:tplc="8744B97E">
      <w:numFmt w:val="decimal"/>
      <w:lvlText w:val=""/>
      <w:lvlJc w:val="left"/>
    </w:lvl>
    <w:lvl w:ilvl="2" w:tplc="A9EC6EB8">
      <w:numFmt w:val="decimal"/>
      <w:lvlText w:val=""/>
      <w:lvlJc w:val="left"/>
    </w:lvl>
    <w:lvl w:ilvl="3" w:tplc="F714549C">
      <w:numFmt w:val="decimal"/>
      <w:lvlText w:val=""/>
      <w:lvlJc w:val="left"/>
    </w:lvl>
    <w:lvl w:ilvl="4" w:tplc="775430AC">
      <w:numFmt w:val="decimal"/>
      <w:lvlText w:val=""/>
      <w:lvlJc w:val="left"/>
    </w:lvl>
    <w:lvl w:ilvl="5" w:tplc="9886C75C">
      <w:numFmt w:val="decimal"/>
      <w:lvlText w:val=""/>
      <w:lvlJc w:val="left"/>
    </w:lvl>
    <w:lvl w:ilvl="6" w:tplc="C3261DD6">
      <w:numFmt w:val="decimal"/>
      <w:lvlText w:val=""/>
      <w:lvlJc w:val="left"/>
    </w:lvl>
    <w:lvl w:ilvl="7" w:tplc="EC6ED1A6">
      <w:numFmt w:val="decimal"/>
      <w:lvlText w:val=""/>
      <w:lvlJc w:val="left"/>
    </w:lvl>
    <w:lvl w:ilvl="8" w:tplc="47282250">
      <w:numFmt w:val="decimal"/>
      <w:lvlText w:val=""/>
      <w:lvlJc w:val="left"/>
    </w:lvl>
  </w:abstractNum>
  <w:abstractNum w:abstractNumId="6" w15:restartNumberingAfterBreak="0">
    <w:nsid w:val="76033054"/>
    <w:multiLevelType w:val="hybridMultilevel"/>
    <w:tmpl w:val="66C4E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lvlOverride w:ilvl="0">
      <w:startOverride w:val="1"/>
    </w:lvlOverride>
  </w:num>
  <w:num w:numId="2">
    <w:abstractNumId w:val="5"/>
    <w:lvlOverride w:ilvl="0">
      <w:startOverride w:val="1"/>
    </w:lvlOverride>
  </w:num>
  <w:num w:numId="3">
    <w:abstractNumId w:val="3"/>
  </w:num>
  <w:num w:numId="4">
    <w:abstractNumId w:val="1"/>
  </w:num>
  <w:num w:numId="5">
    <w:abstractNumId w:val="6"/>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523"/>
    <w:rsid w:val="00005A6B"/>
    <w:rsid w:val="0002663B"/>
    <w:rsid w:val="000916DF"/>
    <w:rsid w:val="000E129C"/>
    <w:rsid w:val="00125FB2"/>
    <w:rsid w:val="002537CD"/>
    <w:rsid w:val="002A28F0"/>
    <w:rsid w:val="003670A5"/>
    <w:rsid w:val="003A1C66"/>
    <w:rsid w:val="0043108B"/>
    <w:rsid w:val="004724EB"/>
    <w:rsid w:val="004F2141"/>
    <w:rsid w:val="00531A51"/>
    <w:rsid w:val="00572ACC"/>
    <w:rsid w:val="005807A4"/>
    <w:rsid w:val="005867C6"/>
    <w:rsid w:val="005A1E62"/>
    <w:rsid w:val="005C1838"/>
    <w:rsid w:val="005C7783"/>
    <w:rsid w:val="00640BF7"/>
    <w:rsid w:val="00646D09"/>
    <w:rsid w:val="00745377"/>
    <w:rsid w:val="0079551A"/>
    <w:rsid w:val="00874124"/>
    <w:rsid w:val="008B33DA"/>
    <w:rsid w:val="0097239F"/>
    <w:rsid w:val="009734E2"/>
    <w:rsid w:val="009A34CD"/>
    <w:rsid w:val="009B2821"/>
    <w:rsid w:val="009F71F4"/>
    <w:rsid w:val="00A77A2A"/>
    <w:rsid w:val="00AC44FB"/>
    <w:rsid w:val="00AD4523"/>
    <w:rsid w:val="00AD69F0"/>
    <w:rsid w:val="00BB0881"/>
    <w:rsid w:val="00BD2C45"/>
    <w:rsid w:val="00BE3BE1"/>
    <w:rsid w:val="00C76B92"/>
    <w:rsid w:val="00CC3550"/>
    <w:rsid w:val="00CE6EEF"/>
    <w:rsid w:val="00D04F35"/>
    <w:rsid w:val="00D25B17"/>
    <w:rsid w:val="00D92A13"/>
    <w:rsid w:val="00E865B5"/>
    <w:rsid w:val="00EF4B4D"/>
    <w:rsid w:val="00FB5665"/>
    <w:rsid w:val="00FF3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C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4EB"/>
    <w:rPr>
      <w:sz w:val="24"/>
      <w:szCs w:val="24"/>
    </w:rPr>
  </w:style>
  <w:style w:type="paragraph" w:styleId="Heading1">
    <w:name w:val="heading 1"/>
    <w:basedOn w:val="Normal"/>
    <w:next w:val="Normal"/>
    <w:link w:val="Heading1Char"/>
    <w:uiPriority w:val="9"/>
    <w:qFormat/>
    <w:rsid w:val="004724EB"/>
    <w:pPr>
      <w:keepNext/>
      <w:spacing w:before="240" w:after="60"/>
      <w:outlineLvl w:val="0"/>
    </w:pPr>
    <w:rPr>
      <w:rFonts w:asciiTheme="majorHAnsi" w:eastAsiaTheme="majorEastAsia" w:hAnsiTheme="majorHAnsi" w:cs="Arial"/>
      <w:b/>
      <w:bCs/>
      <w:kern w:val="32"/>
      <w:sz w:val="32"/>
      <w:szCs w:val="32"/>
    </w:rPr>
  </w:style>
  <w:style w:type="paragraph" w:styleId="Heading2">
    <w:name w:val="heading 2"/>
    <w:basedOn w:val="Normal"/>
    <w:next w:val="Normal"/>
    <w:link w:val="Heading2Char"/>
    <w:uiPriority w:val="9"/>
    <w:unhideWhenUsed/>
    <w:qFormat/>
    <w:rsid w:val="004724EB"/>
    <w:pPr>
      <w:keepNext/>
      <w:spacing w:before="240" w:after="60"/>
      <w:outlineLvl w:val="1"/>
    </w:pPr>
    <w:rPr>
      <w:rFonts w:asciiTheme="majorHAnsi" w:eastAsiaTheme="majorEastAsia" w:hAnsiTheme="majorHAnsi" w:cs="Arial"/>
      <w:b/>
      <w:bCs/>
      <w:i/>
      <w:iCs/>
      <w:sz w:val="28"/>
      <w:szCs w:val="28"/>
    </w:rPr>
  </w:style>
  <w:style w:type="paragraph" w:styleId="Heading3">
    <w:name w:val="heading 3"/>
    <w:basedOn w:val="Normal"/>
    <w:next w:val="Normal"/>
    <w:link w:val="Heading3Char"/>
    <w:uiPriority w:val="9"/>
    <w:semiHidden/>
    <w:unhideWhenUsed/>
    <w:qFormat/>
    <w:rsid w:val="004724EB"/>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724EB"/>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724EB"/>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724EB"/>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724EB"/>
    <w:pPr>
      <w:spacing w:before="240" w:after="60"/>
      <w:outlineLvl w:val="6"/>
    </w:pPr>
  </w:style>
  <w:style w:type="paragraph" w:styleId="Heading8">
    <w:name w:val="heading 8"/>
    <w:basedOn w:val="Normal"/>
    <w:next w:val="Normal"/>
    <w:link w:val="Heading8Char"/>
    <w:uiPriority w:val="9"/>
    <w:semiHidden/>
    <w:unhideWhenUsed/>
    <w:qFormat/>
    <w:rsid w:val="004724EB"/>
    <w:pPr>
      <w:spacing w:before="240" w:after="60"/>
      <w:outlineLvl w:val="7"/>
    </w:pPr>
    <w:rPr>
      <w:i/>
      <w:iCs/>
    </w:rPr>
  </w:style>
  <w:style w:type="paragraph" w:styleId="Heading9">
    <w:name w:val="heading 9"/>
    <w:basedOn w:val="Normal"/>
    <w:next w:val="Normal"/>
    <w:link w:val="Heading9Char"/>
    <w:uiPriority w:val="9"/>
    <w:semiHidden/>
    <w:unhideWhenUsed/>
    <w:qFormat/>
    <w:rsid w:val="004724E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24EB"/>
    <w:pPr>
      <w:spacing w:before="240" w:after="60"/>
      <w:jc w:val="center"/>
      <w:outlineLvl w:val="0"/>
    </w:pPr>
    <w:rPr>
      <w:rFonts w:asciiTheme="majorHAnsi" w:eastAsiaTheme="majorEastAsia" w:hAnsiTheme="majorHAnsi"/>
      <w:b/>
      <w:bCs/>
      <w:kern w:val="28"/>
      <w:sz w:val="32"/>
      <w:szCs w:val="32"/>
    </w:rPr>
  </w:style>
  <w:style w:type="paragraph" w:customStyle="1" w:styleId="Strong1">
    <w:name w:val="Strong1"/>
    <w:rPr>
      <w:b/>
      <w:bCs/>
    </w:rPr>
  </w:style>
  <w:style w:type="paragraph" w:styleId="ListParagraph">
    <w:name w:val="List Paragraph"/>
    <w:basedOn w:val="Normal"/>
    <w:uiPriority w:val="34"/>
    <w:qFormat/>
    <w:rsid w:val="004724EB"/>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77A2A"/>
    <w:pPr>
      <w:tabs>
        <w:tab w:val="center" w:pos="4680"/>
        <w:tab w:val="right" w:pos="9360"/>
      </w:tabs>
    </w:pPr>
  </w:style>
  <w:style w:type="character" w:customStyle="1" w:styleId="HeaderChar">
    <w:name w:val="Header Char"/>
    <w:basedOn w:val="DefaultParagraphFont"/>
    <w:link w:val="Header"/>
    <w:uiPriority w:val="99"/>
    <w:rsid w:val="00A77A2A"/>
  </w:style>
  <w:style w:type="paragraph" w:styleId="Footer">
    <w:name w:val="footer"/>
    <w:basedOn w:val="Normal"/>
    <w:link w:val="FooterChar"/>
    <w:uiPriority w:val="99"/>
    <w:unhideWhenUsed/>
    <w:rsid w:val="00A77A2A"/>
    <w:pPr>
      <w:tabs>
        <w:tab w:val="center" w:pos="4680"/>
        <w:tab w:val="right" w:pos="9360"/>
      </w:tabs>
    </w:pPr>
  </w:style>
  <w:style w:type="character" w:customStyle="1" w:styleId="FooterChar">
    <w:name w:val="Footer Char"/>
    <w:basedOn w:val="DefaultParagraphFont"/>
    <w:link w:val="Footer"/>
    <w:uiPriority w:val="99"/>
    <w:rsid w:val="00A77A2A"/>
  </w:style>
  <w:style w:type="table" w:styleId="GridTable4-Accent1">
    <w:name w:val="Grid Table 4 Accent 1"/>
    <w:basedOn w:val="TableNormal"/>
    <w:uiPriority w:val="49"/>
    <w:rsid w:val="009A34C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4724EB"/>
    <w:rPr>
      <w:rFonts w:asciiTheme="majorHAnsi" w:eastAsiaTheme="majorEastAsia" w:hAnsiTheme="majorHAnsi" w:cs="Arial"/>
      <w:b/>
      <w:bCs/>
      <w:kern w:val="32"/>
      <w:sz w:val="32"/>
      <w:szCs w:val="32"/>
    </w:rPr>
  </w:style>
  <w:style w:type="character" w:customStyle="1" w:styleId="Heading2Char">
    <w:name w:val="Heading 2 Char"/>
    <w:basedOn w:val="DefaultParagraphFont"/>
    <w:link w:val="Heading2"/>
    <w:uiPriority w:val="9"/>
    <w:rsid w:val="004724EB"/>
    <w:rPr>
      <w:rFonts w:asciiTheme="majorHAnsi" w:eastAsiaTheme="majorEastAsia" w:hAnsiTheme="majorHAnsi" w:cs="Arial"/>
      <w:b/>
      <w:bCs/>
      <w:i/>
      <w:iCs/>
      <w:sz w:val="28"/>
      <w:szCs w:val="28"/>
    </w:rPr>
  </w:style>
  <w:style w:type="character" w:customStyle="1" w:styleId="Heading3Char">
    <w:name w:val="Heading 3 Char"/>
    <w:basedOn w:val="DefaultParagraphFont"/>
    <w:link w:val="Heading3"/>
    <w:uiPriority w:val="9"/>
    <w:semiHidden/>
    <w:rsid w:val="004724EB"/>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4724EB"/>
    <w:rPr>
      <w:b/>
      <w:bCs/>
      <w:sz w:val="28"/>
      <w:szCs w:val="28"/>
    </w:rPr>
  </w:style>
  <w:style w:type="character" w:customStyle="1" w:styleId="Heading5Char">
    <w:name w:val="Heading 5 Char"/>
    <w:basedOn w:val="DefaultParagraphFont"/>
    <w:link w:val="Heading5"/>
    <w:uiPriority w:val="9"/>
    <w:semiHidden/>
    <w:rsid w:val="004724EB"/>
    <w:rPr>
      <w:b/>
      <w:bCs/>
      <w:i/>
      <w:iCs/>
      <w:sz w:val="26"/>
      <w:szCs w:val="26"/>
    </w:rPr>
  </w:style>
  <w:style w:type="character" w:customStyle="1" w:styleId="Heading6Char">
    <w:name w:val="Heading 6 Char"/>
    <w:basedOn w:val="DefaultParagraphFont"/>
    <w:link w:val="Heading6"/>
    <w:uiPriority w:val="9"/>
    <w:semiHidden/>
    <w:rsid w:val="004724EB"/>
    <w:rPr>
      <w:b/>
      <w:bCs/>
    </w:rPr>
  </w:style>
  <w:style w:type="character" w:customStyle="1" w:styleId="Heading7Char">
    <w:name w:val="Heading 7 Char"/>
    <w:basedOn w:val="DefaultParagraphFont"/>
    <w:link w:val="Heading7"/>
    <w:uiPriority w:val="9"/>
    <w:semiHidden/>
    <w:rsid w:val="004724EB"/>
    <w:rPr>
      <w:sz w:val="24"/>
      <w:szCs w:val="24"/>
    </w:rPr>
  </w:style>
  <w:style w:type="character" w:customStyle="1" w:styleId="Heading8Char">
    <w:name w:val="Heading 8 Char"/>
    <w:basedOn w:val="DefaultParagraphFont"/>
    <w:link w:val="Heading8"/>
    <w:uiPriority w:val="9"/>
    <w:semiHidden/>
    <w:rsid w:val="004724EB"/>
    <w:rPr>
      <w:i/>
      <w:iCs/>
      <w:sz w:val="24"/>
      <w:szCs w:val="24"/>
    </w:rPr>
  </w:style>
  <w:style w:type="character" w:customStyle="1" w:styleId="Heading9Char">
    <w:name w:val="Heading 9 Char"/>
    <w:basedOn w:val="DefaultParagraphFont"/>
    <w:link w:val="Heading9"/>
    <w:uiPriority w:val="9"/>
    <w:semiHidden/>
    <w:rsid w:val="004724EB"/>
    <w:rPr>
      <w:rFonts w:asciiTheme="majorHAnsi" w:eastAsiaTheme="majorEastAsia" w:hAnsiTheme="majorHAnsi"/>
    </w:rPr>
  </w:style>
  <w:style w:type="character" w:customStyle="1" w:styleId="TitleChar">
    <w:name w:val="Title Char"/>
    <w:basedOn w:val="DefaultParagraphFont"/>
    <w:link w:val="Title"/>
    <w:uiPriority w:val="10"/>
    <w:rsid w:val="004724EB"/>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4724EB"/>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4724EB"/>
    <w:rPr>
      <w:rFonts w:asciiTheme="majorHAnsi" w:eastAsiaTheme="majorEastAsia" w:hAnsiTheme="majorHAnsi"/>
      <w:sz w:val="24"/>
      <w:szCs w:val="24"/>
    </w:rPr>
  </w:style>
  <w:style w:type="character" w:styleId="Strong">
    <w:name w:val="Strong"/>
    <w:basedOn w:val="DefaultParagraphFont"/>
    <w:uiPriority w:val="22"/>
    <w:qFormat/>
    <w:rsid w:val="004724EB"/>
    <w:rPr>
      <w:b/>
      <w:bCs/>
    </w:rPr>
  </w:style>
  <w:style w:type="character" w:styleId="Emphasis">
    <w:name w:val="Emphasis"/>
    <w:basedOn w:val="DefaultParagraphFont"/>
    <w:uiPriority w:val="20"/>
    <w:qFormat/>
    <w:rsid w:val="004724EB"/>
    <w:rPr>
      <w:rFonts w:asciiTheme="minorHAnsi" w:hAnsiTheme="minorHAnsi"/>
      <w:b/>
      <w:i/>
      <w:iCs/>
    </w:rPr>
  </w:style>
  <w:style w:type="paragraph" w:styleId="NoSpacing">
    <w:name w:val="No Spacing"/>
    <w:basedOn w:val="Normal"/>
    <w:uiPriority w:val="1"/>
    <w:qFormat/>
    <w:rsid w:val="004724EB"/>
    <w:rPr>
      <w:szCs w:val="32"/>
    </w:rPr>
  </w:style>
  <w:style w:type="paragraph" w:styleId="Quote">
    <w:name w:val="Quote"/>
    <w:basedOn w:val="Normal"/>
    <w:next w:val="Normal"/>
    <w:link w:val="QuoteChar"/>
    <w:uiPriority w:val="29"/>
    <w:qFormat/>
    <w:rsid w:val="004724EB"/>
    <w:rPr>
      <w:i/>
    </w:rPr>
  </w:style>
  <w:style w:type="character" w:customStyle="1" w:styleId="QuoteChar">
    <w:name w:val="Quote Char"/>
    <w:basedOn w:val="DefaultParagraphFont"/>
    <w:link w:val="Quote"/>
    <w:uiPriority w:val="29"/>
    <w:rsid w:val="004724EB"/>
    <w:rPr>
      <w:i/>
      <w:sz w:val="24"/>
      <w:szCs w:val="24"/>
    </w:rPr>
  </w:style>
  <w:style w:type="paragraph" w:styleId="IntenseQuote">
    <w:name w:val="Intense Quote"/>
    <w:basedOn w:val="Normal"/>
    <w:next w:val="Normal"/>
    <w:link w:val="IntenseQuoteChar"/>
    <w:uiPriority w:val="30"/>
    <w:qFormat/>
    <w:rsid w:val="004724EB"/>
    <w:pPr>
      <w:ind w:left="720" w:right="720"/>
    </w:pPr>
    <w:rPr>
      <w:b/>
      <w:i/>
      <w:szCs w:val="22"/>
    </w:rPr>
  </w:style>
  <w:style w:type="character" w:customStyle="1" w:styleId="IntenseQuoteChar">
    <w:name w:val="Intense Quote Char"/>
    <w:basedOn w:val="DefaultParagraphFont"/>
    <w:link w:val="IntenseQuote"/>
    <w:uiPriority w:val="30"/>
    <w:rsid w:val="004724EB"/>
    <w:rPr>
      <w:b/>
      <w:i/>
      <w:sz w:val="24"/>
    </w:rPr>
  </w:style>
  <w:style w:type="character" w:styleId="SubtleEmphasis">
    <w:name w:val="Subtle Emphasis"/>
    <w:uiPriority w:val="19"/>
    <w:qFormat/>
    <w:rsid w:val="004724EB"/>
    <w:rPr>
      <w:i/>
      <w:color w:val="5A5A5A" w:themeColor="text1" w:themeTint="A5"/>
    </w:rPr>
  </w:style>
  <w:style w:type="character" w:styleId="IntenseEmphasis">
    <w:name w:val="Intense Emphasis"/>
    <w:basedOn w:val="DefaultParagraphFont"/>
    <w:uiPriority w:val="21"/>
    <w:qFormat/>
    <w:rsid w:val="004724EB"/>
    <w:rPr>
      <w:b/>
      <w:i/>
      <w:sz w:val="24"/>
      <w:szCs w:val="24"/>
      <w:u w:val="single"/>
    </w:rPr>
  </w:style>
  <w:style w:type="character" w:styleId="SubtleReference">
    <w:name w:val="Subtle Reference"/>
    <w:basedOn w:val="DefaultParagraphFont"/>
    <w:uiPriority w:val="31"/>
    <w:qFormat/>
    <w:rsid w:val="004724EB"/>
    <w:rPr>
      <w:sz w:val="24"/>
      <w:szCs w:val="24"/>
      <w:u w:val="single"/>
    </w:rPr>
  </w:style>
  <w:style w:type="character" w:styleId="IntenseReference">
    <w:name w:val="Intense Reference"/>
    <w:basedOn w:val="DefaultParagraphFont"/>
    <w:uiPriority w:val="32"/>
    <w:qFormat/>
    <w:rsid w:val="004724EB"/>
    <w:rPr>
      <w:b/>
      <w:sz w:val="24"/>
      <w:u w:val="single"/>
    </w:rPr>
  </w:style>
  <w:style w:type="character" w:styleId="BookTitle">
    <w:name w:val="Book Title"/>
    <w:basedOn w:val="DefaultParagraphFont"/>
    <w:uiPriority w:val="33"/>
    <w:qFormat/>
    <w:rsid w:val="004724EB"/>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4724EB"/>
    <w:pPr>
      <w:outlineLvl w:val="9"/>
    </w:pPr>
    <w:rPr>
      <w:rFonts w:cs="Times New Roman"/>
    </w:rPr>
  </w:style>
  <w:style w:type="paragraph" w:styleId="TOC1">
    <w:name w:val="toc 1"/>
    <w:basedOn w:val="Normal"/>
    <w:next w:val="Normal"/>
    <w:autoRedefine/>
    <w:uiPriority w:val="39"/>
    <w:unhideWhenUsed/>
    <w:rsid w:val="00D25B17"/>
    <w:pPr>
      <w:spacing w:after="100"/>
    </w:pPr>
  </w:style>
  <w:style w:type="paragraph" w:styleId="TOC2">
    <w:name w:val="toc 2"/>
    <w:basedOn w:val="Normal"/>
    <w:next w:val="Normal"/>
    <w:autoRedefine/>
    <w:uiPriority w:val="39"/>
    <w:unhideWhenUsed/>
    <w:rsid w:val="00D25B17"/>
    <w:pPr>
      <w:spacing w:after="100"/>
      <w:ind w:left="240"/>
    </w:pPr>
  </w:style>
  <w:style w:type="character" w:styleId="UnresolvedMention">
    <w:name w:val="Unresolved Mention"/>
    <w:basedOn w:val="DefaultParagraphFont"/>
    <w:uiPriority w:val="99"/>
    <w:semiHidden/>
    <w:unhideWhenUsed/>
    <w:rsid w:val="00E86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srn.com/abstract=2847806" TargetMode="External"/><Relationship Id="rId13" Type="http://schemas.openxmlformats.org/officeDocument/2006/relationships/hyperlink" Target="https://www.eba.europa.eu/sites/default/files/2025-11/d8b999ce-a1d9-4964-9606-971bbc2aaf89/AI%20Act%20implications%20for%20the%20EU%20banking%20sector.pdf" TargetMode="External"/><Relationship Id="rId18" Type="http://schemas.openxmlformats.org/officeDocument/2006/relationships/hyperlink" Target="https://www.lloydsbankinggroup.com/assets/pdfs/investors/financial-performance/lloyds-banking-group-2024-annual-report.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wc.co.uk/industries/financial-services/understanding-regulatory-developments/scaling-customer-facing-ai-unlocking-better-outcomes-and-consumer-duty-compliance.html" TargetMode="External"/><Relationship Id="rId7" Type="http://schemas.openxmlformats.org/officeDocument/2006/relationships/image" Target="media/image1.png"/><Relationship Id="rId12" Type="http://schemas.openxmlformats.org/officeDocument/2006/relationships/hyperlink" Target="https://www.mdpi.com/2078-2489/12/7/275" TargetMode="External"/><Relationship Id="rId17" Type="http://schemas.openxmlformats.org/officeDocument/2006/relationships/hyperlink" Target="https://www.fca.org.uk/publications/calls-input/review-long-term-impact-ai-retail-financial-services-mills-review"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ca.org.uk/firms/innovation/ai-approach" TargetMode="External"/><Relationship Id="rId20" Type="http://schemas.openxmlformats.org/officeDocument/2006/relationships/hyperlink" Target="https://hbr.org/1979/03/how-competitive-forces-shape-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lplaw.com/en-US/events-insights-news/ai-regulation-in-financial-services-turning-principles-into-practice.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ca.org.uk/publication/policy/ps22-9.pdf" TargetMode="External"/><Relationship Id="rId23" Type="http://schemas.openxmlformats.org/officeDocument/2006/relationships/hyperlink" Target="https://www.gov.uk/government/publications/ai-regulation-a-pro-innovation-approach" TargetMode="External"/><Relationship Id="rId10" Type="http://schemas.openxmlformats.org/officeDocument/2006/relationships/hyperlink" Target="https://www.bankofengland.co.uk/report/2024/artificial-intelligence-in-uk-financial-services-2024" TargetMode="External"/><Relationship Id="rId19" Type="http://schemas.openxmlformats.org/officeDocument/2006/relationships/hyperlink" Target="https://www.mckinsey.com/industries/financial-services/our-insights/banking-matters/banking-trends-snapshot-how-banks-can-catch-up-to-fintechs-on-ai" TargetMode="External"/><Relationship Id="rId4" Type="http://schemas.openxmlformats.org/officeDocument/2006/relationships/webSettings" Target="webSettings.xml"/><Relationship Id="rId9" Type="http://schemas.openxmlformats.org/officeDocument/2006/relationships/hyperlink" Target="https://www.bankofengland.co.uk/prudential-regulation/publication/2022/october/artificial-intelligence" TargetMode="External"/><Relationship Id="rId14" Type="http://schemas.openxmlformats.org/officeDocument/2006/relationships/hyperlink" Target="https://eur-lex.europa.eu/legal-content/EN/TXT/?uri=OJ:L_202401689" TargetMode="External"/><Relationship Id="rId22" Type="http://schemas.openxmlformats.org/officeDocument/2006/relationships/hyperlink" Target="https://www.bankofengland.co.uk/prudential-regulation/publication/2023/may/model-risk-management-principles-for-banks"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7521</Words>
  <Characters>42871</Characters>
  <Application>Microsoft Office Word</Application>
  <DocSecurity>0</DocSecurity>
  <Lines>357</Lines>
  <Paragraphs>100</Paragraphs>
  <ScaleCrop>false</ScaleCrop>
  <Company/>
  <LinksUpToDate>false</LinksUpToDate>
  <CharactersWithSpaces>50292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2026-04-27T13:52:00Z</dcterms:created>
  <dcterms:modified xsi:type="dcterms:W3CDTF">2026-04-27T13:52:00Z</dcterms:modified>
</cp:coreProperties>
</file>