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34"/>
          <w:szCs w:val="34"/>
        </w:rPr>
      </w:pPr>
    </w:p>
    <w:p>
      <w:pPr>
        <w:pStyle w:val="style0"/>
        <w:spacing w:lineRule="auto" w:line="360"/>
        <w:jc w:val="center"/>
        <w:rPr>
          <w:rFonts w:ascii="Times New Roman" w:cs="Times New Roman" w:eastAsia="Times New Roman" w:hAnsi="Times New Roman"/>
          <w:b/>
          <w:bCs/>
          <w:sz w:val="34"/>
          <w:szCs w:val="34"/>
        </w:rPr>
      </w:pPr>
      <w:r>
        <w:rPr>
          <w:rFonts w:ascii="Times New Roman" w:cs="Times New Roman" w:eastAsia="Times New Roman" w:hAnsi="Times New Roman"/>
          <w:b/>
          <w:bCs/>
          <w:sz w:val="34"/>
          <w:szCs w:val="34"/>
        </w:rPr>
        <w:t>Programme: Master of Business Administration</w:t>
      </w:r>
    </w:p>
    <w:p>
      <w:pPr>
        <w:pStyle w:val="style0"/>
        <w:spacing w:lineRule="auto" w:line="360"/>
        <w:jc w:val="center"/>
        <w:rPr>
          <w:rFonts w:ascii="Times New Roman" w:cs="Times New Roman" w:eastAsia="Times New Roman" w:hAnsi="Times New Roman"/>
          <w:b/>
          <w:bCs/>
          <w:sz w:val="34"/>
          <w:szCs w:val="34"/>
        </w:rPr>
      </w:pPr>
      <w:r>
        <w:rPr>
          <w:rFonts w:ascii="Times New Roman" w:cs="Times New Roman" w:eastAsia="Times New Roman" w:hAnsi="Times New Roman"/>
          <w:b/>
          <w:bCs/>
          <w:sz w:val="34"/>
          <w:szCs w:val="34"/>
        </w:rPr>
        <w:t>Module: Human Capital Management</w:t>
      </w:r>
    </w:p>
    <w:p>
      <w:pPr>
        <w:pStyle w:val="style0"/>
        <w:spacing w:lineRule="auto" w:line="360"/>
        <w:jc w:val="center"/>
        <w:rPr>
          <w:rFonts w:ascii="Times New Roman" w:cs="Times New Roman" w:eastAsia="Times New Roman" w:hAnsi="Times New Roman"/>
          <w:b/>
          <w:bCs/>
          <w:sz w:val="34"/>
          <w:szCs w:val="34"/>
        </w:rPr>
      </w:pPr>
      <w:r>
        <w:rPr>
          <w:rFonts w:ascii="Times New Roman" w:cs="Times New Roman" w:eastAsia="Times New Roman" w:hAnsi="Times New Roman"/>
          <w:b/>
          <w:bCs/>
          <w:sz w:val="34"/>
          <w:szCs w:val="34"/>
        </w:rPr>
        <w:t>Module Code: LCMB7023</w:t>
      </w:r>
    </w:p>
    <w:p>
      <w:pPr>
        <w:pStyle w:val="style0"/>
        <w:spacing w:lineRule="auto" w:line="360"/>
        <w:jc w:val="center"/>
        <w:rPr>
          <w:b/>
          <w:bCs/>
        </w:rPr>
      </w:pPr>
      <w:r>
        <w:rPr>
          <w:rFonts w:ascii="Times New Roman" w:cs="Times New Roman" w:eastAsia="Times New Roman" w:hAnsi="Times New Roman"/>
          <w:b/>
          <w:bCs/>
          <w:sz w:val="34"/>
          <w:szCs w:val="34"/>
        </w:rPr>
        <w:t>Lecturer: Ejike Udeogu (Birmingham)</w:t>
      </w:r>
    </w:p>
    <w:p>
      <w:pPr>
        <w:pStyle w:val="style0"/>
        <w:spacing w:lineRule="auto" w:line="360"/>
        <w:jc w:val="center"/>
        <w:rPr>
          <w:rFonts w:ascii="Times New Roman" w:cs="Times New Roman" w:eastAsia="Times New Roman" w:hAnsi="Times New Roman"/>
          <w:b/>
          <w:bCs/>
          <w:sz w:val="34"/>
          <w:szCs w:val="34"/>
          <w:lang w:val="en-US"/>
        </w:rPr>
      </w:pPr>
      <w:r>
        <w:rPr>
          <w:rFonts w:ascii="Times New Roman" w:cs="Times New Roman" w:eastAsia="Times New Roman" w:hAnsi="Times New Roman"/>
          <w:b/>
          <w:bCs/>
          <w:sz w:val="34"/>
          <w:szCs w:val="34"/>
          <w:lang w:val="en-US"/>
        </w:rPr>
        <w:t xml:space="preserve">Name: Fahad Hussain </w:t>
      </w:r>
    </w:p>
    <w:p>
      <w:pPr>
        <w:pStyle w:val="style0"/>
        <w:spacing w:lineRule="auto" w:line="360"/>
        <w:jc w:val="center"/>
        <w:rPr>
          <w:rFonts w:ascii="Times New Roman" w:cs="Times New Roman" w:eastAsia="Times New Roman" w:hAnsi="Times New Roman"/>
          <w:b/>
          <w:bCs/>
          <w:sz w:val="34"/>
          <w:szCs w:val="34"/>
        </w:rPr>
      </w:pPr>
      <w:r>
        <w:rPr>
          <w:rFonts w:ascii="Times New Roman" w:cs="Times New Roman" w:eastAsia="Times New Roman" w:hAnsi="Times New Roman"/>
          <w:b/>
          <w:bCs/>
          <w:sz w:val="34"/>
          <w:szCs w:val="34"/>
          <w:lang w:val="en-US"/>
        </w:rPr>
        <w:t>ID: 2434582</w:t>
      </w:r>
      <w:r>
        <w:rPr>
          <w:b/>
          <w:bCs/>
        </w:rPr>
        <w:br w:type="page"/>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Table of Contents</w:t>
      </w:r>
    </w:p>
    <w:p>
      <w:pPr>
        <w:pStyle w:val="style0"/>
        <w:widowControl w:val="false"/>
        <w:tabs>
          <w:tab w:val="right" w:leader="dot" w:pos="12000"/>
        </w:tabs>
        <w:spacing w:before="60" w:lineRule="auto" w:line="360"/>
        <w:ind w:left="360"/>
        <w:rPr>
          <w:rFonts w:ascii="Times New Roman" w:cs="Times New Roman" w:eastAsia="Times New Roman" w:hAnsi="Times New Roman"/>
          <w:color w:val="000000"/>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"_hyz5pn1czutd" </w:instrText>
      </w:r>
      <w:r>
        <w:rPr/>
        <w:fldChar w:fldCharType="separate"/>
      </w:r>
      <w:r>
        <w:rPr>
          <w:rFonts w:ascii="Times New Roman" w:cs="Times New Roman" w:eastAsia="Times New Roman" w:hAnsi="Times New Roman"/>
          <w:b/>
          <w:color w:val="000000"/>
        </w:rPr>
        <w:t>Question 1: Technological Advancements and Their Impact on Labour Markets</w:t>
      </w:r>
      <w:r>
        <w:rPr>
          <w:rFonts w:ascii="Times New Roman" w:cs="Times New Roman" w:eastAsia="Times New Roman" w:hAnsi="Times New Roman"/>
          <w:b/>
          <w:color w:val="000000"/>
        </w:rPr>
        <w:tab/>
      </w:r>
      <w:r>
        <w:rPr>
          <w:rFonts w:ascii="Times New Roman" w:cs="Times New Roman" w:eastAsia="Times New Roman" w:hAnsi="Times New Roman"/>
          <w:b/>
          <w:color w:val="000000"/>
        </w:rPr>
        <w:t>3</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"_h9kxb3w0ioqs" </w:instrText>
      </w:r>
      <w:r>
        <w:rPr/>
        <w:fldChar w:fldCharType="separate"/>
      </w:r>
      <w:r>
        <w:rPr>
          <w:rFonts w:ascii="Times New Roman" w:cs="Times New Roman" w:eastAsia="Times New Roman" w:hAnsi="Times New Roman"/>
          <w:color w:val="000000"/>
        </w:rPr>
        <w:t>Effects of AI / A</w:t>
      </w:r>
      <w:r>
        <w:rPr>
          <w:rFonts w:ascii="Times New Roman" w:cs="Times New Roman" w:eastAsia="Times New Roman" w:hAnsi="Times New Roman"/>
          <w:color w:val="000000"/>
        </w:rPr>
        <w:t>utomation on Employment Structure</w:t>
      </w:r>
      <w:r>
        <w:rPr>
          <w:rFonts w:ascii="Times New Roman" w:cs="Times New Roman" w:eastAsia="Times New Roman" w:hAnsi="Times New Roman"/>
          <w:color w:val="000000"/>
        </w:rPr>
        <w:tab/>
      </w:r>
      <w:r>
        <w:rPr>
          <w:rFonts w:ascii="Times New Roman" w:cs="Times New Roman" w:eastAsia="Times New Roman" w:hAnsi="Times New Roman"/>
          <w:color w:val="000000"/>
        </w:rPr>
        <w:t>3</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"_hp3h5a57a7v7" </w:instrText>
      </w:r>
      <w:r>
        <w:rPr/>
        <w:fldChar w:fldCharType="separate"/>
      </w:r>
      <w:r>
        <w:rPr>
          <w:rFonts w:ascii="Times New Roman" w:cs="Times New Roman" w:eastAsia="Times New Roman" w:hAnsi="Times New Roman"/>
          <w:color w:val="000000"/>
        </w:rPr>
        <w:t>Emerging Workforce Models: Gig Work, Remote Work, HR Analytics</w:t>
      </w:r>
      <w:r>
        <w:rPr>
          <w:rFonts w:ascii="Times New Roman" w:cs="Times New Roman" w:eastAsia="Times New Roman" w:hAnsi="Times New Roman"/>
          <w:color w:val="000000"/>
        </w:rPr>
        <w:tab/>
      </w:r>
      <w:r>
        <w:rPr>
          <w:rFonts w:ascii="Times New Roman" w:cs="Times New Roman" w:eastAsia="Times New Roman" w:hAnsi="Times New Roman"/>
          <w:color w:val="000000"/>
        </w:rPr>
        <w:t>4</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"_efukplca2fpc" </w:instrText>
      </w:r>
      <w:r>
        <w:rPr/>
        <w:fldChar w:fldCharType="separate"/>
      </w:r>
      <w:r>
        <w:rPr>
          <w:rFonts w:ascii="Times New Roman" w:cs="Times New Roman" w:eastAsia="Times New Roman" w:hAnsi="Times New Roman"/>
          <w:color w:val="000000"/>
        </w:rPr>
        <w:t>Implications for HRM / IHRM Strategies</w:t>
      </w:r>
      <w:r>
        <w:rPr>
          <w:rFonts w:ascii="Times New Roman" w:cs="Times New Roman" w:eastAsia="Times New Roman" w:hAnsi="Times New Roman"/>
          <w:color w:val="000000"/>
        </w:rPr>
        <w:tab/>
      </w:r>
      <w:r>
        <w:rPr>
          <w:rFonts w:ascii="Times New Roman" w:cs="Times New Roman" w:eastAsia="Times New Roman" w:hAnsi="Times New Roman"/>
          <w:color w:val="000000"/>
        </w:rPr>
        <w:t>4</w:t>
      </w:r>
      <w:r>
        <w:rPr/>
        <w:fldChar w:fldCharType="end"/>
      </w:r>
    </w:p>
    <w:p>
      <w:pPr>
        <w:pStyle w:val="style0"/>
        <w:widowControl w:val="false"/>
        <w:tabs>
          <w:tab w:val="right" w:leader="dot" w:pos="12000"/>
        </w:tabs>
        <w:spacing w:before="60" w:lineRule="auto" w:line="360"/>
        <w:ind w:left="360"/>
        <w:rPr>
          <w:rFonts w:ascii="Times New Roman" w:cs="Times New Roman" w:eastAsia="Times New Roman" w:hAnsi="Times New Roman"/>
          <w:color w:val="000000"/>
        </w:rPr>
      </w:pPr>
      <w:r>
        <w:rPr/>
        <w:fldChar w:fldCharType="begin"/>
      </w:r>
      <w:r>
        <w:instrText xml:space="preserve"> HYPERLINK \l "_5ucglv14u3e8" </w:instrText>
      </w:r>
      <w:r>
        <w:rPr/>
        <w:fldChar w:fldCharType="separate"/>
      </w:r>
      <w:r>
        <w:rPr>
          <w:rFonts w:ascii="Times New Roman" w:cs="Times New Roman" w:eastAsia="Times New Roman" w:hAnsi="Times New Roman"/>
          <w:b/>
          <w:color w:val="000000"/>
        </w:rPr>
        <w:t>Question 2: Demographic and Geopolitical Factors Shaping Employment Markets</w:t>
      </w:r>
      <w:r>
        <w:rPr>
          <w:rFonts w:ascii="Times New Roman" w:cs="Times New Roman" w:eastAsia="Times New Roman" w:hAnsi="Times New Roman"/>
          <w:b/>
          <w:color w:val="000000"/>
        </w:rPr>
        <w:tab/>
      </w:r>
      <w:r>
        <w:rPr>
          <w:rFonts w:ascii="Times New Roman" w:cs="Times New Roman" w:eastAsia="Times New Roman" w:hAnsi="Times New Roman"/>
          <w:b/>
          <w:color w:val="000000"/>
        </w:rPr>
        <w:t>5</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"_crk6ifk796qs" </w:instrText>
      </w:r>
      <w:r>
        <w:rPr/>
        <w:fldChar w:fldCharType="separate"/>
      </w:r>
      <w:r>
        <w:rPr>
          <w:rFonts w:ascii="Times New Roman" w:cs="Times New Roman" w:eastAsia="Times New Roman" w:hAnsi="Times New Roman"/>
          <w:color w:val="000000"/>
        </w:rPr>
        <w:t>Geopolitical Shifts Influencing Employment</w:t>
      </w:r>
      <w:r>
        <w:rPr>
          <w:rFonts w:ascii="Times New Roman" w:cs="Times New Roman" w:eastAsia="Times New Roman" w:hAnsi="Times New Roman"/>
          <w:color w:val="000000"/>
        </w:rPr>
        <w:tab/>
      </w:r>
      <w:r>
        <w:rPr>
          <w:rFonts w:ascii="Times New Roman" w:cs="Times New Roman" w:eastAsia="Times New Roman" w:hAnsi="Times New Roman"/>
          <w:color w:val="000000"/>
        </w:rPr>
        <w:t>6</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"_kbylivodze2f" </w:instrText>
      </w:r>
      <w:r>
        <w:rPr/>
        <w:fldChar w:fldCharType="separate"/>
      </w:r>
      <w:r>
        <w:rPr>
          <w:rFonts w:ascii="Times New Roman" w:cs="Times New Roman" w:eastAsia="Times New Roman" w:hAnsi="Times New Roman"/>
          <w:color w:val="000000"/>
        </w:rPr>
        <w:t>HR / IHRM Challenges Arising</w:t>
      </w:r>
      <w:r>
        <w:rPr>
          <w:rFonts w:ascii="Times New Roman" w:cs="Times New Roman" w:eastAsia="Times New Roman" w:hAnsi="Times New Roman"/>
          <w:color w:val="000000"/>
        </w:rPr>
        <w:tab/>
      </w:r>
      <w:r>
        <w:rPr>
          <w:rFonts w:ascii="Times New Roman" w:cs="Times New Roman" w:eastAsia="Times New Roman" w:hAnsi="Times New Roman"/>
          <w:color w:val="000000"/>
        </w:rPr>
        <w:t>7</w:t>
      </w:r>
      <w:r>
        <w:rPr/>
        <w:fldChar w:fldCharType="end"/>
      </w:r>
    </w:p>
    <w:p>
      <w:pPr>
        <w:pStyle w:val="style0"/>
        <w:widowControl w:val="false"/>
        <w:tabs>
          <w:tab w:val="right" w:leader="dot" w:pos="12000"/>
        </w:tabs>
        <w:spacing w:before="60" w:lineRule="auto" w:line="360"/>
        <w:ind w:left="360"/>
        <w:rPr>
          <w:rFonts w:ascii="Times New Roman" w:cs="Times New Roman" w:eastAsia="Times New Roman" w:hAnsi="Times New Roman"/>
          <w:color w:val="000000"/>
        </w:rPr>
      </w:pPr>
      <w:r>
        <w:rPr/>
        <w:fldChar w:fldCharType="begin"/>
      </w:r>
      <w:r>
        <w:instrText xml:space="preserve"> HYPERLINK \l "_krnv6o27y39h" </w:instrText>
      </w:r>
      <w:r>
        <w:rPr/>
        <w:fldChar w:fldCharType="separate"/>
      </w:r>
      <w:r>
        <w:rPr>
          <w:rFonts w:ascii="Times New Roman" w:cs="Times New Roman" w:eastAsia="Times New Roman" w:hAnsi="Times New Roman"/>
          <w:b/>
          <w:color w:val="000000"/>
        </w:rPr>
        <w:t>Question 3: Addressing Skills Gaps and Talent Shortages through Strategic HRM</w:t>
      </w:r>
      <w:r>
        <w:rPr>
          <w:rFonts w:ascii="Times New Roman" w:cs="Times New Roman" w:eastAsia="Times New Roman" w:hAnsi="Times New Roman"/>
          <w:b/>
          <w:color w:val="000000"/>
        </w:rPr>
        <w:tab/>
      </w:r>
      <w:r>
        <w:rPr>
          <w:rFonts w:ascii="Times New Roman" w:cs="Times New Roman" w:eastAsia="Times New Roman" w:hAnsi="Times New Roman"/>
          <w:b/>
          <w:color w:val="000000"/>
        </w:rPr>
        <w:t>8</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"_q5mnxragx17i" </w:instrText>
      </w:r>
      <w:r>
        <w:rPr/>
        <w:fldChar w:fldCharType="separate"/>
      </w:r>
      <w:r>
        <w:rPr>
          <w:rFonts w:ascii="Times New Roman" w:cs="Times New Roman" w:eastAsia="Times New Roman" w:hAnsi="Times New Roman"/>
          <w:color w:val="000000"/>
        </w:rPr>
        <w:t>Theoretical Frameworks</w:t>
      </w:r>
      <w:r>
        <w:rPr>
          <w:rFonts w:ascii="Times New Roman" w:cs="Times New Roman" w:eastAsia="Times New Roman" w:hAnsi="Times New Roman"/>
          <w:color w:val="000000"/>
        </w:rPr>
        <w:tab/>
      </w:r>
      <w:r>
        <w:rPr>
          <w:rFonts w:ascii="Times New Roman" w:cs="Times New Roman" w:eastAsia="Times New Roman" w:hAnsi="Times New Roman"/>
          <w:color w:val="000000"/>
        </w:rPr>
        <w:t>8</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"_tqxv0q3mldxb" </w:instrText>
      </w:r>
      <w:r>
        <w:rPr/>
        <w:fldChar w:fldCharType="separate"/>
      </w:r>
      <w:r>
        <w:rPr>
          <w:rFonts w:ascii="Times New Roman" w:cs="Times New Roman" w:eastAsia="Times New Roman" w:hAnsi="Times New Roman"/>
          <w:color w:val="000000"/>
        </w:rPr>
        <w:t>Strategic HRM Solutions</w:t>
      </w:r>
      <w:r>
        <w:rPr>
          <w:rFonts w:ascii="Times New Roman" w:cs="Times New Roman" w:eastAsia="Times New Roman" w:hAnsi="Times New Roman"/>
          <w:color w:val="000000"/>
        </w:rPr>
        <w:tab/>
      </w:r>
      <w:r>
        <w:rPr>
          <w:rFonts w:ascii="Times New Roman" w:cs="Times New Roman" w:eastAsia="Times New Roman" w:hAnsi="Times New Roman"/>
          <w:color w:val="000000"/>
        </w:rPr>
        <w:t>9</w:t>
      </w:r>
      <w:r>
        <w:rPr/>
        <w:fldChar w:fldCharType="end"/>
      </w:r>
    </w:p>
    <w:p>
      <w:pPr>
        <w:pStyle w:val="style0"/>
        <w:widowControl w:val="false"/>
        <w:tabs>
          <w:tab w:val="right" w:leader="dot" w:pos="12000"/>
        </w:tabs>
        <w:spacing w:before="60" w:lineRule="auto" w:line="360"/>
        <w:ind w:left="720"/>
        <w:rPr>
          <w:rFonts w:ascii="Times New Roman" w:cs="Times New Roman" w:eastAsia="Times New Roman" w:hAnsi="Times New Roman"/>
          <w:color w:val="000000"/>
        </w:rPr>
      </w:pPr>
      <w:r>
        <w:rPr/>
        <w:fldChar w:fldCharType="begin"/>
      </w:r>
      <w:r>
        <w:instrText xml:space="preserve"> HYPERLINK \l "_gcdu1k7jibx6" </w:instrText>
      </w:r>
      <w:r>
        <w:rPr/>
        <w:fldChar w:fldCharType="separate"/>
      </w:r>
      <w:r>
        <w:rPr>
          <w:rFonts w:ascii="Times New Roman" w:cs="Times New Roman" w:eastAsia="Times New Roman" w:hAnsi="Times New Roman"/>
          <w:color w:val="000000"/>
        </w:rPr>
        <w:t>Comparative HR Approaches</w:t>
      </w:r>
      <w:r>
        <w:rPr>
          <w:rFonts w:ascii="Times New Roman" w:cs="Times New Roman" w:eastAsia="Times New Roman" w:hAnsi="Times New Roman"/>
          <w:color w:val="000000"/>
        </w:rPr>
        <w:tab/>
      </w:r>
      <w:r>
        <w:rPr>
          <w:rFonts w:ascii="Times New Roman" w:cs="Times New Roman" w:eastAsia="Times New Roman" w:hAnsi="Times New Roman"/>
          <w:color w:val="000000"/>
        </w:rPr>
        <w:t>10</w:t>
      </w:r>
      <w:r>
        <w:rPr/>
        <w:fldChar w:fldCharType="end"/>
      </w:r>
    </w:p>
    <w:p>
      <w:pPr>
        <w:pStyle w:val="style0"/>
        <w:widowControl w:val="false"/>
        <w:tabs>
          <w:tab w:val="right" w:leader="dot" w:pos="12000"/>
        </w:tabs>
        <w:spacing w:before="60" w:lineRule="auto" w:line="360"/>
        <w:ind w:left="360"/>
        <w:rPr>
          <w:rFonts w:ascii="Times New Roman" w:cs="Times New Roman" w:eastAsia="Times New Roman" w:hAnsi="Times New Roman"/>
          <w:color w:val="000000"/>
        </w:rPr>
      </w:pPr>
      <w:r>
        <w:rPr/>
        <w:fldChar w:fldCharType="begin"/>
      </w:r>
      <w:r>
        <w:instrText xml:space="preserve"> HYPERLINK \l "_jbpry63eaj7c" </w:instrText>
      </w:r>
      <w:r>
        <w:rPr/>
        <w:fldChar w:fldCharType="separate"/>
      </w:r>
      <w:r>
        <w:rPr>
          <w:rFonts w:ascii="Times New Roman" w:cs="Times New Roman" w:eastAsia="Times New Roman" w:hAnsi="Times New Roman"/>
          <w:b/>
          <w:color w:val="000000"/>
        </w:rPr>
        <w:t>Question 4: Reflective Self-Analysis of Global Employability Capabilities</w:t>
      </w:r>
      <w:r>
        <w:rPr>
          <w:rFonts w:ascii="Times New Roman" w:cs="Times New Roman" w:eastAsia="Times New Roman" w:hAnsi="Times New Roman"/>
          <w:b/>
          <w:color w:val="000000"/>
        </w:rPr>
        <w:tab/>
      </w:r>
      <w:r>
        <w:rPr>
          <w:rFonts w:ascii="Times New Roman" w:cs="Times New Roman" w:eastAsia="Times New Roman" w:hAnsi="Times New Roman"/>
          <w:b/>
          <w:color w:val="000000"/>
        </w:rPr>
        <w:t>10</w:t>
      </w:r>
      <w:r>
        <w:rPr/>
        <w:fldChar w:fldCharType="end"/>
      </w:r>
    </w:p>
    <w:p>
      <w:pPr>
        <w:pStyle w:val="style0"/>
        <w:widowControl w:val="false"/>
        <w:tabs>
          <w:tab w:val="right" w:leader="dot" w:pos="12000"/>
        </w:tabs>
        <w:spacing w:before="60" w:lineRule="auto" w:line="360"/>
        <w:rPr>
          <w:rFonts w:ascii="Times New Roman" w:cs="Times New Roman" w:eastAsia="Times New Roman" w:hAnsi="Times New Roman"/>
          <w:b/>
          <w:color w:val="000000"/>
        </w:rPr>
      </w:pPr>
      <w:r>
        <w:rPr/>
        <w:fldChar w:fldCharType="begin"/>
      </w:r>
      <w:r>
        <w:instrText xml:space="preserve"> HYPERLINK \l "_7ex4sryacs6e" </w:instrText>
      </w:r>
      <w:r>
        <w:rPr/>
        <w:fldChar w:fldCharType="separate"/>
      </w:r>
      <w:r>
        <w:rPr>
          <w:rFonts w:ascii="Times New Roman" w:cs="Times New Roman" w:eastAsia="Times New Roman" w:hAnsi="Times New Roman"/>
          <w:b/>
          <w:color w:val="000000"/>
        </w:rPr>
        <w:t>Reference list</w:t>
      </w:r>
      <w:r>
        <w:rPr>
          <w:rFonts w:ascii="Times New Roman" w:cs="Times New Roman" w:eastAsia="Times New Roman" w:hAnsi="Times New Roman"/>
          <w:b/>
          <w:color w:val="000000"/>
        </w:rPr>
        <w:tab/>
      </w:r>
      <w:r>
        <w:rPr>
          <w:rFonts w:ascii="Times New Roman" w:cs="Times New Roman" w:eastAsia="Times New Roman" w:hAnsi="Times New Roman"/>
          <w:b/>
          <w:color w:val="000000"/>
        </w:rPr>
        <w:t>16</w:t>
      </w:r>
      <w:r>
        <w:rPr/>
        <w:fldChar w:fldCharType="end"/>
      </w:r>
      <w:r>
        <w:rPr/>
        <w:fldChar w:fldCharType="end"/>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34"/>
          <w:szCs w:val="34"/>
        </w:rPr>
      </w:pPr>
      <w:r>
        <w:br w:type="page"/>
      </w:r>
    </w:p>
    <w:bookmarkStart w:id="0" w:name="_hyz5pn1czutd" w:colFirst="0" w:colLast="0"/>
    <w:bookmarkEnd w:id="0"/>
    <w:p>
      <w:pPr>
        <w:pStyle w:val="style2"/>
        <w:keepNext w:val="false"/>
        <w:keepLines w:val="false"/>
        <w:spacing w:after="8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Question 1: Technological Advancements and Their Impact on Labour Markets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advent of Industry 4.0 marks a watershed in the evolution of labour markets. Characterized by the integration of AI, the Internet of Things (IoT), robotics, big data, cloud compu</w:t>
      </w:r>
      <w:r>
        <w:rPr>
          <w:rFonts w:ascii="Times New Roman" w:cs="Times New Roman" w:eastAsia="Times New Roman" w:hAnsi="Times New Roman"/>
          <w:sz w:val="24"/>
          <w:szCs w:val="24"/>
        </w:rPr>
        <w:t>ting, and cyber-physical systems (Ullah et al., 2025). This “fourth industrial revolution” enables innovative, interconnected production and decision-making systems (Edmond, 2024). In the digital economy, firms can operate with enhanced agility, precision,</w:t>
      </w:r>
      <w:r>
        <w:rPr>
          <w:rFonts w:ascii="Times New Roman" w:cs="Times New Roman" w:eastAsia="Times New Roman" w:hAnsi="Times New Roman"/>
          <w:sz w:val="24"/>
          <w:szCs w:val="24"/>
        </w:rPr>
        <w:t xml:space="preserve"> and efficiency; however, the implications for labor demand and HR strategies are profound (McKinsey, 2022).</w:t>
      </w:r>
    </w:p>
    <w:bookmarkStart w:id="1" w:name="_h9kxb3w0ioqs" w:colFirst="0" w:colLast="0"/>
    <w:bookmarkEnd w:id="1"/>
    <w:p>
      <w:pPr>
        <w:pStyle w:val="style3"/>
        <w:keepNext w:val="false"/>
        <w:keepLines w:val="false"/>
        <w:spacing w:before="280"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Effects of AI / Automation on Employment Structure</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Technological adoption has both destructive and creative effects on jobs (Shen and Zhang, 2024).</w:t>
      </w:r>
      <w:r>
        <w:rPr>
          <w:rFonts w:ascii="Times New Roman" w:cs="Times New Roman" w:eastAsia="Times New Roman" w:hAnsi="Times New Roman"/>
          <w:sz w:val="24"/>
          <w:szCs w:val="24"/>
        </w:rPr>
        <w:t xml:space="preserve"> Some routine, repetitive tasks (in manufacturing, back-office processing, or data entry) are particularly vulnerable to automation, leading to displacement of middle- and low-skill roles (Ramos et al., 2022). Yet, new roles emerge in areas such as data sc</w:t>
      </w:r>
      <w:r>
        <w:rPr>
          <w:rFonts w:ascii="Times New Roman" w:cs="Times New Roman" w:eastAsia="Times New Roman" w:hAnsi="Times New Roman"/>
          <w:sz w:val="24"/>
          <w:szCs w:val="24"/>
        </w:rPr>
        <w:t xml:space="preserve">ience, AI model training, system maintenance, and digital oversight. Indeed, predictions estimate that between 20 and 50 million new jobs may be created globally through 2030 if investments in technology and human capital are balanced (Szabó-Szentgróti et </w:t>
      </w:r>
      <w:r>
        <w:rPr>
          <w:rFonts w:ascii="Times New Roman" w:cs="Times New Roman" w:eastAsia="Times New Roman" w:hAnsi="Times New Roman"/>
          <w:sz w:val="24"/>
          <w:szCs w:val="24"/>
        </w:rPr>
        <w:t>al.</w:t>
      </w:r>
      <w:r>
        <w:rPr>
          <w:rFonts w:ascii="Times New Roman" w:cs="Times New Roman" w:eastAsia="Times New Roman" w:hAnsi="Times New Roman"/>
          <w:sz w:val="24"/>
          <w:szCs w:val="24"/>
        </w:rPr>
        <w:t>,  2021</w:t>
      </w:r>
      <w:r>
        <w:rPr>
          <w:rFonts w:ascii="Times New Roman" w:cs="Times New Roman" w:eastAsia="Times New Roman" w:hAnsi="Times New Roman"/>
          <w:sz w:val="24"/>
          <w:szCs w:val="24"/>
        </w:rPr>
        <w:t>).</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943600" cy="2832435"/>
            <wp:effectExtent l="0" t="0" r="0" b="0"/>
            <wp:docPr id="1026"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2" cstate="print"/>
                    <a:srcRect l="0" t="0" r="0" b="15520"/>
                    <a:stretch/>
                  </pic:blipFill>
                  <pic:spPr>
                    <a:xfrm rot="0">
                      <a:off x="0" y="0"/>
                      <a:ext cx="5943600" cy="2832435"/>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rFonts w:ascii="Times New Roman" w:cs="Times New Roman" w:eastAsia="Times New Roman" w:hAnsi="Times New Roman"/>
          <w:i/>
        </w:rPr>
      </w:pPr>
      <w:r>
        <w:rPr>
          <w:rFonts w:ascii="Times New Roman" w:cs="Times New Roman" w:eastAsia="Times New Roman" w:hAnsi="Times New Roman"/>
          <w:i/>
        </w:rPr>
        <w:t>Figure 1: Impact of Generative AI on job levels across industries, Source: (Gartner, 2024)</w:t>
      </w:r>
    </w:p>
    <w:p>
      <w:pPr>
        <w:pStyle w:val="style0"/>
        <w:spacing w:before="240" w:after="240" w:lineRule="auto" w:line="360"/>
        <w:jc w:val="both"/>
        <w:rPr>
          <w:rFonts w:ascii="Times New Roman" w:cs="Times New Roman" w:eastAsia="Times New Roman" w:hAnsi="Times New Roman"/>
          <w:color w:val="1155cc"/>
          <w:sz w:val="24"/>
          <w:szCs w:val="24"/>
          <w:u w:val="single"/>
        </w:rPr>
      </w:pPr>
      <w:r>
        <w:rPr>
          <w:rFonts w:ascii="Times New Roman" w:cs="Times New Roman" w:eastAsia="Times New Roman" w:hAnsi="Times New Roman"/>
          <w:sz w:val="24"/>
          <w:szCs w:val="24"/>
        </w:rPr>
        <w:t>Empirical studies by Wang, Chen and Chen (2024) suggest that AI’s impact on employment is non-linear: at low adoption levels, productivity gains may c</w:t>
      </w:r>
      <w:r>
        <w:rPr>
          <w:rFonts w:ascii="Times New Roman" w:cs="Times New Roman" w:eastAsia="Times New Roman" w:hAnsi="Times New Roman"/>
          <w:sz w:val="24"/>
          <w:szCs w:val="24"/>
        </w:rPr>
        <w:t>omplement labour, but beyond threshold effects, substitution becomes dominant. In China, for instance, the adoption of robotics has influenced the employment structure through threshold and spatial spillover effects. In Mexico, research indicates that occu</w:t>
      </w:r>
      <w:r>
        <w:rPr>
          <w:rFonts w:ascii="Times New Roman" w:cs="Times New Roman" w:eastAsia="Times New Roman" w:hAnsi="Times New Roman"/>
          <w:sz w:val="24"/>
          <w:szCs w:val="24"/>
        </w:rPr>
        <w:t xml:space="preserve">pations with a low risk of automation and higher skill levels are experiencing growth, while risk-prone roles are in decline (Ramos et al., 2022). </w:t>
      </w:r>
    </w:p>
    <w:bookmarkStart w:id="2" w:name="_hp3h5a57a7v7" w:colFirst="0" w:colLast="0"/>
    <w:bookmarkEnd w:id="2"/>
    <w:p>
      <w:pPr>
        <w:pStyle w:val="style3"/>
        <w:keepNext w:val="false"/>
        <w:keepLines w:val="false"/>
        <w:spacing w:before="280"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Emerging Workforce Models: Gig Work, Remote Work, HR Analytics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Technological platforms have enabled gig and </w:t>
      </w:r>
      <w:r>
        <w:rPr>
          <w:rFonts w:ascii="Times New Roman" w:cs="Times New Roman" w:eastAsia="Times New Roman" w:hAnsi="Times New Roman"/>
          <w:sz w:val="24"/>
          <w:szCs w:val="24"/>
        </w:rPr>
        <w:t xml:space="preserve">platform labour to flourish: workers can transact through apps (e.g., ride-hailing, freelancing marketplaces), decoupling employment from fixed contracts (Singh and Bhushan, 2023). This extends labour markets beyond geographic boundaries, making work more </w:t>
      </w:r>
      <w:r>
        <w:rPr>
          <w:rFonts w:ascii="Times New Roman" w:cs="Times New Roman" w:eastAsia="Times New Roman" w:hAnsi="Times New Roman"/>
          <w:sz w:val="24"/>
          <w:szCs w:val="24"/>
        </w:rPr>
        <w:t xml:space="preserve">flexible but less stable. Remote work has become mainstream, facilitated by collaboration tools, cloud systems, and digital infrastructure. This trend accelerates cross-border working, allowing organizations to tap into global talent, but raises issues of </w:t>
      </w:r>
      <w:r>
        <w:rPr>
          <w:rFonts w:ascii="Times New Roman" w:cs="Times New Roman" w:eastAsia="Times New Roman" w:hAnsi="Times New Roman"/>
          <w:sz w:val="24"/>
          <w:szCs w:val="24"/>
        </w:rPr>
        <w:t>jurisdiction, culture, and management. The Unilever company uses AI-powered recruitment tools to screen video interviews (analyzing expressions, speech) and to streamline onboarding. Reports suggest improved efficiency and lower recruiter workload (Marr, 2</w:t>
      </w:r>
      <w:r>
        <w:rPr>
          <w:rFonts w:ascii="Times New Roman" w:cs="Times New Roman" w:eastAsia="Times New Roman" w:hAnsi="Times New Roman"/>
          <w:sz w:val="24"/>
          <w:szCs w:val="24"/>
        </w:rPr>
        <w:t>021).</w:t>
      </w:r>
    </w:p>
    <w:p>
      <w:pPr>
        <w:pStyle w:val="style0"/>
        <w:spacing w:before="240" w:after="240" w:lineRule="auto" w:line="360"/>
        <w:jc w:val="both"/>
        <w:rPr>
          <w:rFonts w:ascii="Times New Roman" w:cs="Times New Roman" w:eastAsia="Times New Roman" w:hAnsi="Times New Roman"/>
          <w:color w:val="1155cc"/>
          <w:sz w:val="24"/>
          <w:szCs w:val="24"/>
          <w:u w:val="single"/>
        </w:rPr>
      </w:pPr>
      <w:r>
        <w:rPr>
          <w:rFonts w:ascii="Times New Roman" w:cs="Times New Roman" w:eastAsia="Times New Roman" w:hAnsi="Times New Roman"/>
          <w:sz w:val="24"/>
          <w:szCs w:val="24"/>
        </w:rPr>
        <w:t>Simultaneously, HR analytics and AI-driven decision systems are transforming how organizations manage talent. AI can support predictive analytics (e.g., turnover prediction, performance forecasting), recruitment screening, and talent matching. For ex</w:t>
      </w:r>
      <w:r>
        <w:rPr>
          <w:rFonts w:ascii="Times New Roman" w:cs="Times New Roman" w:eastAsia="Times New Roman" w:hAnsi="Times New Roman"/>
          <w:sz w:val="24"/>
          <w:szCs w:val="24"/>
        </w:rPr>
        <w:t>ample, Amazon utilizes AI to analyze exit interview data, detecting patterns and informing retention strategies (Arhip, 2024). IBM’s AI agent now handles over 11 million employee interactions annually, resolving ~94% of cases. Freeing HR professionals to f</w:t>
      </w:r>
      <w:r>
        <w:rPr>
          <w:rFonts w:ascii="Times New Roman" w:cs="Times New Roman" w:eastAsia="Times New Roman" w:hAnsi="Times New Roman"/>
          <w:sz w:val="24"/>
          <w:szCs w:val="24"/>
        </w:rPr>
        <w:t>ocus on strategic tasks such as coaching and leadership support (IBM, 2025).</w:t>
      </w:r>
    </w:p>
    <w:bookmarkStart w:id="3" w:name="_efukplca2fpc" w:colFirst="0" w:colLast="0"/>
    <w:bookmarkEnd w:id="3"/>
    <w:p>
      <w:pPr>
        <w:pStyle w:val="style3"/>
        <w:keepNext w:val="false"/>
        <w:keepLines w:val="false"/>
        <w:spacing w:before="280"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Implications for HRM / IHRM Strategies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Given these shifts, HR and IHRM strategies must adapt:</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Reskilling and continuous learning must become central to the organization's strategy. HR functions should build frameworks for upskilling (digital skills, data literacy, human–AI teaming). </w:t>
      </w:r>
      <w:r>
        <w:rPr>
          <w:rFonts w:ascii="Times New Roman" w:cs="Times New Roman" w:eastAsia="Times New Roman" w:hAnsi="Times New Roman"/>
          <w:sz w:val="24"/>
          <w:szCs w:val="24"/>
        </w:rPr>
        <w:t xml:space="preserve">Workforce planning must anticipate structural shifts and evolving </w:t>
      </w:r>
      <w:r>
        <w:rPr>
          <w:rFonts w:ascii="Times New Roman" w:cs="Times New Roman" w:eastAsia="Times New Roman" w:hAnsi="Times New Roman"/>
          <w:sz w:val="24"/>
          <w:szCs w:val="24"/>
        </w:rPr>
        <w:t>role definitions to ensure effective management of the workforce. Scenario planning, skills mapping, and dynamic talent pipelines will be essential. Moreover, Ethical AI and transparency are critical. The use of algorithms in hiring or promotion must guard</w:t>
      </w:r>
      <w:r>
        <w:rPr>
          <w:rFonts w:ascii="Times New Roman" w:cs="Times New Roman" w:eastAsia="Times New Roman" w:hAnsi="Times New Roman"/>
          <w:sz w:val="24"/>
          <w:szCs w:val="24"/>
        </w:rPr>
        <w:t xml:space="preserve"> against bias, protect privacy, and maintain fairness (Ammam, 2025). </w:t>
      </w:r>
    </w:p>
    <w:p>
      <w:pPr>
        <w:pStyle w:val="style0"/>
        <w:spacing w:before="240" w:after="240" w:lineRule="auto" w:line="360"/>
        <w:jc w:val="both"/>
        <w:rPr>
          <w:rFonts w:ascii="Times New Roman" w:cs="Times New Roman" w:eastAsia="Times New Roman" w:hAnsi="Times New Roman"/>
          <w:color w:val="1155cc"/>
          <w:sz w:val="24"/>
          <w:szCs w:val="24"/>
          <w:u w:val="single"/>
        </w:rPr>
      </w:pPr>
      <w:r>
        <w:rPr>
          <w:rFonts w:ascii="Times New Roman" w:cs="Times New Roman" w:eastAsia="Times New Roman" w:hAnsi="Times New Roman"/>
          <w:sz w:val="24"/>
          <w:szCs w:val="24"/>
        </w:rPr>
        <w:t>From the perspective of Strategic HRM, organizations must align these technological capabilities with their strategic goals and labour market environment. Human Capital Theory emphasizes</w:t>
      </w:r>
      <w:r>
        <w:rPr>
          <w:rFonts w:ascii="Times New Roman" w:cs="Times New Roman" w:eastAsia="Times New Roman" w:hAnsi="Times New Roman"/>
          <w:sz w:val="24"/>
          <w:szCs w:val="24"/>
        </w:rPr>
        <w:t xml:space="preserve"> that investing in employee skills yields returns; therefore, training and development must be strategic investments. The Technology Acceptance Model (TAM) provides insight into the factors influencing the adoption of digital tools, with perceived ease of </w:t>
      </w:r>
      <w:r>
        <w:rPr>
          <w:rFonts w:ascii="Times New Roman" w:cs="Times New Roman" w:eastAsia="Times New Roman" w:hAnsi="Times New Roman"/>
          <w:sz w:val="24"/>
          <w:szCs w:val="24"/>
        </w:rPr>
        <w:t xml:space="preserve">use and usefulness moderating acceptance, which is particularly relevant for the adoption of HR systems (as seen in studies linking Industry 4.0 readiness to AI acceptance) (Hashid and Almaqtari, 2024). </w:t>
      </w:r>
    </w:p>
    <w:bookmarkStart w:id="4" w:name="_5ucglv14u3e8" w:colFirst="0" w:colLast="0"/>
    <w:bookmarkEnd w:id="4"/>
    <w:p>
      <w:pPr>
        <w:pStyle w:val="style2"/>
        <w:keepNext w:val="false"/>
        <w:keepLines w:val="false"/>
        <w:spacing w:after="8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Question 2: Demographic and Geopolitical Factors Sha</w:t>
      </w:r>
      <w:r>
        <w:rPr>
          <w:rFonts w:ascii="Times New Roman" w:cs="Times New Roman" w:eastAsia="Times New Roman" w:hAnsi="Times New Roman"/>
          <w:b/>
          <w:sz w:val="24"/>
          <w:szCs w:val="24"/>
        </w:rPr>
        <w:t>ping Employment Markets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One of the clearest demographic trends is population ageing. Declining fertility rates and rising life expectancy mean that many advanced economies are seeing a shrinking working-age population and increasing old-age dependency rati</w:t>
      </w:r>
      <w:r>
        <w:rPr>
          <w:rFonts w:ascii="Times New Roman" w:cs="Times New Roman" w:eastAsia="Times New Roman" w:hAnsi="Times New Roman"/>
          <w:sz w:val="24"/>
          <w:szCs w:val="24"/>
        </w:rPr>
        <w:t>os. The OECD Employment Outlook 2025 warns that in most OECD countries, the working-age population (ages 20 to 64) has plateaued or begun to decline, posing a threat to economic growth and labour supply capacity (OECD, 2025). As the pool of available young</w:t>
      </w:r>
      <w:r>
        <w:rPr>
          <w:rFonts w:ascii="Times New Roman" w:cs="Times New Roman" w:eastAsia="Times New Roman" w:hAnsi="Times New Roman"/>
          <w:sz w:val="24"/>
          <w:szCs w:val="24"/>
        </w:rPr>
        <w:t>er workers contracts, competition for skilled labour intensifies, especially in sectors requiring specialized expertise.</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Simultaneously, younger generations (Gen Z, late Millennials) bring different expectations. They emphasize flexibility, purpose-driven </w:t>
      </w:r>
      <w:r>
        <w:rPr>
          <w:rFonts w:ascii="Times New Roman" w:cs="Times New Roman" w:eastAsia="Times New Roman" w:hAnsi="Times New Roman"/>
          <w:sz w:val="24"/>
          <w:szCs w:val="24"/>
        </w:rPr>
        <w:t>work, digital connectivity, and meaningful engagement (Krishna and Agrawal, 2025). This demands HR strategies that cater to these values (e.g., hybrid work, continuous feedback, career progression visibility).</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Another dimension is migration and labour mobi</w:t>
      </w:r>
      <w:r>
        <w:rPr>
          <w:rFonts w:ascii="Times New Roman" w:cs="Times New Roman" w:eastAsia="Times New Roman" w:hAnsi="Times New Roman"/>
          <w:sz w:val="24"/>
          <w:szCs w:val="24"/>
        </w:rPr>
        <w:t>lity. According to ILO migration statistics, the stock and flow of migrant workers remain a central factor in labour markets, especially in countries facing labour shortages (ILOSTAT, 2018). In many developed and emerging economies, temporary labour migrat</w:t>
      </w:r>
      <w:r>
        <w:rPr>
          <w:rFonts w:ascii="Times New Roman" w:cs="Times New Roman" w:eastAsia="Times New Roman" w:hAnsi="Times New Roman"/>
          <w:sz w:val="24"/>
          <w:szCs w:val="24"/>
        </w:rPr>
        <w:t xml:space="preserve">ion exceeds permanent migration flows, helping to fill gaps in sectors such </w:t>
      </w:r>
      <w:r>
        <w:rPr>
          <w:rFonts w:ascii="Times New Roman" w:cs="Times New Roman" w:eastAsia="Times New Roman" w:hAnsi="Times New Roman"/>
          <w:sz w:val="24"/>
          <w:szCs w:val="24"/>
        </w:rPr>
        <w:t>as healthcare, construction, and agriculture. However, migration also raises issues of integration, credential recognition, and cross-border HR compliance (OECD, 2023).</w:t>
      </w:r>
    </w:p>
    <w:p>
      <w:pPr>
        <w:pStyle w:val="style0"/>
        <w:spacing w:before="240" w:after="240" w:lineRule="auto" w:line="360"/>
        <w:jc w:val="center"/>
        <w:rPr>
          <w:rFonts w:ascii="Times New Roman" w:cs="Times New Roman" w:eastAsia="Times New Roman" w:hAnsi="Times New Roman"/>
          <w:i/>
        </w:rPr>
      </w:pPr>
      <w:r>
        <w:rPr>
          <w:rFonts w:ascii="Times New Roman" w:cs="Times New Roman" w:eastAsia="Times New Roman" w:hAnsi="Times New Roman"/>
          <w:i/>
          <w:noProof/>
        </w:rPr>
        <w:drawing>
          <wp:inline distL="0" distT="0" distB="0" distR="0">
            <wp:extent cx="5943600" cy="2540000"/>
            <wp:effectExtent l="0" t="0" r="0" b="0"/>
            <wp:docPr id="1027"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3" cstate="print"/>
                    <a:srcRect l="0" t="0" r="0" b="0"/>
                    <a:stretch/>
                  </pic:blipFill>
                  <pic:spPr>
                    <a:xfrm rot="0">
                      <a:off x="0" y="0"/>
                      <a:ext cx="5943600" cy="2540000"/>
                    </a:xfrm>
                    <a:prstGeom prst="rect"/>
                    <a:ln cmpd="sng" cap="flat" w="9525">
                      <a:solidFill>
                        <a:srgbClr val="000000"/>
                      </a:solidFill>
                      <a:prstDash val="solid"/>
                      <a:round/>
                      <a:headEnd/>
                      <a:tailEnd/>
                    </a:ln>
                  </pic:spPr>
                </pic:pic>
              </a:graphicData>
            </a:graphic>
          </wp:inline>
        </w:drawing>
      </w:r>
      <w:r>
        <w:rPr>
          <w:rFonts w:ascii="Times New Roman" w:cs="Times New Roman" w:eastAsia="Times New Roman" w:hAnsi="Times New Roman"/>
          <w:i/>
        </w:rPr>
        <w:t xml:space="preserve">Figure 2: </w:t>
      </w:r>
      <w:r>
        <w:rPr>
          <w:rFonts w:ascii="Times New Roman" w:cs="Times New Roman" w:eastAsia="Times New Roman" w:hAnsi="Times New Roman"/>
          <w:i/>
        </w:rPr>
        <w:t>Permanent migration inflows as a percentage of national populations across OECD countries, Source: (OECD, 2023)</w:t>
      </w:r>
    </w:p>
    <w:bookmarkStart w:id="5" w:name="_crk6ifk796qs" w:colFirst="0" w:colLast="0"/>
    <w:bookmarkEnd w:id="5"/>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Geopolitical Shifts Influencing Employment</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 turbulent geopolitical environment further constrains labour markets. Trade wars, tariff escalation</w:t>
      </w:r>
      <w:r>
        <w:rPr>
          <w:rFonts w:ascii="Times New Roman" w:cs="Times New Roman" w:eastAsia="Times New Roman" w:hAnsi="Times New Roman"/>
          <w:sz w:val="24"/>
          <w:szCs w:val="24"/>
        </w:rPr>
        <w:t>s, and protectionism have disrupted global value chains, prompting firms to reassess their offshoring and supply-chain labor strategies. The OECD report notes that rising tariff rates and geopolitical uncertainties could hinder labour market growth and wag</w:t>
      </w:r>
      <w:r>
        <w:rPr>
          <w:rFonts w:ascii="Times New Roman" w:cs="Times New Roman" w:eastAsia="Times New Roman" w:hAnsi="Times New Roman"/>
          <w:sz w:val="24"/>
          <w:szCs w:val="24"/>
        </w:rPr>
        <w:t>e recoveries. For example, firms in export-dependent sectors may shrink or relocate operations in response to sanctions or shifts in trade policy (OECD, 2025).</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Regional conflicts and instability (e.g., Russia-Ukraine war, Middle East tensions) displace lab</w:t>
      </w:r>
      <w:r>
        <w:rPr>
          <w:rFonts w:ascii="Times New Roman" w:cs="Times New Roman" w:eastAsia="Times New Roman" w:hAnsi="Times New Roman"/>
          <w:sz w:val="24"/>
          <w:szCs w:val="24"/>
        </w:rPr>
        <w:t>our, generate migration pressures, disrupt supply chains, and create macroeconomic volatility. HR professionals must respond to sudden talent exodus, refugee labour integration, and emergency redeployment (Fang and Shao, 2022).</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Brexit and regulatory diverg</w:t>
      </w:r>
      <w:r>
        <w:rPr>
          <w:rFonts w:ascii="Times New Roman" w:cs="Times New Roman" w:eastAsia="Times New Roman" w:hAnsi="Times New Roman"/>
          <w:sz w:val="24"/>
          <w:szCs w:val="24"/>
        </w:rPr>
        <w:t xml:space="preserve">ence exemplify talent mobility barriers, as the UK's exit from the EU introduced new visa regimes, restricted free movement, and complicated cross-border employment </w:t>
      </w:r>
      <w:r>
        <w:rPr>
          <w:rFonts w:ascii="Times New Roman" w:cs="Times New Roman" w:eastAsia="Times New Roman" w:hAnsi="Times New Roman"/>
          <w:sz w:val="24"/>
          <w:szCs w:val="24"/>
        </w:rPr>
        <w:t>for many firms. HR must now navigate complex immigration rules, bilateral labour agreements</w:t>
      </w:r>
      <w:r>
        <w:rPr>
          <w:rFonts w:ascii="Times New Roman" w:cs="Times New Roman" w:eastAsia="Times New Roman" w:hAnsi="Times New Roman"/>
          <w:sz w:val="24"/>
          <w:szCs w:val="24"/>
        </w:rPr>
        <w:t>, and variations in social security across borders.</w:t>
      </w:r>
    </w:p>
    <w:bookmarkStart w:id="6" w:name="_kbylivodze2f" w:colFirst="0" w:colLast="0"/>
    <w:bookmarkEnd w:id="6"/>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HR / IHRM Challenges Arising</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Demographic and geopolitical shifts create multifaceted challenges for HRM and IHRM. Organisations must manage diversity and inclusion across multilingual, multigenerational t</w:t>
      </w:r>
      <w:r>
        <w:rPr>
          <w:rFonts w:ascii="Times New Roman" w:cs="Times New Roman" w:eastAsia="Times New Roman" w:hAnsi="Times New Roman"/>
          <w:sz w:val="24"/>
          <w:szCs w:val="24"/>
        </w:rPr>
        <w:t>eams, ensuring equity and cohesion. Remote, cross-cultural work demands effective collaboration across time zones and cultural contexts. Talent mobility and regulation are hindered by complex immigration, tax, and social security frameworks. HR must balanc</w:t>
      </w:r>
      <w:r>
        <w:rPr>
          <w:rFonts w:ascii="Times New Roman" w:cs="Times New Roman" w:eastAsia="Times New Roman" w:hAnsi="Times New Roman"/>
          <w:sz w:val="24"/>
          <w:szCs w:val="24"/>
        </w:rPr>
        <w:t>e retention across life stages, offering flexibility for older workers and growth for younger staff. Addressing credential recognition and upskilling for migrants is vital to utilise global talent. Finally, HR must mitigate risk and political exposure thro</w:t>
      </w:r>
      <w:r>
        <w:rPr>
          <w:rFonts w:ascii="Times New Roman" w:cs="Times New Roman" w:eastAsia="Times New Roman" w:hAnsi="Times New Roman"/>
          <w:sz w:val="24"/>
          <w:szCs w:val="24"/>
        </w:rPr>
        <w:t>ugh compliance, safety measures, and crisis-ready workforce planning. A PESTLE analysis helps frame these forces, as shown in Figure 3. Using Hofstede’s cultural dimensions, IHRM may need to navigate differences in power distance, individualism versus coll</w:t>
      </w:r>
      <w:r>
        <w:rPr>
          <w:rFonts w:ascii="Times New Roman" w:cs="Times New Roman" w:eastAsia="Times New Roman" w:hAnsi="Times New Roman"/>
          <w:sz w:val="24"/>
          <w:szCs w:val="24"/>
        </w:rPr>
        <w:t>ectivism, uncertainty avoidance, and long-term orientation among global teams. Especially when integrating employees from different demographic cohorts or national backgrounds.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943600" cy="3962400"/>
            <wp:effectExtent l="0" t="0" r="0" b="0"/>
            <wp:docPr id="1028"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cstate="print"/>
                    <a:srcRect l="0" t="0" r="0" b="0"/>
                    <a:stretch/>
                  </pic:blipFill>
                  <pic:spPr>
                    <a:xfrm rot="0">
                      <a:off x="0" y="0"/>
                      <a:ext cx="5943600" cy="39624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i/>
        </w:rPr>
      </w:pPr>
      <w:r>
        <w:rPr>
          <w:rFonts w:ascii="Times New Roman" w:cs="Times New Roman" w:eastAsia="Times New Roman" w:hAnsi="Times New Roman"/>
          <w:i/>
        </w:rPr>
        <w:t>Figure 3: PESTLE Analysis; Source: User-Created</w:t>
      </w:r>
    </w:p>
    <w:bookmarkStart w:id="7" w:name="_krnv6o27y39h" w:colFirst="0" w:colLast="0"/>
    <w:bookmarkEnd w:id="7"/>
    <w:p>
      <w:pPr>
        <w:pStyle w:val="style2"/>
        <w:spacing w:lineRule="auto" w:line="360"/>
        <w:rPr>
          <w:rFonts w:ascii="Times New Roman" w:cs="Times New Roman" w:eastAsia="Times New Roman" w:hAnsi="Times New Roman"/>
          <w:b/>
          <w:sz w:val="24"/>
          <w:szCs w:val="24"/>
        </w:rPr>
      </w:pPr>
      <w:r>
        <w:rPr>
          <w:rFonts w:ascii="Times New Roman" w:cs="Times New Roman" w:eastAsia="Times New Roman" w:hAnsi="Times New Roman"/>
          <w:b/>
          <w:sz w:val="24"/>
          <w:szCs w:val="24"/>
        </w:rPr>
        <w:t>Question 3: Addressing Skills Gaps and Talent Shortages through Strategic HRM</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global economy is facing persistent skills shortages that threaten productivity, competitiveness, and innovation. According to the OECD (2024), over 70% of employers report d</w:t>
      </w:r>
      <w:r>
        <w:rPr>
          <w:rFonts w:ascii="Times New Roman" w:cs="Times New Roman" w:eastAsia="Times New Roman" w:hAnsi="Times New Roman"/>
          <w:sz w:val="24"/>
          <w:szCs w:val="24"/>
        </w:rPr>
        <w:t xml:space="preserve">ifficulties in recruiting workers with the right skills, particularly in the technology, healthcare, and hospitality sectors. The World Economic Forum predicts that by 2030, more than one billion workers will need to be reskilled to adapt to the impact of </w:t>
      </w:r>
      <w:r>
        <w:rPr>
          <w:rFonts w:ascii="Times New Roman" w:cs="Times New Roman" w:eastAsia="Times New Roman" w:hAnsi="Times New Roman"/>
          <w:sz w:val="24"/>
          <w:szCs w:val="24"/>
        </w:rPr>
        <w:t xml:space="preserve">automation and digitalization. Skills gaps occur when workforce competencies fail to match organisational or industry requirements, often due to rapid technological advancements, demographic shifts, and insufficient alignment between education systems and </w:t>
      </w:r>
      <w:r>
        <w:rPr>
          <w:rFonts w:ascii="Times New Roman" w:cs="Times New Roman" w:eastAsia="Times New Roman" w:hAnsi="Times New Roman"/>
          <w:sz w:val="24"/>
          <w:szCs w:val="24"/>
        </w:rPr>
        <w:t>labour market needs (Milberg, 2023).</w:t>
      </w:r>
    </w:p>
    <w:bookmarkStart w:id="8" w:name="_q5mnxragx17i" w:colFirst="0" w:colLast="0"/>
    <w:bookmarkEnd w:id="8"/>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Theoretical Frameworks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Strategic HRM provides conceptual tools to address these challenges. The Talent Management Cycle (Lewis and Heckman, 2006) outlines a continuous process of attracting, developing, and </w:t>
      </w:r>
      <w:r>
        <w:rPr>
          <w:rFonts w:ascii="Times New Roman" w:cs="Times New Roman" w:eastAsia="Times New Roman" w:hAnsi="Times New Roman"/>
          <w:sz w:val="24"/>
          <w:szCs w:val="24"/>
        </w:rPr>
        <w:t>retaining em</w:t>
      </w:r>
      <w:r>
        <w:rPr>
          <w:rFonts w:ascii="Times New Roman" w:cs="Times New Roman" w:eastAsia="Times New Roman" w:hAnsi="Times New Roman"/>
          <w:sz w:val="24"/>
          <w:szCs w:val="24"/>
        </w:rPr>
        <w:t>ployees to sustain organisational capability. By integrating workforce planning, recruitment, and career development, organizations ensure that their human capital aligns with business goals.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Resource-Based View (RBV) (Barney, 1991) posits that human c</w:t>
      </w:r>
      <w:r>
        <w:rPr>
          <w:rFonts w:ascii="Times New Roman" w:cs="Times New Roman" w:eastAsia="Times New Roman" w:hAnsi="Times New Roman"/>
          <w:sz w:val="24"/>
          <w:szCs w:val="24"/>
        </w:rPr>
        <w:t>apital is a unique, valuable, and hard-to-imitate resource that can generate sustained competitive advantage. From this perspective, closing skills gaps is not merely operational; it is a strategic endeavor. Organisations that invest in developing distinct</w:t>
      </w:r>
      <w:r>
        <w:rPr>
          <w:rFonts w:ascii="Times New Roman" w:cs="Times New Roman" w:eastAsia="Times New Roman" w:hAnsi="Times New Roman"/>
          <w:sz w:val="24"/>
          <w:szCs w:val="24"/>
        </w:rPr>
        <w:t>ive employee capabilities gain resilience and innovation capacity.</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Additionally, the Learning Organisation Model (Senge, 1990) emphasises continuous learning, knowledge sharing, and adaptability. Through feedback systems and leadership commitment, firms can foster cultures that proactively anticipate skill obsolescence an</w:t>
      </w:r>
      <w:r>
        <w:rPr>
          <w:rFonts w:ascii="Times New Roman" w:cs="Times New Roman" w:eastAsia="Times New Roman" w:hAnsi="Times New Roman"/>
          <w:sz w:val="24"/>
          <w:szCs w:val="24"/>
        </w:rPr>
        <w:t>d support lifelong learning.</w:t>
      </w:r>
    </w:p>
    <w:bookmarkStart w:id="9" w:name="_tqxv0q3mldxb" w:colFirst="0" w:colLast="0"/>
    <w:bookmarkEnd w:id="9"/>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Strategic HRM Solutions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bridge skills shortages, firms are deploying multi-dimensional HR strategies:</w:t>
      </w:r>
    </w:p>
    <w:p>
      <w:pPr>
        <w:pStyle w:val="style0"/>
        <w:numPr>
          <w:ilvl w:val="0"/>
          <w:numId w:val="1"/>
        </w:numPr>
        <w:spacing w:before="240" w:lineRule="auto" w:line="360"/>
        <w:rPr>
          <w:rFonts w:ascii="Times New Roman" w:cs="Times New Roman" w:eastAsia="Times New Roman" w:hAnsi="Times New Roman"/>
          <w:sz w:val="24"/>
          <w:szCs w:val="24"/>
        </w:rPr>
      </w:pPr>
      <w:r>
        <w:rPr>
          <w:rFonts w:ascii="Times New Roman" w:cs="Times New Roman" w:eastAsia="Times New Roman" w:hAnsi="Times New Roman"/>
          <w:b/>
          <w:sz w:val="24"/>
          <w:szCs w:val="24"/>
        </w:rPr>
        <w:t>Learning and Development (L&amp;D):</w:t>
      </w:r>
      <w:r>
        <w:rPr>
          <w:rFonts w:ascii="Times New Roman" w:cs="Times New Roman" w:eastAsia="Times New Roman" w:hAnsi="Times New Roman"/>
          <w:sz w:val="24"/>
          <w:szCs w:val="24"/>
        </w:rPr>
        <w:t xml:space="preserve"> Continuous training programmes help upskill existing employees for emerging roles. For ins</w:t>
      </w:r>
      <w:r>
        <w:rPr>
          <w:rFonts w:ascii="Times New Roman" w:cs="Times New Roman" w:eastAsia="Times New Roman" w:hAnsi="Times New Roman"/>
          <w:sz w:val="24"/>
          <w:szCs w:val="24"/>
        </w:rPr>
        <w:t>tance, Amazon’s “Career Choice” initiative funds technical training for warehouse employees to move into IT and logistics roles (Laber, Thamma and Kirby, 2020).</w:t>
      </w:r>
      <w:r>
        <w:rPr>
          <w:rFonts w:ascii="Times New Roman" w:cs="Times New Roman" w:eastAsia="Times New Roman" w:hAnsi="Times New Roman"/>
          <w:sz w:val="24"/>
          <w:szCs w:val="24"/>
        </w:rPr>
        <w:br/>
      </w:r>
    </w:p>
    <w:p>
      <w:pPr>
        <w:pStyle w:val="style0"/>
        <w:numPr>
          <w:ilvl w:val="0"/>
          <w:numId w:val="1"/>
        </w:numPr>
        <w:spacing w:lineRule="auto" w:line="360"/>
        <w:rPr>
          <w:rFonts w:ascii="Times New Roman" w:cs="Times New Roman" w:eastAsia="Times New Roman" w:hAnsi="Times New Roman"/>
          <w:sz w:val="24"/>
          <w:szCs w:val="24"/>
        </w:rPr>
      </w:pPr>
      <w:r>
        <w:rPr>
          <w:rFonts w:ascii="Times New Roman" w:cs="Times New Roman" w:eastAsia="Times New Roman" w:hAnsi="Times New Roman"/>
          <w:b/>
          <w:sz w:val="24"/>
          <w:szCs w:val="24"/>
        </w:rPr>
        <w:t>Succession Planning:</w:t>
      </w:r>
      <w:r>
        <w:rPr>
          <w:rFonts w:ascii="Times New Roman" w:cs="Times New Roman" w:eastAsia="Times New Roman" w:hAnsi="Times New Roman"/>
          <w:sz w:val="24"/>
          <w:szCs w:val="24"/>
        </w:rPr>
        <w:t xml:space="preserve"> Identifying and preparing future leaders ensures continuity in critical f</w:t>
      </w:r>
      <w:r>
        <w:rPr>
          <w:rFonts w:ascii="Times New Roman" w:cs="Times New Roman" w:eastAsia="Times New Roman" w:hAnsi="Times New Roman"/>
          <w:sz w:val="24"/>
          <w:szCs w:val="24"/>
        </w:rPr>
        <w:t>unctions, reducing vulnerability to turnover or scarcity.</w:t>
      </w:r>
      <w:r>
        <w:rPr>
          <w:rFonts w:ascii="Times New Roman" w:cs="Times New Roman" w:eastAsia="Times New Roman" w:hAnsi="Times New Roman"/>
          <w:sz w:val="24"/>
          <w:szCs w:val="24"/>
        </w:rPr>
        <w:br/>
      </w:r>
    </w:p>
    <w:p>
      <w:pPr>
        <w:pStyle w:val="style0"/>
        <w:numPr>
          <w:ilvl w:val="0"/>
          <w:numId w:val="1"/>
        </w:numPr>
        <w:spacing w:lineRule="auto" w:line="360"/>
        <w:rPr>
          <w:rFonts w:ascii="Times New Roman" w:cs="Times New Roman" w:eastAsia="Times New Roman" w:hAnsi="Times New Roman"/>
          <w:sz w:val="24"/>
          <w:szCs w:val="24"/>
        </w:rPr>
      </w:pPr>
      <w:r>
        <w:rPr>
          <w:rFonts w:ascii="Times New Roman" w:cs="Times New Roman" w:eastAsia="Times New Roman" w:hAnsi="Times New Roman"/>
          <w:b/>
          <w:sz w:val="24"/>
          <w:szCs w:val="24"/>
        </w:rPr>
        <w:t>Cross-Training and Job Rotation:</w:t>
      </w:r>
      <w:r>
        <w:rPr>
          <w:rFonts w:ascii="Times New Roman" w:cs="Times New Roman" w:eastAsia="Times New Roman" w:hAnsi="Times New Roman"/>
          <w:sz w:val="24"/>
          <w:szCs w:val="24"/>
        </w:rPr>
        <w:t xml:space="preserve"> Encouraging employees to learn multiple functions enhances workforce flexibility and engagement, especially </w:t>
      </w:r>
      <w:r>
        <w:rPr>
          <w:rFonts w:ascii="Times New Roman" w:cs="Times New Roman" w:eastAsia="Times New Roman" w:hAnsi="Times New Roman"/>
          <w:sz w:val="24"/>
          <w:szCs w:val="24"/>
        </w:rPr>
        <w:t>in service</w:t>
      </w:r>
      <w:r>
        <w:rPr>
          <w:rFonts w:ascii="Times New Roman" w:cs="Times New Roman" w:eastAsia="Times New Roman" w:hAnsi="Times New Roman"/>
          <w:sz w:val="24"/>
          <w:szCs w:val="24"/>
        </w:rPr>
        <w:t xml:space="preserve"> industries where multitasking is vital.</w:t>
      </w:r>
      <w:r>
        <w:rPr>
          <w:rFonts w:ascii="Times New Roman" w:cs="Times New Roman" w:eastAsia="Times New Roman" w:hAnsi="Times New Roman"/>
          <w:sz w:val="24"/>
          <w:szCs w:val="24"/>
        </w:rPr>
        <w:br/>
      </w:r>
    </w:p>
    <w:p>
      <w:pPr>
        <w:pStyle w:val="style0"/>
        <w:numPr>
          <w:ilvl w:val="0"/>
          <w:numId w:val="1"/>
        </w:numPr>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b/>
          <w:sz w:val="24"/>
          <w:szCs w:val="24"/>
        </w:rPr>
        <w:t>Empl</w:t>
      </w:r>
      <w:r>
        <w:rPr>
          <w:rFonts w:ascii="Times New Roman" w:cs="Times New Roman" w:eastAsia="Times New Roman" w:hAnsi="Times New Roman"/>
          <w:b/>
          <w:sz w:val="24"/>
          <w:szCs w:val="24"/>
        </w:rPr>
        <w:t>oyer Branding and Employee Value Proposition (EVP):</w:t>
      </w:r>
      <w:r>
        <w:rPr>
          <w:rFonts w:ascii="Times New Roman" w:cs="Times New Roman" w:eastAsia="Times New Roman" w:hAnsi="Times New Roman"/>
          <w:sz w:val="24"/>
          <w:szCs w:val="24"/>
        </w:rPr>
        <w:t xml:space="preserve"> Strong employer reputation attracts scarce talent in competitive markets such as healthcare and digital engineering.</w:t>
      </w:r>
    </w:p>
    <w:bookmarkStart w:id="10" w:name="_gcdu1k7jibx6" w:colFirst="0" w:colLast="0"/>
    <w:bookmarkEnd w:id="10"/>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Comparative HR Approaches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National contexts shape HR strategies. The UK’s National Heal</w:t>
      </w:r>
      <w:r>
        <w:rPr>
          <w:rFonts w:ascii="Times New Roman" w:cs="Times New Roman" w:eastAsia="Times New Roman" w:hAnsi="Times New Roman"/>
          <w:sz w:val="24"/>
          <w:szCs w:val="24"/>
        </w:rPr>
        <w:t>th Service (NHS) is facing acute shortages of nursing and medical staff. It responds through international recruitment campaigns, apprenticeships, and flexible work arrangements to attract and retain diverse talent (NHS Workforce Strategy, 2024). In contra</w:t>
      </w:r>
      <w:r>
        <w:rPr>
          <w:rFonts w:ascii="Times New Roman" w:cs="Times New Roman" w:eastAsia="Times New Roman" w:hAnsi="Times New Roman"/>
          <w:sz w:val="24"/>
          <w:szCs w:val="24"/>
        </w:rPr>
        <w:t>st, Tata Consultancy Services (TCS) India employs a global talent pipeline model, partnering with universities to train graduates in digital and data skills prior to employment (Crasta and V. T., 2021).</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Internationally, nations use policy levers such as ap</w:t>
      </w:r>
      <w:r>
        <w:rPr>
          <w:rFonts w:ascii="Times New Roman" w:cs="Times New Roman" w:eastAsia="Times New Roman" w:hAnsi="Times New Roman"/>
          <w:sz w:val="24"/>
          <w:szCs w:val="24"/>
        </w:rPr>
        <w:t>prenticeships, STEM funding, and skilled migration programmes to tackle shortages. For example, Germany’s dual education system integrates vocational training with practical apprenticeships, ensuring strong skill alignment. Similarly, Australia’s Temporary</w:t>
      </w:r>
      <w:r>
        <w:rPr>
          <w:rFonts w:ascii="Times New Roman" w:cs="Times New Roman" w:eastAsia="Times New Roman" w:hAnsi="Times New Roman"/>
          <w:sz w:val="24"/>
          <w:szCs w:val="24"/>
        </w:rPr>
        <w:t xml:space="preserve"> Skill Shortage (TSS) visa and the UK’s Skilled Worker visa programmes enable firms to access global talent when domestic supply is limited (Midha, 2025).</w:t>
      </w:r>
    </w:p>
    <w:bookmarkStart w:id="11" w:name="_jbpry63eaj7c" w:colFirst="0" w:colLast="0"/>
    <w:bookmarkEnd w:id="11"/>
    <w:p>
      <w:pPr>
        <w:pStyle w:val="style2"/>
        <w:keepNext w:val="false"/>
        <w:keepLines w:val="false"/>
        <w:spacing w:after="80" w:lineRule="auto" w:line="360"/>
        <w:jc w:val="both"/>
        <w:rPr>
          <w:rFonts w:ascii="Times New Roman" w:cs="Times New Roman" w:eastAsia="Times New Roman" w:hAnsi="Times New Roman"/>
          <w:b/>
          <w:sz w:val="28"/>
          <w:szCs w:val="28"/>
        </w:rPr>
      </w:pPr>
      <w:r>
        <w:rPr>
          <w:rFonts w:ascii="Times New Roman" w:cs="Times New Roman" w:eastAsia="Times New Roman" w:hAnsi="Times New Roman"/>
          <w:b/>
          <w:sz w:val="28"/>
          <w:szCs w:val="28"/>
        </w:rPr>
        <w:t>Question 4: Reflective Self-Analysis of Global Employability Capabilities</w:t>
      </w:r>
    </w:p>
    <w:bookmarkStart w:id="12" w:name="_fjk3goetw2gt" w:colFirst="0" w:colLast="0"/>
    <w:bookmarkEnd w:id="12"/>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Introduction</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an increasingly globalised and technologically advanced labour market, employability depends on the ability to adapt, communicate, lead, and learn across diverse cultural and professional contexts. This reflection aims to critically analyze my own globa</w:t>
      </w:r>
      <w:r>
        <w:rPr>
          <w:rFonts w:ascii="Times New Roman" w:cs="Times New Roman" w:eastAsia="Times New Roman" w:hAnsi="Times New Roman"/>
          <w:sz w:val="24"/>
          <w:szCs w:val="24"/>
        </w:rPr>
        <w:t>l employability capabilities in five key areas: technology, communication, teamwork, leadership, and self-directed learning, using Gibbs’ Reflective Cycle (1988). The purpose is to identify my strengths and weaknesses, evaluate how experiences during the M</w:t>
      </w:r>
      <w:r>
        <w:rPr>
          <w:rFonts w:ascii="Times New Roman" w:cs="Times New Roman" w:eastAsia="Times New Roman" w:hAnsi="Times New Roman"/>
          <w:sz w:val="24"/>
          <w:szCs w:val="24"/>
        </w:rPr>
        <w:t>BA programme have shaped my competencies, and formulate an actionable plan for continuous professional development aligned with international HRM expectations and lifelong learning goals.</w:t>
      </w:r>
    </w:p>
    <w:p>
      <w:pPr>
        <w:pStyle w:val="style0"/>
        <w:spacing w:before="240" w:after="240" w:lineRule="auto" w:line="360"/>
        <w:jc w:val="center"/>
        <w:rPr>
          <w:rFonts w:ascii="Times New Roman" w:cs="Times New Roman" w:eastAsia="Times New Roman" w:hAnsi="Times New Roman"/>
          <w:i/>
        </w:rPr>
      </w:pPr>
      <w:r>
        <w:rPr>
          <w:rFonts w:ascii="Times New Roman" w:cs="Times New Roman" w:eastAsia="Times New Roman" w:hAnsi="Times New Roman"/>
          <w:i/>
          <w:noProof/>
        </w:rPr>
        <w:drawing>
          <wp:inline distL="0" distT="0" distB="0" distR="0">
            <wp:extent cx="5943600" cy="3594100"/>
            <wp:effectExtent l="0" t="0" r="0" b="0"/>
            <wp:docPr id="1029"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5" cstate="print"/>
                    <a:srcRect l="0" t="0" r="0" b="0"/>
                    <a:stretch/>
                  </pic:blipFill>
                  <pic:spPr>
                    <a:xfrm rot="0">
                      <a:off x="0" y="0"/>
                      <a:ext cx="5943600" cy="3594100"/>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rFonts w:ascii="Times New Roman" w:cs="Times New Roman" w:eastAsia="Times New Roman" w:hAnsi="Times New Roman"/>
          <w:i/>
        </w:rPr>
      </w:pPr>
      <w:r>
        <w:rPr>
          <w:rFonts w:ascii="Times New Roman" w:cs="Times New Roman" w:eastAsia="Times New Roman" w:hAnsi="Times New Roman"/>
          <w:i/>
        </w:rPr>
        <w:t>Figure 4: Gibbs’ Reflective Cycle; Source: Adopted from Gibbs (201</w:t>
      </w:r>
      <w:r>
        <w:rPr>
          <w:rFonts w:ascii="Times New Roman" w:cs="Times New Roman" w:eastAsia="Times New Roman" w:hAnsi="Times New Roman"/>
          <w:i/>
        </w:rPr>
        <w:t>0)</w:t>
      </w:r>
    </w:p>
    <w:bookmarkStart w:id="13" w:name="_wqeu1mdzl66p" w:colFirst="0" w:colLast="0"/>
    <w:bookmarkEnd w:id="13"/>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Description</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During the MBA course, I participated in several international group projects and research-based assignments that required cross-cultural collaboration and digital integration. These experiences highlighted my ability to manage technological</w:t>
      </w:r>
      <w:r>
        <w:rPr>
          <w:rFonts w:ascii="Times New Roman" w:cs="Times New Roman" w:eastAsia="Times New Roman" w:hAnsi="Times New Roman"/>
          <w:sz w:val="24"/>
          <w:szCs w:val="24"/>
        </w:rPr>
        <w:t xml:space="preserve"> tools, engage in intercultural communication, and exercise leadership in distributed teams. However, they also exposed challenges such as over-reliance on digital platforms for coordination, occasional misinterpretations in virtual communication, and the </w:t>
      </w:r>
      <w:r>
        <w:rPr>
          <w:rFonts w:ascii="Times New Roman" w:cs="Times New Roman" w:eastAsia="Times New Roman" w:hAnsi="Times New Roman"/>
          <w:sz w:val="24"/>
          <w:szCs w:val="24"/>
        </w:rPr>
        <w:t xml:space="preserve">need for more structured self-learning habits. </w:t>
      </w:r>
    </w:p>
    <w:bookmarkStart w:id="14" w:name="_tqyf5me4k4ne" w:colFirst="0" w:colLast="0"/>
    <w:bookmarkEnd w:id="14"/>
    <w:p>
      <w:pPr>
        <w:pStyle w:val="style3"/>
        <w:keepNext w:val="false"/>
        <w:keepLines w:val="false"/>
        <w:spacing w:before="280"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color w:val="000000"/>
          <w:sz w:val="26"/>
          <w:szCs w:val="26"/>
        </w:rPr>
        <w:t>Feelings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Initially, I felt confident in technical execution but less assured in managing interpersonal and cultural dynamics within multinational teams.</w:t>
      </w:r>
    </w:p>
    <w:bookmarkStart w:id="15" w:name="_p621xtebcqmb" w:colFirst="0" w:colLast="0"/>
    <w:bookmarkEnd w:id="15"/>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Evaluation</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Reflecting on these experiences, I recognise both achievements and areas requiring development:</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 possess a solid foundation in digital literacy and analytical tools, including Microsoft Excel, Power BI, and AI-assisted platforms. My writing and presentati</w:t>
      </w:r>
      <w:r>
        <w:rPr>
          <w:rFonts w:ascii="Times New Roman" w:cs="Times New Roman" w:eastAsia="Times New Roman" w:hAnsi="Times New Roman"/>
          <w:sz w:val="24"/>
          <w:szCs w:val="24"/>
        </w:rPr>
        <w:t>on skills have improved significantly, mainly when producing research reports and professional portfolios. Furthermore, I demonstrated resilience and initiative when leading small project teams, ensuring tasks were completed within deadlines.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 sometimes s</w:t>
      </w:r>
      <w:r>
        <w:rPr>
          <w:rFonts w:ascii="Times New Roman" w:cs="Times New Roman" w:eastAsia="Times New Roman" w:hAnsi="Times New Roman"/>
          <w:sz w:val="24"/>
          <w:szCs w:val="24"/>
        </w:rPr>
        <w:t>truggle to manage competing priorities in group settings, which can lead to time pressure. Additionally, while my digital competency is strong, I need to enhance my strategic use of AI tools for data-driven decision-making. In global teamwork, language nua</w:t>
      </w:r>
      <w:r>
        <w:rPr>
          <w:rFonts w:ascii="Times New Roman" w:cs="Times New Roman" w:eastAsia="Times New Roman" w:hAnsi="Times New Roman"/>
          <w:sz w:val="24"/>
          <w:szCs w:val="24"/>
        </w:rPr>
        <w:t>nces and communication tone occasionally cause misunderstandings, highlighting the need for stronger intercultural awareness and empathy.</w:t>
      </w:r>
    </w:p>
    <w:bookmarkStart w:id="16" w:name="_klhstdmxypip" w:colFirst="0" w:colLast="0"/>
    <w:bookmarkEnd w:id="16"/>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Analysis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digital transformation of workplaces, accelerated by artificial intelligence and automation, demands robu</w:t>
      </w:r>
      <w:r>
        <w:rPr>
          <w:rFonts w:ascii="Times New Roman" w:cs="Times New Roman" w:eastAsia="Times New Roman" w:hAnsi="Times New Roman"/>
          <w:sz w:val="24"/>
          <w:szCs w:val="24"/>
        </w:rPr>
        <w:t>st technological agility. Through the MBA modules on Digital Strategy and Data Analytics, I developed proficiency in interpreting HR dashboards, using AI-enabled platforms for research, and leveraging online collaboration tools (e.g., Teams, Slack, and Goo</w:t>
      </w:r>
      <w:r>
        <w:rPr>
          <w:rFonts w:ascii="Times New Roman" w:cs="Times New Roman" w:eastAsia="Times New Roman" w:hAnsi="Times New Roman"/>
          <w:sz w:val="24"/>
          <w:szCs w:val="24"/>
        </w:rPr>
        <w:t>gle Workspace). This reflects technological self-efficacy, a critical employability trait (OECD, 2024). However, I recognise a need to progress from operational familiarity to strategic application using analytics to inform HR planning or talent forecastin</w:t>
      </w:r>
      <w:r>
        <w:rPr>
          <w:rFonts w:ascii="Times New Roman" w:cs="Times New Roman" w:eastAsia="Times New Roman" w:hAnsi="Times New Roman"/>
          <w:sz w:val="24"/>
          <w:szCs w:val="24"/>
        </w:rPr>
        <w:t>g. To achieve this, I plan to complete a CIPD-accredited HR Analytics certification and participate in digital transformation workshops to deepen my data-driven decision-making capabilities.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Effective intercultural communication is central to global employ</w:t>
      </w:r>
      <w:r>
        <w:rPr>
          <w:rFonts w:ascii="Times New Roman" w:cs="Times New Roman" w:eastAsia="Times New Roman" w:hAnsi="Times New Roman"/>
          <w:sz w:val="24"/>
          <w:szCs w:val="24"/>
        </w:rPr>
        <w:t>ability. My MBA experience required extensive academic writing and presentations to diverse audiences from various linguistic and cultural backgrounds. This strengthened my ability to articulate complex ideas clearly and concisely. Applying Hall’s (1976) h</w:t>
      </w:r>
      <w:r>
        <w:rPr>
          <w:rFonts w:ascii="Times New Roman" w:cs="Times New Roman" w:eastAsia="Times New Roman" w:hAnsi="Times New Roman"/>
          <w:sz w:val="24"/>
          <w:szCs w:val="24"/>
        </w:rPr>
        <w:t>igh- and low-context communication theory, I learned to adjust my tone and style according to cultural expectations. However, occasional miscommunications during virtual meetings suggest that I must enhance my active listening and non-verbal sensitivity. T</w:t>
      </w:r>
      <w:r>
        <w:rPr>
          <w:rFonts w:ascii="Times New Roman" w:cs="Times New Roman" w:eastAsia="Times New Roman" w:hAnsi="Times New Roman"/>
          <w:sz w:val="24"/>
          <w:szCs w:val="24"/>
        </w:rPr>
        <w:t>o address this, I plan to engage in cross-cultural communication training and seek feedback from peers during international group work.</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Global teamwork requires striking a balance between collaboration and autonomy. My participation in group consultancy si</w:t>
      </w:r>
      <w:r>
        <w:rPr>
          <w:rFonts w:ascii="Times New Roman" w:cs="Times New Roman" w:eastAsia="Times New Roman" w:hAnsi="Times New Roman"/>
          <w:sz w:val="24"/>
          <w:szCs w:val="24"/>
        </w:rPr>
        <w:t>mulations revealed strong cooperative skills, empathy, and reliability. I contributed effectively to task coordination and ensured equal workload distribution, reflecting Belbin’s (2010) “teamworker” and “implementer” roles. Yet, I noticed that conflict ma</w:t>
      </w:r>
      <w:r>
        <w:rPr>
          <w:rFonts w:ascii="Times New Roman" w:cs="Times New Roman" w:eastAsia="Times New Roman" w:hAnsi="Times New Roman"/>
          <w:sz w:val="24"/>
          <w:szCs w:val="24"/>
        </w:rPr>
        <w:t xml:space="preserve">nagement remains an area for growth. Differences in time zones, work styles, and cultural expectations sometimes led to friction. To improve, I aim to apply Tuckman’s (1965) stages of group development, particularly focusing on norming and performing, and </w:t>
      </w:r>
      <w:r>
        <w:rPr>
          <w:rFonts w:ascii="Times New Roman" w:cs="Times New Roman" w:eastAsia="Times New Roman" w:hAnsi="Times New Roman"/>
          <w:sz w:val="24"/>
          <w:szCs w:val="24"/>
        </w:rPr>
        <w:t>utilize digital project-management tools to track contributions transparently. Joining international professional communities, such as LinkedIn's HR Global Network, will also help strengthen my collaboration skills in multicultural settings.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Leadership in </w:t>
      </w:r>
      <w:r>
        <w:rPr>
          <w:rFonts w:ascii="Times New Roman" w:cs="Times New Roman" w:eastAsia="Times New Roman" w:hAnsi="Times New Roman"/>
          <w:sz w:val="24"/>
          <w:szCs w:val="24"/>
        </w:rPr>
        <w:t>global contexts demands cultural intelligence (CQ), adaptability, and emotional balance. I have demonstrated transformational leadership traits by motivating my peers, delegating tasks based on individual strengths, and maintaining high team morale. Howeve</w:t>
      </w:r>
      <w:r>
        <w:rPr>
          <w:rFonts w:ascii="Times New Roman" w:cs="Times New Roman" w:eastAsia="Times New Roman" w:hAnsi="Times New Roman"/>
          <w:sz w:val="24"/>
          <w:szCs w:val="24"/>
        </w:rPr>
        <w:t>r, I occasionally hesitated to assert authority in cross-functional groups, fearing conflict or cultural misunderstanding. Applying Goleman’s (2001) Emotional Intelligence Framework, I recognise the need to strengthen self-awareness and social regulation t</w:t>
      </w:r>
      <w:r>
        <w:rPr>
          <w:rFonts w:ascii="Times New Roman" w:cs="Times New Roman" w:eastAsia="Times New Roman" w:hAnsi="Times New Roman"/>
          <w:sz w:val="24"/>
          <w:szCs w:val="24"/>
        </w:rPr>
        <w:t xml:space="preserve">o lead with empathy and confidence. Participation in the MBA’s leadership workshops has already improved my situational judgment, but I will enhance this by completing the Cultural Intelligence (CQ) Certification and seeking mentorship from experienced HR </w:t>
      </w:r>
      <w:r>
        <w:rPr>
          <w:rFonts w:ascii="Times New Roman" w:cs="Times New Roman" w:eastAsia="Times New Roman" w:hAnsi="Times New Roman"/>
          <w:sz w:val="24"/>
          <w:szCs w:val="24"/>
        </w:rPr>
        <w:t>leaders.</w:t>
      </w:r>
    </w:p>
    <w:bookmarkStart w:id="17" w:name="_peb0sejeb35" w:colFirst="0" w:colLast="0"/>
    <w:bookmarkEnd w:id="17"/>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br w:type="page"/>
      </w:r>
    </w:p>
    <w:bookmarkStart w:id="18" w:name="_gakdt2e9nlng" w:colFirst="0" w:colLast="0"/>
    <w:bookmarkEnd w:id="18"/>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Action Plan (SMART Goals)</w:t>
      </w:r>
    </w:p>
    <w:tbl>
      <w:tblPr>
        <w:tblStyle w:val="style4098"/>
        <w:tblW w:w="10935" w:type="dxa"/>
        <w:tblInd w:w="-765" w:type="dxa"/>
        <w:tblBorders>
          <w:top w:val="nil"/>
          <w:left w:val="nil"/>
          <w:bottom w:val="nil"/>
          <w:right w:val="nil"/>
          <w:insideH w:val="nil"/>
          <w:insideV w:val="nil"/>
        </w:tblBorders>
        <w:tblLayout w:type="fixed"/>
        <w:tblLook w:val="0600" w:firstRow="0" w:lastRow="0" w:firstColumn="0" w:lastColumn="0" w:noHBand="1" w:noVBand="1"/>
      </w:tblPr>
      <w:tblGrid>
        <w:gridCol w:w="1980"/>
        <w:gridCol w:w="2430"/>
        <w:gridCol w:w="2550"/>
        <w:gridCol w:w="1560"/>
        <w:gridCol w:w="2415"/>
      </w:tblGrid>
      <w:tr>
        <w:trPr>
          <w:trHeight w:val="785" w:hRule="atLeast"/>
        </w:trPr>
        <w:tc>
          <w:tcPr>
            <w:tcW w:w="198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pPr>
              <w:pStyle w:val="style0"/>
              <w:spacing w:lineRule="auto" w:line="360"/>
              <w:jc w:val="center"/>
              <w:rPr>
                <w:rFonts w:ascii="Times New Roman" w:cs="Times New Roman" w:eastAsia="Times New Roman" w:hAnsi="Times New Roman"/>
                <w:color w:val="ffffff"/>
                <w:sz w:val="24"/>
                <w:szCs w:val="24"/>
              </w:rPr>
            </w:pPr>
            <w:r>
              <w:rPr>
                <w:rFonts w:ascii="Times New Roman" w:cs="Times New Roman" w:eastAsia="Times New Roman" w:hAnsi="Times New Roman"/>
                <w:b/>
                <w:color w:val="ffffff"/>
                <w:sz w:val="24"/>
                <w:szCs w:val="24"/>
              </w:rPr>
              <w:t>Goal Area</w:t>
            </w:r>
          </w:p>
        </w:tc>
        <w:tc>
          <w:tcPr>
            <w:tcW w:w="243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pPr>
              <w:pStyle w:val="style0"/>
              <w:spacing w:lineRule="auto" w:line="360"/>
              <w:jc w:val="center"/>
              <w:rPr>
                <w:rFonts w:ascii="Times New Roman" w:cs="Times New Roman" w:eastAsia="Times New Roman" w:hAnsi="Times New Roman"/>
                <w:color w:val="ffffff"/>
                <w:sz w:val="24"/>
                <w:szCs w:val="24"/>
              </w:rPr>
            </w:pPr>
            <w:r>
              <w:rPr>
                <w:rFonts w:ascii="Times New Roman" w:cs="Times New Roman" w:eastAsia="Times New Roman" w:hAnsi="Times New Roman"/>
                <w:b/>
                <w:color w:val="ffffff"/>
                <w:sz w:val="24"/>
                <w:szCs w:val="24"/>
              </w:rPr>
              <w:t>Specific Objective</w:t>
            </w:r>
          </w:p>
        </w:tc>
        <w:tc>
          <w:tcPr>
            <w:tcW w:w="255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pPr>
              <w:pStyle w:val="style0"/>
              <w:spacing w:lineRule="auto" w:line="360"/>
              <w:jc w:val="center"/>
              <w:rPr>
                <w:rFonts w:ascii="Times New Roman" w:cs="Times New Roman" w:eastAsia="Times New Roman" w:hAnsi="Times New Roman"/>
                <w:color w:val="ffffff"/>
                <w:sz w:val="24"/>
                <w:szCs w:val="24"/>
              </w:rPr>
            </w:pPr>
            <w:r>
              <w:rPr>
                <w:rFonts w:ascii="Times New Roman" w:cs="Times New Roman" w:eastAsia="Times New Roman" w:hAnsi="Times New Roman"/>
                <w:b/>
                <w:color w:val="ffffff"/>
                <w:sz w:val="24"/>
                <w:szCs w:val="24"/>
              </w:rPr>
              <w:t>Actions</w:t>
            </w:r>
          </w:p>
        </w:tc>
        <w:tc>
          <w:tcPr>
            <w:tcW w:w="156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pPr>
              <w:pStyle w:val="style0"/>
              <w:spacing w:lineRule="auto" w:line="360"/>
              <w:jc w:val="center"/>
              <w:rPr>
                <w:rFonts w:ascii="Times New Roman" w:cs="Times New Roman" w:eastAsia="Times New Roman" w:hAnsi="Times New Roman"/>
                <w:color w:val="ffffff"/>
                <w:sz w:val="24"/>
                <w:szCs w:val="24"/>
              </w:rPr>
            </w:pPr>
            <w:r>
              <w:rPr>
                <w:rFonts w:ascii="Times New Roman" w:cs="Times New Roman" w:eastAsia="Times New Roman" w:hAnsi="Times New Roman"/>
                <w:b/>
                <w:color w:val="ffffff"/>
                <w:sz w:val="24"/>
                <w:szCs w:val="24"/>
              </w:rPr>
              <w:t>Timeline</w:t>
            </w:r>
          </w:p>
        </w:tc>
        <w:tc>
          <w:tcPr>
            <w:tcW w:w="2415"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pPr>
              <w:pStyle w:val="style0"/>
              <w:spacing w:lineRule="auto" w:line="360"/>
              <w:jc w:val="center"/>
              <w:rPr>
                <w:rFonts w:ascii="Times New Roman" w:cs="Times New Roman" w:eastAsia="Times New Roman" w:hAnsi="Times New Roman"/>
                <w:color w:val="ffffff"/>
                <w:sz w:val="24"/>
                <w:szCs w:val="24"/>
              </w:rPr>
            </w:pPr>
            <w:r>
              <w:rPr>
                <w:rFonts w:ascii="Times New Roman" w:cs="Times New Roman" w:eastAsia="Times New Roman" w:hAnsi="Times New Roman"/>
                <w:b/>
                <w:color w:val="ffffff"/>
                <w:sz w:val="24"/>
                <w:szCs w:val="24"/>
              </w:rPr>
              <w:t>Measure of Success</w:t>
            </w:r>
          </w:p>
        </w:tc>
      </w:tr>
      <w:tr>
        <w:tblPrEx/>
        <w:trPr>
          <w:trHeight w:val="1625" w:hRule="atLeast"/>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Technology</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Gain advanced proficiency in HR analytics and AI integration.</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Complete CIPD HR Analytics Certificate; apply learning to a real project.</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6–12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Certificate achieved; improved analytics use in projects.</w:t>
            </w:r>
          </w:p>
        </w:tc>
      </w:tr>
      <w:tr>
        <w:tblPrEx/>
        <w:trPr>
          <w:trHeight w:val="143" w:hRule="atLeast"/>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Communication</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Improve intercultural communication competence.</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Enroll in the Cross-Cultural Communication MOOC and request feedback after international presentations.</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6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360-degree peer feedback scores improve by 20%.</w:t>
            </w:r>
          </w:p>
        </w:tc>
      </w:tr>
      <w:tr>
        <w:tblPrEx/>
        <w:trPr>
          <w:trHeight w:val="1625" w:hRule="atLeast"/>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Teamwork</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Strengthen conflict-resolution and collaboration in diverse teams.</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Apply Tuckman’s model; document lessons in a reflective journal.</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9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Successful completion of multicultural team project with minimal conflicts.</w:t>
            </w:r>
          </w:p>
        </w:tc>
      </w:tr>
      <w:tr>
        <w:tblPrEx/>
        <w:trPr>
          <w:trHeight w:val="1340" w:hRule="atLeast"/>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Leadership</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Enhance cultural intelligence and emotional regulation.</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Attend the CQ Leadership Programme; seek mentorship with an HR leader.</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1 year</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Mentor feedback: improved leadersh</w:t>
            </w:r>
            <w:r>
              <w:rPr>
                <w:rFonts w:ascii="Times New Roman" w:cs="Times New Roman" w:eastAsia="Times New Roman" w:hAnsi="Times New Roman"/>
                <w:sz w:val="24"/>
                <w:szCs w:val="24"/>
              </w:rPr>
              <w:t>ip evaluations.</w:t>
            </w:r>
          </w:p>
        </w:tc>
      </w:tr>
      <w:bookmarkStart w:id="19" w:name="_spb9vadru2l0" w:colFirst="0" w:colLast="0"/>
      <w:bookmarkEnd w:id="19"/>
    </w:tbl>
    <w:p>
      <w:pPr>
        <w:pStyle w:val="style3"/>
        <w:keepNext w:val="false"/>
        <w:keepLines w:val="false"/>
        <w:spacing w:before="280" w:lineRule="auto" w:line="360"/>
        <w:jc w:val="both"/>
        <w:rPr>
          <w:rFonts w:ascii="Times New Roman" w:cs="Times New Roman" w:eastAsia="Times New Roman" w:hAnsi="Times New Roman"/>
          <w:b/>
          <w:color w:val="000000"/>
          <w:sz w:val="26"/>
          <w:szCs w:val="26"/>
        </w:rPr>
      </w:pPr>
      <w:r>
        <w:rPr>
          <w:rFonts w:ascii="Times New Roman" w:cs="Times New Roman" w:eastAsia="Times New Roman" w:hAnsi="Times New Roman"/>
          <w:b/>
          <w:color w:val="000000"/>
          <w:sz w:val="26"/>
          <w:szCs w:val="26"/>
        </w:rPr>
        <w:t>Conclusion</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Reflecting on my capabilities through Gibbs’ cycle has provided clarity on how my MBA experiences have shaped my employability profile in a global context. I have identified clear strengths in technological competence, collaboration, and resilience, balanc</w:t>
      </w:r>
      <w:r>
        <w:rPr>
          <w:rFonts w:ascii="Times New Roman" w:cs="Times New Roman" w:eastAsia="Times New Roman" w:hAnsi="Times New Roman"/>
          <w:sz w:val="24"/>
          <w:szCs w:val="24"/>
        </w:rPr>
        <w:t>ed by development needs in strategic communication, emotional intelligence, and structured self-learning.</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Global employability is not static; it evolves with economic, technological, and cultural shifts. Hence, my career strategy focuses on continuous upsk</w:t>
      </w:r>
      <w:r>
        <w:rPr>
          <w:rFonts w:ascii="Times New Roman" w:cs="Times New Roman" w:eastAsia="Times New Roman" w:hAnsi="Times New Roman"/>
          <w:sz w:val="24"/>
          <w:szCs w:val="24"/>
        </w:rPr>
        <w:t>illing, ethical leadership, and intercultural adaptability competencies central to international HRM practice. By pursuing structured professional development, I aim to become a reflective, digitally fluent, and globally competent HR professional capable o</w:t>
      </w:r>
      <w:r>
        <w:rPr>
          <w:rFonts w:ascii="Times New Roman" w:cs="Times New Roman" w:eastAsia="Times New Roman" w:hAnsi="Times New Roman"/>
          <w:sz w:val="24"/>
          <w:szCs w:val="24"/>
        </w:rPr>
        <w:t>f contributing meaningfully to organisations navigating the complexities of the 21st-century labour market.</w:t>
      </w:r>
    </w:p>
    <w:p>
      <w:pPr>
        <w:pStyle w:val="style0"/>
        <w:spacing w:lineRule="auto" w:line="360"/>
        <w:jc w:val="both"/>
        <w:rPr>
          <w:rFonts w:ascii="Times New Roman" w:cs="Times New Roman" w:eastAsia="Times New Roman" w:hAnsi="Times New Roman"/>
          <w:sz w:val="24"/>
          <w:szCs w:val="24"/>
        </w:rPr>
      </w:pPr>
      <w:r>
        <w:br w:type="page"/>
      </w:r>
    </w:p>
    <w:bookmarkStart w:id="20" w:name="_7ex4sryacs6e" w:colFirst="0" w:colLast="0"/>
    <w:bookmarkEnd w:id="20"/>
    <w:p>
      <w:pPr>
        <w:pStyle w:val="style1"/>
        <w:keepNext w:val="false"/>
        <w:keepLines w:val="false"/>
        <w:spacing w:before="0" w:after="360" w:lineRule="auto" w:line="360"/>
        <w:jc w:val="both"/>
        <w:rPr>
          <w:rFonts w:ascii="Times New Roman" w:cs="Times New Roman" w:eastAsia="Times New Roman" w:hAnsi="Times New Roman"/>
          <w:b/>
          <w:sz w:val="28"/>
          <w:szCs w:val="28"/>
        </w:rPr>
      </w:pPr>
      <w:r>
        <w:rPr>
          <w:rFonts w:ascii="Times New Roman" w:cs="Times New Roman" w:eastAsia="Times New Roman" w:hAnsi="Times New Roman"/>
          <w:b/>
          <w:sz w:val="28"/>
          <w:szCs w:val="28"/>
        </w:rPr>
        <w:t>Reference list</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Ammam, R. (2025). Implementation of Ethical AI in Human Resources: A Multiple Case Study of Privacy and Transparency Mechanisms in </w:t>
      </w:r>
      <w:r>
        <w:rPr>
          <w:rFonts w:ascii="Times New Roman" w:cs="Times New Roman" w:eastAsia="Times New Roman" w:hAnsi="Times New Roman"/>
          <w:sz w:val="24"/>
          <w:szCs w:val="24"/>
        </w:rPr>
        <w:t xml:space="preserve">Global Technology Organizations. </w:t>
      </w:r>
      <w:r>
        <w:rPr>
          <w:rFonts w:ascii="Times New Roman" w:cs="Times New Roman" w:eastAsia="Times New Roman" w:hAnsi="Times New Roman"/>
          <w:i/>
          <w:sz w:val="24"/>
          <w:szCs w:val="24"/>
        </w:rPr>
        <w:t xml:space="preserve">International conference on </w:t>
      </w:r>
      <w:r>
        <w:rPr>
          <w:rFonts w:ascii="Times New Roman" w:cs="Times New Roman" w:eastAsia="Times New Roman" w:hAnsi="Times New Roman"/>
          <w:i/>
          <w:sz w:val="24"/>
          <w:szCs w:val="24"/>
        </w:rPr>
        <w:t>The</w:t>
      </w:r>
      <w:r>
        <w:rPr>
          <w:rFonts w:ascii="Times New Roman" w:cs="Times New Roman" w:eastAsia="Times New Roman" w:hAnsi="Times New Roman"/>
          <w:i/>
          <w:sz w:val="24"/>
          <w:szCs w:val="24"/>
        </w:rPr>
        <w:t xml:space="preserve"> future visions and trends of human resources management in light of local and international challenges O</w:t>
      </w:r>
      <w:bookmarkStart w:id="21" w:name="_GoBack"/>
      <w:bookmarkEnd w:id="21"/>
      <w:r>
        <w:rPr>
          <w:rFonts w:ascii="Times New Roman" w:cs="Times New Roman" w:eastAsia="Times New Roman" w:hAnsi="Times New Roman"/>
          <w:i/>
          <w:sz w:val="24"/>
          <w:szCs w:val="24"/>
        </w:rPr>
        <w:t>n 5 and 6 February 2025</w:t>
      </w:r>
      <w:r>
        <w:rPr>
          <w:rFonts w:ascii="Times New Roman" w:cs="Times New Roman" w:eastAsia="Times New Roman" w:hAnsi="Times New Roman"/>
          <w:sz w:val="24"/>
          <w:szCs w:val="24"/>
        </w:rPr>
        <w:t xml:space="preserve">. [online] Available at: </w:t>
      </w:r>
      <w:r>
        <w:rPr/>
        <w:fldChar w:fldCharType="begin"/>
      </w:r>
      <w:r>
        <w:instrText xml:space="preserve"> HYPERLINK "https://www.researchgate.net/publication/388951858_Implementation_of_Ethical_AI_in_Human_Resources_A_Multiple_Case_Study_of_Privacy_and_Transparency_Mechanisms_in_Global_Technology_Organizations" </w:instrText>
      </w:r>
      <w:r>
        <w:rPr/>
        <w:fldChar w:fldCharType="separate"/>
      </w:r>
      <w:r>
        <w:rPr>
          <w:rFonts w:ascii="Times New Roman" w:cs="Times New Roman" w:eastAsia="Times New Roman" w:hAnsi="Times New Roman"/>
          <w:color w:val="1155cc"/>
          <w:sz w:val="24"/>
          <w:szCs w:val="24"/>
          <w:u w:val="single"/>
        </w:rPr>
        <w:t>https://www.researchgate.net/publication/388951858_Implementation_of_Ethical_AI_i</w:t>
      </w:r>
      <w:r>
        <w:rPr>
          <w:rFonts w:ascii="Times New Roman" w:cs="Times New Roman" w:eastAsia="Times New Roman" w:hAnsi="Times New Roman"/>
          <w:color w:val="1155cc"/>
          <w:sz w:val="24"/>
          <w:szCs w:val="24"/>
          <w:u w:val="single"/>
        </w:rPr>
        <w:t>n_Human_Resources_A_Multiple_Case_Study_of_Privacy_and_Transparency_Mechanisms_in_Global_Technology_Organizations</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Arhip, B. (2024). </w:t>
      </w:r>
      <w:r>
        <w:rPr>
          <w:rFonts w:ascii="Times New Roman" w:cs="Times New Roman" w:eastAsia="Times New Roman" w:hAnsi="Times New Roman"/>
          <w:i/>
          <w:sz w:val="24"/>
          <w:szCs w:val="24"/>
        </w:rPr>
        <w:t>10 Use Cases of AI in HR with real-world case studies</w:t>
      </w:r>
      <w:r>
        <w:rPr>
          <w:rFonts w:ascii="Times New Roman" w:cs="Times New Roman" w:eastAsia="Times New Roman" w:hAnsi="Times New Roman"/>
          <w:sz w:val="24"/>
          <w:szCs w:val="24"/>
        </w:rPr>
        <w:t xml:space="preserve">. [online] Cubeo. Available at: </w:t>
      </w:r>
      <w:r>
        <w:rPr/>
        <w:fldChar w:fldCharType="begin"/>
      </w:r>
      <w:r>
        <w:instrText xml:space="preserve"> HYPERLINK "https://www.cubeo.ai/10-use-cases-of-ai-in-hr-with-real-world-case-studies" </w:instrText>
      </w:r>
      <w:r>
        <w:rPr/>
        <w:fldChar w:fldCharType="separate"/>
      </w:r>
      <w:r>
        <w:rPr>
          <w:rFonts w:ascii="Times New Roman" w:cs="Times New Roman" w:eastAsia="Times New Roman" w:hAnsi="Times New Roman"/>
          <w:color w:val="1155cc"/>
          <w:sz w:val="24"/>
          <w:szCs w:val="24"/>
          <w:u w:val="single"/>
        </w:rPr>
        <w:t>https://www.cubeo.ai/10-use-cases-of-ai-in-hr-with-real-world-case-studies</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Barney, J. (1991). Firm Resources and Sustained Competitive Advantage. </w:t>
      </w:r>
      <w:r>
        <w:rPr>
          <w:rFonts w:ascii="Times New Roman" w:cs="Times New Roman" w:eastAsia="Times New Roman" w:hAnsi="Times New Roman"/>
          <w:i/>
          <w:sz w:val="24"/>
          <w:szCs w:val="24"/>
        </w:rPr>
        <w:t>Journal of Management</w:t>
      </w:r>
      <w:r>
        <w:rPr>
          <w:rFonts w:ascii="Times New Roman" w:cs="Times New Roman" w:eastAsia="Times New Roman" w:hAnsi="Times New Roman"/>
          <w:sz w:val="24"/>
          <w:szCs w:val="24"/>
        </w:rPr>
        <w:t>, 17(1), pp.99–120. doi:</w:t>
      </w:r>
      <w:r>
        <w:rPr/>
        <w:fldChar w:fldCharType="begin"/>
      </w:r>
      <w:r>
        <w:instrText xml:space="preserve"> HYPERLINK "https://doi.org/10.1177/014920639101700108" </w:instrText>
      </w:r>
      <w:r>
        <w:rPr/>
        <w:fldChar w:fldCharType="separate"/>
      </w:r>
      <w:r>
        <w:rPr>
          <w:rFonts w:ascii="Times New Roman" w:cs="Times New Roman" w:eastAsia="Times New Roman" w:hAnsi="Times New Roman"/>
          <w:color w:val="1155cc"/>
          <w:sz w:val="24"/>
          <w:szCs w:val="24"/>
          <w:u w:val="single"/>
        </w:rPr>
        <w:t>https://doi.org/10.1177/014920639101700108</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Belbin, R.M. (2010). </w:t>
      </w:r>
      <w:r>
        <w:rPr>
          <w:rFonts w:ascii="Times New Roman" w:cs="Times New Roman" w:eastAsia="Times New Roman" w:hAnsi="Times New Roman"/>
          <w:i/>
          <w:sz w:val="24"/>
          <w:szCs w:val="24"/>
        </w:rPr>
        <w:t>Management Teams</w:t>
      </w:r>
      <w:r>
        <w:rPr>
          <w:rFonts w:ascii="Times New Roman" w:cs="Times New Roman" w:eastAsia="Times New Roman" w:hAnsi="Times New Roman"/>
          <w:sz w:val="24"/>
          <w:szCs w:val="24"/>
        </w:rPr>
        <w:t>. [online] Routledge. doi:</w:t>
      </w:r>
      <w:r>
        <w:rPr/>
        <w:fldChar w:fldCharType="begin"/>
      </w:r>
      <w:r>
        <w:instrText xml:space="preserve"> HYPERLINK "https://doi.org/10.4324/9780080963594" </w:instrText>
      </w:r>
      <w:r>
        <w:rPr/>
        <w:fldChar w:fldCharType="separate"/>
      </w:r>
      <w:r>
        <w:rPr>
          <w:rFonts w:ascii="Times New Roman" w:cs="Times New Roman" w:eastAsia="Times New Roman" w:hAnsi="Times New Roman"/>
          <w:color w:val="1155cc"/>
          <w:sz w:val="24"/>
          <w:szCs w:val="24"/>
          <w:u w:val="single"/>
        </w:rPr>
        <w:t>https://doi.org/10.4324/97800809635</w:t>
      </w:r>
      <w:r>
        <w:rPr>
          <w:rFonts w:ascii="Times New Roman" w:cs="Times New Roman" w:eastAsia="Times New Roman" w:hAnsi="Times New Roman"/>
          <w:color w:val="1155cc"/>
          <w:sz w:val="24"/>
          <w:szCs w:val="24"/>
          <w:u w:val="single"/>
        </w:rPr>
        <w:t>94</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Crasta, L.C. and V. T., S. (2021). A Comprehensive Study of Talent Management Process adopted by Tata Consultancy Services (TCS). </w:t>
      </w:r>
      <w:r>
        <w:rPr>
          <w:rFonts w:ascii="Times New Roman" w:cs="Times New Roman" w:eastAsia="Times New Roman" w:hAnsi="Times New Roman"/>
          <w:i/>
          <w:sz w:val="24"/>
          <w:szCs w:val="24"/>
        </w:rPr>
        <w:t>International Journal of Case Studies in Business, IT, and Education</w:t>
      </w:r>
      <w:r>
        <w:rPr>
          <w:rFonts w:ascii="Times New Roman" w:cs="Times New Roman" w:eastAsia="Times New Roman" w:hAnsi="Times New Roman"/>
          <w:sz w:val="24"/>
          <w:szCs w:val="24"/>
        </w:rPr>
        <w:t>, [online] pp.267–281. doi:</w:t>
      </w:r>
      <w:r>
        <w:rPr/>
        <w:fldChar w:fldCharType="begin"/>
      </w:r>
      <w:r>
        <w:instrText xml:space="preserve"> HYPERLINK "https://doi.org/10.47992/ijcsbe.2581.6942.0115" </w:instrText>
      </w:r>
      <w:r>
        <w:rPr/>
        <w:fldChar w:fldCharType="separate"/>
      </w:r>
      <w:r>
        <w:rPr>
          <w:rFonts w:ascii="Times New Roman" w:cs="Times New Roman" w:eastAsia="Times New Roman" w:hAnsi="Times New Roman"/>
          <w:color w:val="1155cc"/>
          <w:sz w:val="24"/>
          <w:szCs w:val="24"/>
          <w:u w:val="single"/>
        </w:rPr>
        <w:t>https://doi.org/10.47992/ijcsbe.2581.6942.0115</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Edmond, C. (2024). </w:t>
      </w:r>
      <w:r>
        <w:rPr>
          <w:rFonts w:ascii="Times New Roman" w:cs="Times New Roman" w:eastAsia="Times New Roman" w:hAnsi="Times New Roman"/>
          <w:i/>
          <w:sz w:val="24"/>
          <w:szCs w:val="24"/>
        </w:rPr>
        <w:t>What does Industry 4.0 mean for workers?</w:t>
      </w:r>
      <w:r>
        <w:rPr>
          <w:rFonts w:ascii="Times New Roman" w:cs="Times New Roman" w:eastAsia="Times New Roman" w:hAnsi="Times New Roman"/>
          <w:sz w:val="24"/>
          <w:szCs w:val="24"/>
        </w:rPr>
        <w:t xml:space="preserve"> [online] World Economic Forum. Available at: </w:t>
      </w:r>
      <w:r>
        <w:rPr/>
        <w:fldChar w:fldCharType="begin"/>
      </w:r>
      <w:r>
        <w:instrText xml:space="preserve"> HYPERLINK "https://www.weforum.org/stories/2024/01/industry-4-fourth-industrial-revolution-workers" </w:instrText>
      </w:r>
      <w:r>
        <w:rPr/>
        <w:fldChar w:fldCharType="separate"/>
      </w:r>
      <w:r>
        <w:rPr>
          <w:rFonts w:ascii="Times New Roman" w:cs="Times New Roman" w:eastAsia="Times New Roman" w:hAnsi="Times New Roman"/>
          <w:color w:val="1155cc"/>
          <w:sz w:val="24"/>
          <w:szCs w:val="24"/>
          <w:u w:val="single"/>
        </w:rPr>
        <w:t>https://www.weforum.org/stories/2024/01/industry-4-fourth-industrial-revolution-workers</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Fang, Y. and Shao, Z. (2022). The Russia-Ukraine Conflict and</w:t>
      </w:r>
      <w:r>
        <w:rPr>
          <w:rFonts w:ascii="Times New Roman" w:cs="Times New Roman" w:eastAsia="Times New Roman" w:hAnsi="Times New Roman"/>
          <w:sz w:val="24"/>
          <w:szCs w:val="24"/>
        </w:rPr>
        <w:t xml:space="preserve"> Volatility Risk of Commodity Markets. </w:t>
      </w:r>
      <w:r>
        <w:rPr>
          <w:rFonts w:ascii="Times New Roman" w:cs="Times New Roman" w:eastAsia="Times New Roman" w:hAnsi="Times New Roman"/>
          <w:i/>
          <w:sz w:val="24"/>
          <w:szCs w:val="24"/>
        </w:rPr>
        <w:t>Finance Research Letters</w:t>
      </w:r>
      <w:r>
        <w:rPr>
          <w:rFonts w:ascii="Times New Roman" w:cs="Times New Roman" w:eastAsia="Times New Roman" w:hAnsi="Times New Roman"/>
          <w:sz w:val="24"/>
          <w:szCs w:val="24"/>
        </w:rPr>
        <w:t>, [online] 50, p.103264. doi:</w:t>
      </w:r>
      <w:r>
        <w:rPr/>
        <w:fldChar w:fldCharType="begin"/>
      </w:r>
      <w:r>
        <w:instrText xml:space="preserve"> HYPERLINK "https://doi.org/10.1016/j.frl.2022.103264" </w:instrText>
      </w:r>
      <w:r>
        <w:rPr/>
        <w:fldChar w:fldCharType="separate"/>
      </w:r>
      <w:r>
        <w:rPr>
          <w:rFonts w:ascii="Times New Roman" w:cs="Times New Roman" w:eastAsia="Times New Roman" w:hAnsi="Times New Roman"/>
          <w:color w:val="1155cc"/>
          <w:sz w:val="24"/>
          <w:szCs w:val="24"/>
          <w:u w:val="single"/>
        </w:rPr>
        <w:t>https://doi.org/10.1016/j.frl.2022.103264</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Gartner (2024). </w:t>
      </w:r>
      <w:r>
        <w:rPr>
          <w:rFonts w:ascii="Times New Roman" w:cs="Times New Roman" w:eastAsia="Times New Roman" w:hAnsi="Times New Roman"/>
          <w:i/>
          <w:sz w:val="24"/>
          <w:szCs w:val="24"/>
        </w:rPr>
        <w:t>Navigate AI’s Impact on the Workforce Effectively | Gartner</w:t>
      </w:r>
      <w:r>
        <w:rPr>
          <w:rFonts w:ascii="Times New Roman" w:cs="Times New Roman" w:eastAsia="Times New Roman" w:hAnsi="Times New Roman"/>
          <w:sz w:val="24"/>
          <w:szCs w:val="24"/>
        </w:rPr>
        <w:t xml:space="preserve">. [online] Gartner. Available at: </w:t>
      </w:r>
      <w:r>
        <w:rPr/>
        <w:fldChar w:fldCharType="begin"/>
      </w:r>
      <w:r>
        <w:instrText xml:space="preserve"> HYPERLINK "https://www.gartner.com/en/human-resources/trends/ai-in-the-workforce" </w:instrText>
      </w:r>
      <w:r>
        <w:rPr/>
        <w:fldChar w:fldCharType="separate"/>
      </w:r>
      <w:r>
        <w:rPr>
          <w:rFonts w:ascii="Times New Roman" w:cs="Times New Roman" w:eastAsia="Times New Roman" w:hAnsi="Times New Roman"/>
          <w:color w:val="1155cc"/>
          <w:sz w:val="24"/>
          <w:szCs w:val="24"/>
          <w:u w:val="single"/>
        </w:rPr>
        <w:t>https://www.gartner.com/en/human-resources/trends/ai-in-the-workforce</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Gi</w:t>
      </w:r>
      <w:r>
        <w:rPr>
          <w:rFonts w:ascii="Times New Roman" w:cs="Times New Roman" w:eastAsia="Times New Roman" w:hAnsi="Times New Roman"/>
          <w:sz w:val="24"/>
          <w:szCs w:val="24"/>
        </w:rPr>
        <w:t xml:space="preserve">bbs, G. (2010). </w:t>
      </w:r>
      <w:r>
        <w:rPr>
          <w:rFonts w:ascii="Times New Roman" w:cs="Times New Roman" w:eastAsia="Times New Roman" w:hAnsi="Times New Roman"/>
          <w:i/>
          <w:sz w:val="24"/>
          <w:szCs w:val="24"/>
        </w:rPr>
        <w:t>Using assessment to support student learning Using assessment to sUpport stUdent learning Using assessment to sUpport stUdent learning</w:t>
      </w:r>
      <w:r>
        <w:rPr>
          <w:rFonts w:ascii="Times New Roman" w:cs="Times New Roman" w:eastAsia="Times New Roman" w:hAnsi="Times New Roman"/>
          <w:sz w:val="24"/>
          <w:szCs w:val="24"/>
        </w:rPr>
        <w:t xml:space="preserve">. [online] Available at: </w:t>
      </w:r>
      <w:r>
        <w:rPr/>
        <w:fldChar w:fldCharType="begin"/>
      </w:r>
      <w:r>
        <w:instrText xml:space="preserve"> HYPERLINK "https://wordpress.kpu.ca/authenticassessment/files/2021/12/Using-Assessment-to-Support-Student-Learning.pdf" </w:instrText>
      </w:r>
      <w:r>
        <w:rPr/>
        <w:fldChar w:fldCharType="separate"/>
      </w:r>
      <w:r>
        <w:rPr>
          <w:rFonts w:ascii="Times New Roman" w:cs="Times New Roman" w:eastAsia="Times New Roman" w:hAnsi="Times New Roman"/>
          <w:color w:val="1155cc"/>
          <w:sz w:val="24"/>
          <w:szCs w:val="24"/>
          <w:u w:val="single"/>
        </w:rPr>
        <w:t>https://wordpress.kpu.ca/authenticassessment/files/2021/12/Using-Assessment-to-Support-Student-Learning.pdf</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Goleman, D., (2001). Emotional intelligence: Issues in paradigm building. </w:t>
      </w:r>
      <w:r>
        <w:rPr>
          <w:rFonts w:ascii="Times New Roman" w:cs="Times New Roman" w:eastAsia="Times New Roman" w:hAnsi="Times New Roman"/>
          <w:i/>
          <w:sz w:val="24"/>
          <w:szCs w:val="24"/>
        </w:rPr>
        <w:t>The emotionally intelligen</w:t>
      </w:r>
      <w:r>
        <w:rPr>
          <w:rFonts w:ascii="Times New Roman" w:cs="Times New Roman" w:eastAsia="Times New Roman" w:hAnsi="Times New Roman"/>
          <w:i/>
          <w:sz w:val="24"/>
          <w:szCs w:val="24"/>
        </w:rPr>
        <w:t>t workplace</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13</w:t>
      </w:r>
      <w:r>
        <w:rPr>
          <w:rFonts w:ascii="Times New Roman" w:cs="Times New Roman" w:eastAsia="Times New Roman" w:hAnsi="Times New Roman"/>
          <w:sz w:val="24"/>
          <w:szCs w:val="24"/>
        </w:rPr>
        <w:t xml:space="preserve">, p.26.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Hall, E. T. (1976) </w:t>
      </w:r>
      <w:r>
        <w:rPr>
          <w:rFonts w:ascii="Times New Roman" w:cs="Times New Roman" w:eastAsia="Times New Roman" w:hAnsi="Times New Roman"/>
          <w:i/>
          <w:sz w:val="24"/>
          <w:szCs w:val="24"/>
        </w:rPr>
        <w:t>Beyond Culture</w:t>
      </w:r>
      <w:r>
        <w:rPr>
          <w:rFonts w:ascii="Times New Roman" w:cs="Times New Roman" w:eastAsia="Times New Roman" w:hAnsi="Times New Roman"/>
          <w:sz w:val="24"/>
          <w:szCs w:val="24"/>
        </w:rPr>
        <w:t>. New York: Anchor Press.</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Hashid, A. and Almaqtari, F.A. (2024). The Impact of Artificial Intelligence and Industry 4.0 on Transforming Accounting and Auditing Practices. </w:t>
      </w:r>
      <w:r>
        <w:rPr>
          <w:rFonts w:ascii="Times New Roman" w:cs="Times New Roman" w:eastAsia="Times New Roman" w:hAnsi="Times New Roman"/>
          <w:i/>
          <w:sz w:val="24"/>
          <w:szCs w:val="24"/>
        </w:rPr>
        <w:t xml:space="preserve">Journal of Open Innovation: </w:t>
      </w:r>
      <w:r>
        <w:rPr>
          <w:rFonts w:ascii="Times New Roman" w:cs="Times New Roman" w:eastAsia="Times New Roman" w:hAnsi="Times New Roman"/>
          <w:i/>
          <w:sz w:val="24"/>
          <w:szCs w:val="24"/>
        </w:rPr>
        <w:t>Technology, Market, and Complexity</w:t>
      </w:r>
      <w:r>
        <w:rPr>
          <w:rFonts w:ascii="Times New Roman" w:cs="Times New Roman" w:eastAsia="Times New Roman" w:hAnsi="Times New Roman"/>
          <w:sz w:val="24"/>
          <w:szCs w:val="24"/>
        </w:rPr>
        <w:t>, 10(1), pp.100218–100218. doi:</w:t>
      </w:r>
      <w:r>
        <w:rPr/>
        <w:fldChar w:fldCharType="begin"/>
      </w:r>
      <w:r>
        <w:instrText xml:space="preserve"> HYPERLINK "https://doi.org/10.1016/j.joitmc.2024.100218" </w:instrText>
      </w:r>
      <w:r>
        <w:rPr/>
        <w:fldChar w:fldCharType="separate"/>
      </w:r>
      <w:r>
        <w:rPr>
          <w:rFonts w:ascii="Times New Roman" w:cs="Times New Roman" w:eastAsia="Times New Roman" w:hAnsi="Times New Roman"/>
          <w:color w:val="1155cc"/>
          <w:sz w:val="24"/>
          <w:szCs w:val="24"/>
          <w:u w:val="single"/>
        </w:rPr>
        <w:t>https://doi.org/10.1016/j.joitmc.2024.100218</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IBM (2025). </w:t>
      </w:r>
      <w:r>
        <w:rPr>
          <w:rFonts w:ascii="Times New Roman" w:cs="Times New Roman" w:eastAsia="Times New Roman" w:hAnsi="Times New Roman"/>
          <w:i/>
          <w:sz w:val="24"/>
          <w:szCs w:val="24"/>
        </w:rPr>
        <w:t>IBM’s Nickle LaMoreaux on how AI helped HR put people first - Berkel</w:t>
      </w:r>
      <w:r>
        <w:rPr>
          <w:rFonts w:ascii="Times New Roman" w:cs="Times New Roman" w:eastAsia="Times New Roman" w:hAnsi="Times New Roman"/>
          <w:i/>
          <w:sz w:val="24"/>
          <w:szCs w:val="24"/>
        </w:rPr>
        <w:t>ey Haas</w:t>
      </w:r>
      <w:r>
        <w:rPr>
          <w:rFonts w:ascii="Times New Roman" w:cs="Times New Roman" w:eastAsia="Times New Roman" w:hAnsi="Times New Roman"/>
          <w:sz w:val="24"/>
          <w:szCs w:val="24"/>
        </w:rPr>
        <w:t xml:space="preserve">. [online] Berkeley Haas. Available at: </w:t>
      </w:r>
      <w:r>
        <w:rPr/>
        <w:fldChar w:fldCharType="begin"/>
      </w:r>
      <w:r>
        <w:instrText xml:space="preserve"> HYPERLINK "https://haas.berkeley.edu/culture/culture-kit-podcast/posts/s3-e2-ibms-nickle-lamoreaux-on-how-ai-helped-hr-put-people-first" </w:instrText>
      </w:r>
      <w:r>
        <w:rPr/>
        <w:fldChar w:fldCharType="separate"/>
      </w:r>
      <w:r>
        <w:rPr>
          <w:rFonts w:ascii="Times New Roman" w:cs="Times New Roman" w:eastAsia="Times New Roman" w:hAnsi="Times New Roman"/>
          <w:color w:val="1155cc"/>
          <w:sz w:val="24"/>
          <w:szCs w:val="24"/>
          <w:u w:val="single"/>
        </w:rPr>
        <w:t>https://haas.berkeley.edu/culture/culture-kit-podcast/posts/s3-e2</w:t>
      </w:r>
      <w:r>
        <w:rPr>
          <w:rFonts w:ascii="Times New Roman" w:cs="Times New Roman" w:eastAsia="Times New Roman" w:hAnsi="Times New Roman"/>
          <w:color w:val="1155cc"/>
          <w:sz w:val="24"/>
          <w:szCs w:val="24"/>
          <w:u w:val="single"/>
        </w:rPr>
        <w:t>-ibms-nickle-lamoreaux-on-how-ai-helped-hr-put-people-first</w:t>
      </w:r>
      <w:r>
        <w:rPr/>
        <w:fldChar w:fldCharType="end"/>
      </w:r>
      <w:r>
        <w:rPr>
          <w:rFonts w:ascii="Times New Roman" w:cs="Times New Roman" w:eastAsia="Times New Roman" w:hAnsi="Times New Roman"/>
          <w:sz w:val="24"/>
          <w:szCs w:val="24"/>
        </w:rPr>
        <w:t xml:space="preserve">  [Accessed 9 Oct. 2025].</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ILOSTAT (2018). </w:t>
      </w:r>
      <w:r>
        <w:rPr>
          <w:rFonts w:ascii="Times New Roman" w:cs="Times New Roman" w:eastAsia="Times New Roman" w:hAnsi="Times New Roman"/>
          <w:i/>
          <w:sz w:val="24"/>
          <w:szCs w:val="24"/>
        </w:rPr>
        <w:t>International Labour Migration Statistics (ILMS database) - ILOSTAT</w:t>
      </w:r>
      <w:r>
        <w:rPr>
          <w:rFonts w:ascii="Times New Roman" w:cs="Times New Roman" w:eastAsia="Times New Roman" w:hAnsi="Times New Roman"/>
          <w:sz w:val="24"/>
          <w:szCs w:val="24"/>
        </w:rPr>
        <w:t>. [online] ILOSTAT. Available at: https://ilostat.ilo.org/methods/concepts-and-definitio</w:t>
      </w:r>
      <w:r>
        <w:rPr>
          <w:rFonts w:ascii="Times New Roman" w:cs="Times New Roman" w:eastAsia="Times New Roman" w:hAnsi="Times New Roman"/>
          <w:sz w:val="24"/>
          <w:szCs w:val="24"/>
        </w:rPr>
        <w:t>ns/description-international-labour-migration-statistics/.</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Krishna, S.M. and Agrawal, S. (2025). Creative Performance of Millennials and Generation Z: What Matters More, Intrinsic or Extrinsic Rewards? </w:t>
      </w:r>
      <w:r>
        <w:rPr>
          <w:rFonts w:ascii="Times New Roman" w:cs="Times New Roman" w:eastAsia="Times New Roman" w:hAnsi="Times New Roman"/>
          <w:i/>
          <w:sz w:val="24"/>
          <w:szCs w:val="24"/>
        </w:rPr>
        <w:t>Administrative Sciences</w:t>
      </w:r>
      <w:r>
        <w:rPr>
          <w:rFonts w:ascii="Times New Roman" w:cs="Times New Roman" w:eastAsia="Times New Roman" w:hAnsi="Times New Roman"/>
          <w:sz w:val="24"/>
          <w:szCs w:val="24"/>
        </w:rPr>
        <w:t>, [online] 15(1), p.11. doi:</w:t>
      </w:r>
      <w:r>
        <w:rPr/>
        <w:fldChar w:fldCharType="begin"/>
      </w:r>
      <w:r>
        <w:instrText xml:space="preserve"> HYPERLINK "https://doi.org/10.3390/admsci15010011" </w:instrText>
      </w:r>
      <w:r>
        <w:rPr/>
        <w:fldChar w:fldCharType="separate"/>
      </w:r>
      <w:r>
        <w:rPr>
          <w:rFonts w:ascii="Times New Roman" w:cs="Times New Roman" w:eastAsia="Times New Roman" w:hAnsi="Times New Roman"/>
          <w:color w:val="1155cc"/>
          <w:sz w:val="24"/>
          <w:szCs w:val="24"/>
          <w:u w:val="single"/>
        </w:rPr>
        <w:t>https://doi.org/10.3390/admsci15010011</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Laber, J., Thamma, R. and Kirby, E.D. (2020). The Impact of Warehouse Automation in Amazon’s Success. </w:t>
      </w:r>
      <w:r>
        <w:rPr>
          <w:rFonts w:ascii="Times New Roman" w:cs="Times New Roman" w:eastAsia="Times New Roman" w:hAnsi="Times New Roman"/>
          <w:i/>
          <w:sz w:val="24"/>
          <w:szCs w:val="24"/>
        </w:rPr>
        <w:t>IJISET -International Journal of Innovative Science, Engi</w:t>
      </w:r>
      <w:r>
        <w:rPr>
          <w:rFonts w:ascii="Times New Roman" w:cs="Times New Roman" w:eastAsia="Times New Roman" w:hAnsi="Times New Roman"/>
          <w:i/>
          <w:sz w:val="24"/>
          <w:szCs w:val="24"/>
        </w:rPr>
        <w:t>neering &amp; Technology</w:t>
      </w:r>
      <w:r>
        <w:rPr>
          <w:rFonts w:ascii="Times New Roman" w:cs="Times New Roman" w:eastAsia="Times New Roman" w:hAnsi="Times New Roman"/>
          <w:sz w:val="24"/>
          <w:szCs w:val="24"/>
        </w:rPr>
        <w:t xml:space="preserve">, [online] 7(8), pp.63–70. Available at: </w:t>
      </w:r>
      <w:r>
        <w:rPr/>
        <w:fldChar w:fldCharType="begin"/>
      </w:r>
      <w:r>
        <w:instrText xml:space="preserve"> HYPERLINK "https://ijiset.com/vol7/v7s8/IJISET_V7_I8_07.pdf" </w:instrText>
      </w:r>
      <w:r>
        <w:rPr/>
        <w:fldChar w:fldCharType="separate"/>
      </w:r>
      <w:r>
        <w:rPr>
          <w:rFonts w:ascii="Times New Roman" w:cs="Times New Roman" w:eastAsia="Times New Roman" w:hAnsi="Times New Roman"/>
          <w:color w:val="1155cc"/>
          <w:sz w:val="24"/>
          <w:szCs w:val="24"/>
          <w:u w:val="single"/>
        </w:rPr>
        <w:t>https://ijiset.com/vol7/v7s8/IJISET_V7_I8_07.pdf</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Lewis, R.E. and Heckman, R.J. (2006). Talent management: </w:t>
      </w:r>
      <w:r>
        <w:rPr>
          <w:rFonts w:ascii="Times New Roman" w:cs="Times New Roman" w:eastAsia="Times New Roman" w:hAnsi="Times New Roman"/>
          <w:sz w:val="24"/>
          <w:szCs w:val="24"/>
        </w:rPr>
        <w:t>a</w:t>
      </w:r>
      <w:r>
        <w:rPr>
          <w:rFonts w:ascii="Times New Roman" w:cs="Times New Roman" w:eastAsia="Times New Roman" w:hAnsi="Times New Roman"/>
          <w:sz w:val="24"/>
          <w:szCs w:val="24"/>
        </w:rPr>
        <w:t xml:space="preserve"> Critical Review. </w:t>
      </w:r>
      <w:r>
        <w:rPr>
          <w:rFonts w:ascii="Times New Roman" w:cs="Times New Roman" w:eastAsia="Times New Roman" w:hAnsi="Times New Roman"/>
          <w:i/>
          <w:sz w:val="24"/>
          <w:szCs w:val="24"/>
        </w:rPr>
        <w:t>Human Resource Management Review</w:t>
      </w:r>
      <w:r>
        <w:rPr>
          <w:rFonts w:ascii="Times New Roman" w:cs="Times New Roman" w:eastAsia="Times New Roman" w:hAnsi="Times New Roman"/>
          <w:sz w:val="24"/>
          <w:szCs w:val="24"/>
        </w:rPr>
        <w:t>, 16(2), pp.139–154.</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Marr, B. (2021). </w:t>
      </w:r>
      <w:r>
        <w:rPr>
          <w:rFonts w:ascii="Times New Roman" w:cs="Times New Roman" w:eastAsia="Times New Roman" w:hAnsi="Times New Roman"/>
          <w:i/>
          <w:sz w:val="24"/>
          <w:szCs w:val="24"/>
        </w:rPr>
        <w:t xml:space="preserve">The Amazing Ways How Unilever Uses Artificial Intelligence </w:t>
      </w:r>
      <w:r>
        <w:rPr>
          <w:rFonts w:ascii="Times New Roman" w:cs="Times New Roman" w:eastAsia="Times New Roman" w:hAnsi="Times New Roman"/>
          <w:i/>
          <w:sz w:val="24"/>
          <w:szCs w:val="24"/>
        </w:rPr>
        <w:t>To</w:t>
      </w:r>
      <w:r>
        <w:rPr>
          <w:rFonts w:ascii="Times New Roman" w:cs="Times New Roman" w:eastAsia="Times New Roman" w:hAnsi="Times New Roman"/>
          <w:i/>
          <w:sz w:val="24"/>
          <w:szCs w:val="24"/>
        </w:rPr>
        <w:t xml:space="preserve"> Recruit &amp; Train Thousands Of Employees | Bernard Marr</w:t>
      </w:r>
      <w:r>
        <w:rPr>
          <w:rFonts w:ascii="Times New Roman" w:cs="Times New Roman" w:eastAsia="Times New Roman" w:hAnsi="Times New Roman"/>
          <w:sz w:val="24"/>
          <w:szCs w:val="24"/>
        </w:rPr>
        <w:t xml:space="preserve">. [online] Bernard Marr. Available at: </w:t>
      </w:r>
      <w:r>
        <w:rPr/>
        <w:fldChar w:fldCharType="begin"/>
      </w:r>
      <w:r>
        <w:instrText xml:space="preserve"> HYPERLINK "https://bernardmarr.com/the-amazing-ways-how-unilever-uses-artificial-intelligence-to-recruit-train-thousands-of-employees" </w:instrText>
      </w:r>
      <w:r>
        <w:rPr/>
        <w:fldChar w:fldCharType="separate"/>
      </w:r>
      <w:r>
        <w:rPr>
          <w:rFonts w:ascii="Times New Roman" w:cs="Times New Roman" w:eastAsia="Times New Roman" w:hAnsi="Times New Roman"/>
          <w:color w:val="1155cc"/>
          <w:sz w:val="24"/>
          <w:szCs w:val="24"/>
          <w:u w:val="single"/>
        </w:rPr>
        <w:t>https://bernardmarr.com/the-amazing-ways-how-unilever-uses-artificial-intelligence-to-recruit-train-thousands-of-employees</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McKinsey (2022). </w:t>
      </w:r>
      <w:r>
        <w:rPr>
          <w:rFonts w:ascii="Times New Roman" w:cs="Times New Roman" w:eastAsia="Times New Roman" w:hAnsi="Times New Roman"/>
          <w:i/>
          <w:sz w:val="24"/>
          <w:szCs w:val="24"/>
        </w:rPr>
        <w:t>What</w:t>
      </w:r>
      <w:r>
        <w:rPr>
          <w:rFonts w:ascii="Times New Roman" w:cs="Times New Roman" w:eastAsia="Times New Roman" w:hAnsi="Times New Roman"/>
          <w:i/>
          <w:sz w:val="24"/>
          <w:szCs w:val="24"/>
        </w:rPr>
        <w:t xml:space="preserve"> </w:t>
      </w:r>
      <w:r>
        <w:rPr>
          <w:rFonts w:ascii="Times New Roman" w:cs="Times New Roman" w:eastAsia="Times New Roman" w:hAnsi="Times New Roman"/>
          <w:i/>
          <w:sz w:val="24"/>
          <w:szCs w:val="24"/>
        </w:rPr>
        <w:t>are</w:t>
      </w:r>
      <w:r>
        <w:rPr>
          <w:rFonts w:ascii="Times New Roman" w:cs="Times New Roman" w:eastAsia="Times New Roman" w:hAnsi="Times New Roman"/>
          <w:i/>
          <w:sz w:val="24"/>
          <w:szCs w:val="24"/>
        </w:rPr>
        <w:t xml:space="preserve"> Industry 4.0, the Fourth Industrial Revolution, and 4IR?</w:t>
      </w:r>
      <w:r>
        <w:rPr>
          <w:rFonts w:ascii="Times New Roman" w:cs="Times New Roman" w:eastAsia="Times New Roman" w:hAnsi="Times New Roman"/>
          <w:sz w:val="24"/>
          <w:szCs w:val="24"/>
        </w:rPr>
        <w:t xml:space="preserve"> [online] McKinsey &amp; Company. Available at: </w:t>
      </w:r>
      <w:r>
        <w:rPr/>
        <w:fldChar w:fldCharType="begin"/>
      </w:r>
      <w:r>
        <w:instrText xml:space="preserve"> HYPERLINK "https://www.mckinsey.com/featured-insights/mckinsey-explainers/what-are-industry-4-0-the-fourth-industrial-revolution-and-4ir" </w:instrText>
      </w:r>
      <w:r>
        <w:rPr/>
        <w:fldChar w:fldCharType="separate"/>
      </w:r>
      <w:r>
        <w:rPr>
          <w:rFonts w:ascii="Times New Roman" w:cs="Times New Roman" w:eastAsia="Times New Roman" w:hAnsi="Times New Roman"/>
          <w:color w:val="1155cc"/>
          <w:sz w:val="24"/>
          <w:szCs w:val="24"/>
          <w:u w:val="single"/>
        </w:rPr>
        <w:t>https:</w:t>
      </w:r>
      <w:r>
        <w:rPr>
          <w:rFonts w:ascii="Times New Roman" w:cs="Times New Roman" w:eastAsia="Times New Roman" w:hAnsi="Times New Roman"/>
          <w:color w:val="1155cc"/>
          <w:sz w:val="24"/>
          <w:szCs w:val="24"/>
          <w:u w:val="single"/>
        </w:rPr>
        <w:t>//www.mckinsey.com/featured-insights/mckinsey-explainers/what-are-industry-4-0-the-fourth-industrial-revolution-and-4ir</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Midha, A. (2025). </w:t>
      </w:r>
      <w:r>
        <w:rPr>
          <w:rFonts w:ascii="Times New Roman" w:cs="Times New Roman" w:eastAsia="Times New Roman" w:hAnsi="Times New Roman"/>
          <w:i/>
          <w:sz w:val="24"/>
          <w:szCs w:val="24"/>
        </w:rPr>
        <w:t>Temporary Skill Shortage Visa Australia (TSS): Updated 2025</w:t>
      </w:r>
      <w:r>
        <w:rPr>
          <w:rFonts w:ascii="Times New Roman" w:cs="Times New Roman" w:eastAsia="Times New Roman" w:hAnsi="Times New Roman"/>
          <w:sz w:val="24"/>
          <w:szCs w:val="24"/>
        </w:rPr>
        <w:t xml:space="preserve">. [online] Terratern. Available at: </w:t>
      </w:r>
      <w:r>
        <w:rPr/>
        <w:fldChar w:fldCharType="begin"/>
      </w:r>
      <w:r>
        <w:instrText xml:space="preserve"> HYPERLINK "https://terratern.com/blog/temporary-skill-shortage-visa-australia/" </w:instrText>
      </w:r>
      <w:r>
        <w:rPr/>
        <w:fldChar w:fldCharType="separate"/>
      </w:r>
      <w:r>
        <w:rPr>
          <w:rFonts w:ascii="Times New Roman" w:cs="Times New Roman" w:eastAsia="Times New Roman" w:hAnsi="Times New Roman"/>
          <w:color w:val="1155cc"/>
          <w:sz w:val="24"/>
          <w:szCs w:val="24"/>
          <w:u w:val="single"/>
        </w:rPr>
        <w:t>https://terratern.com/blog/temporary-skill-shortage-visa-australia/</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Milberg, T. (2023). </w:t>
      </w:r>
      <w:r>
        <w:rPr>
          <w:rFonts w:ascii="Times New Roman" w:cs="Times New Roman" w:eastAsia="Times New Roman" w:hAnsi="Times New Roman"/>
          <w:i/>
          <w:sz w:val="24"/>
          <w:szCs w:val="24"/>
        </w:rPr>
        <w:t>By 2030, 1 billion people will learn the skills of the future</w:t>
      </w:r>
      <w:r>
        <w:rPr>
          <w:rFonts w:ascii="Times New Roman" w:cs="Times New Roman" w:eastAsia="Times New Roman" w:hAnsi="Times New Roman"/>
          <w:sz w:val="24"/>
          <w:szCs w:val="24"/>
        </w:rPr>
        <w:t>. [online] World Economic Forum. Availa</w:t>
      </w:r>
      <w:r>
        <w:rPr>
          <w:rFonts w:ascii="Times New Roman" w:cs="Times New Roman" w:eastAsia="Times New Roman" w:hAnsi="Times New Roman"/>
          <w:sz w:val="24"/>
          <w:szCs w:val="24"/>
        </w:rPr>
        <w:t xml:space="preserve">ble at: </w:t>
      </w:r>
      <w:r>
        <w:rPr/>
        <w:fldChar w:fldCharType="begin"/>
      </w:r>
      <w:r>
        <w:instrText xml:space="preserve"> HYPERLINK "https://www.weforum.org/stories/2023/04/growth-summit-2023-by-2030-1-billion-people-will-be-equipped-with-the-skills-of-the-future/" </w:instrText>
      </w:r>
      <w:r>
        <w:rPr/>
        <w:fldChar w:fldCharType="separate"/>
      </w:r>
      <w:r>
        <w:rPr>
          <w:rFonts w:ascii="Times New Roman" w:cs="Times New Roman" w:eastAsia="Times New Roman" w:hAnsi="Times New Roman"/>
          <w:color w:val="1155cc"/>
          <w:sz w:val="24"/>
          <w:szCs w:val="24"/>
          <w:u w:val="single"/>
        </w:rPr>
        <w:t>https://www.weforum.org/stories/2023/04/growth-summit-2023-by-2030-1-billion-people-will-be-equip</w:t>
      </w:r>
      <w:r>
        <w:rPr>
          <w:rFonts w:ascii="Times New Roman" w:cs="Times New Roman" w:eastAsia="Times New Roman" w:hAnsi="Times New Roman"/>
          <w:color w:val="1155cc"/>
          <w:sz w:val="24"/>
          <w:szCs w:val="24"/>
          <w:u w:val="single"/>
        </w:rPr>
        <w:t>ped-with-the-skills-of-the-future/</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OECD (2023). </w:t>
      </w:r>
      <w:r>
        <w:rPr>
          <w:rFonts w:ascii="Times New Roman" w:cs="Times New Roman" w:eastAsia="Times New Roman" w:hAnsi="Times New Roman"/>
          <w:i/>
          <w:sz w:val="24"/>
          <w:szCs w:val="24"/>
        </w:rPr>
        <w:t>International migration trends</w:t>
      </w:r>
      <w:r>
        <w:rPr>
          <w:rFonts w:ascii="Times New Roman" w:cs="Times New Roman" w:eastAsia="Times New Roman" w:hAnsi="Times New Roman"/>
          <w:sz w:val="24"/>
          <w:szCs w:val="24"/>
        </w:rPr>
        <w:t xml:space="preserve">. [online] OECD. Available at: </w:t>
      </w:r>
      <w:r>
        <w:rPr/>
        <w:fldChar w:fldCharType="begin"/>
      </w:r>
      <w:r>
        <w:instrText xml:space="preserve"> HYPERLINK "https://www.oecd.org/en/topics/sub-issues/international-migration-trends.html" </w:instrText>
      </w:r>
      <w:r>
        <w:rPr/>
        <w:fldChar w:fldCharType="separate"/>
      </w:r>
      <w:r>
        <w:rPr>
          <w:rFonts w:ascii="Times New Roman" w:cs="Times New Roman" w:eastAsia="Times New Roman" w:hAnsi="Times New Roman"/>
          <w:color w:val="1155cc"/>
          <w:sz w:val="24"/>
          <w:szCs w:val="24"/>
          <w:u w:val="single"/>
        </w:rPr>
        <w:t>https://www.oecd.org/en/topics/sub-issues/intern</w:t>
      </w:r>
      <w:r>
        <w:rPr>
          <w:rFonts w:ascii="Times New Roman" w:cs="Times New Roman" w:eastAsia="Times New Roman" w:hAnsi="Times New Roman"/>
          <w:color w:val="1155cc"/>
          <w:sz w:val="24"/>
          <w:szCs w:val="24"/>
          <w:u w:val="single"/>
        </w:rPr>
        <w:t>ational-migration-trends.html</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OECD (2025). </w:t>
      </w:r>
      <w:r>
        <w:rPr>
          <w:rFonts w:ascii="Times New Roman" w:cs="Times New Roman" w:eastAsia="Times New Roman" w:hAnsi="Times New Roman"/>
          <w:i/>
          <w:sz w:val="24"/>
          <w:szCs w:val="24"/>
        </w:rPr>
        <w:t>OECD Employment Outlook 2025: Bouncing back, but on shaky ground: Wages continue to recover in uncertain labour markets</w:t>
      </w:r>
      <w:r>
        <w:rPr>
          <w:rFonts w:ascii="Times New Roman" w:cs="Times New Roman" w:eastAsia="Times New Roman" w:hAnsi="Times New Roman"/>
          <w:sz w:val="24"/>
          <w:szCs w:val="24"/>
        </w:rPr>
        <w:t xml:space="preserve">. [online] OECD. Available at: </w:t>
      </w:r>
      <w:r>
        <w:rPr/>
        <w:fldChar w:fldCharType="begin"/>
      </w:r>
      <w:r>
        <w:instrText xml:space="preserve"> HYPERLINK "https://www.oecd.org/en/publications/2025/07/oecd-employment-outlook-2025_5345f034/full-report/component-5.html" </w:instrText>
      </w:r>
      <w:r>
        <w:rPr/>
        <w:fldChar w:fldCharType="separate"/>
      </w:r>
      <w:r>
        <w:rPr>
          <w:rFonts w:ascii="Times New Roman" w:cs="Times New Roman" w:eastAsia="Times New Roman" w:hAnsi="Times New Roman"/>
          <w:color w:val="1155cc"/>
          <w:sz w:val="24"/>
          <w:szCs w:val="24"/>
          <w:u w:val="single"/>
        </w:rPr>
        <w:t>https://www.oecd.org/en/publications/2025/07/oecd-employment-outlook-2025_5345f034/full-report/component-5.html</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Ramos, M.E., Garza-Rodríguez, J. and Gibaja-Romero, D.E. (2022). Automation of employment in the presence of industry 4.0: The case of Mexico. </w:t>
      </w:r>
      <w:r>
        <w:rPr>
          <w:rFonts w:ascii="Times New Roman" w:cs="Times New Roman" w:eastAsia="Times New Roman" w:hAnsi="Times New Roman"/>
          <w:i/>
          <w:sz w:val="24"/>
          <w:szCs w:val="24"/>
        </w:rPr>
        <w:t>Technology in Society</w:t>
      </w:r>
      <w:r>
        <w:rPr>
          <w:rFonts w:ascii="Times New Roman" w:cs="Times New Roman" w:eastAsia="Times New Roman" w:hAnsi="Times New Roman"/>
          <w:sz w:val="24"/>
          <w:szCs w:val="24"/>
        </w:rPr>
        <w:t>, 68, p.101837. doi:</w:t>
      </w:r>
      <w:r>
        <w:rPr/>
        <w:fldChar w:fldCharType="begin"/>
      </w:r>
      <w:r>
        <w:instrText xml:space="preserve"> HYPERLINK "https://doi.org/10.1016/j.techsoc.2021.101837" </w:instrText>
      </w:r>
      <w:r>
        <w:rPr/>
        <w:fldChar w:fldCharType="separate"/>
      </w:r>
      <w:r>
        <w:rPr>
          <w:rFonts w:ascii="Times New Roman" w:cs="Times New Roman" w:eastAsia="Times New Roman" w:hAnsi="Times New Roman"/>
          <w:color w:val="1155cc"/>
          <w:sz w:val="24"/>
          <w:szCs w:val="24"/>
          <w:u w:val="single"/>
        </w:rPr>
        <w:t>https:/</w:t>
      </w:r>
      <w:r>
        <w:rPr>
          <w:rFonts w:ascii="Times New Roman" w:cs="Times New Roman" w:eastAsia="Times New Roman" w:hAnsi="Times New Roman"/>
          <w:color w:val="1155cc"/>
          <w:sz w:val="24"/>
          <w:szCs w:val="24"/>
          <w:u w:val="single"/>
        </w:rPr>
        <w:t>/doi.org/10.1016/j.techsoc.2021.101837</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Senge, P.M., (1990). </w:t>
      </w:r>
      <w:r>
        <w:rPr>
          <w:rFonts w:ascii="Times New Roman" w:cs="Times New Roman" w:eastAsia="Times New Roman" w:hAnsi="Times New Roman"/>
          <w:i/>
          <w:sz w:val="24"/>
          <w:szCs w:val="24"/>
        </w:rPr>
        <w:t>The art and practice of the learning organization</w:t>
      </w:r>
      <w:r>
        <w:rPr>
          <w:rFonts w:ascii="Times New Roman" w:cs="Times New Roman" w:eastAsia="Times New Roman" w:hAnsi="Times New Roman"/>
          <w:sz w:val="24"/>
          <w:szCs w:val="24"/>
        </w:rPr>
        <w:t xml:space="preserve"> (Vol. 1). New York: Doubleday.</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Shen, Y. and Zhang, X. (2024). The impact of artificial intelligence on employment: The role of virtual agglomera</w:t>
      </w:r>
      <w:r>
        <w:rPr>
          <w:rFonts w:ascii="Times New Roman" w:cs="Times New Roman" w:eastAsia="Times New Roman" w:hAnsi="Times New Roman"/>
          <w:sz w:val="24"/>
          <w:szCs w:val="24"/>
        </w:rPr>
        <w:t xml:space="preserve">tion. </w:t>
      </w:r>
      <w:r>
        <w:rPr>
          <w:rFonts w:ascii="Times New Roman" w:cs="Times New Roman" w:eastAsia="Times New Roman" w:hAnsi="Times New Roman"/>
          <w:i/>
          <w:sz w:val="24"/>
          <w:szCs w:val="24"/>
        </w:rPr>
        <w:t>Humanities and Social Sciences Communications</w:t>
      </w:r>
      <w:r>
        <w:rPr>
          <w:rFonts w:ascii="Times New Roman" w:cs="Times New Roman" w:eastAsia="Times New Roman" w:hAnsi="Times New Roman"/>
          <w:sz w:val="24"/>
          <w:szCs w:val="24"/>
        </w:rPr>
        <w:t>, 11(1), pp.1–14. doi:</w:t>
      </w:r>
      <w:r>
        <w:rPr/>
        <w:fldChar w:fldCharType="begin"/>
      </w:r>
      <w:r>
        <w:instrText xml:space="preserve"> HYPERLINK "https://doi.org/10.1057/s41599-024-02647-9" </w:instrText>
      </w:r>
      <w:r>
        <w:rPr/>
        <w:fldChar w:fldCharType="separate"/>
      </w:r>
      <w:r>
        <w:rPr>
          <w:rFonts w:ascii="Times New Roman" w:cs="Times New Roman" w:eastAsia="Times New Roman" w:hAnsi="Times New Roman"/>
          <w:color w:val="1155cc"/>
          <w:sz w:val="24"/>
          <w:szCs w:val="24"/>
          <w:u w:val="single"/>
        </w:rPr>
        <w:t>https://doi.org/10.1057/s41599-024-02647-9</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Singh, R. and Bhushan, Dr.V. (2023). The global workforce revolution: Explor</w:t>
      </w:r>
      <w:r>
        <w:rPr>
          <w:rFonts w:ascii="Times New Roman" w:cs="Times New Roman" w:eastAsia="Times New Roman" w:hAnsi="Times New Roman"/>
          <w:sz w:val="24"/>
          <w:szCs w:val="24"/>
        </w:rPr>
        <w:t xml:space="preserve">ing digital labour platforms and the gig economy in the era of globalization. </w:t>
      </w:r>
      <w:r>
        <w:rPr>
          <w:rFonts w:ascii="Times New Roman" w:cs="Times New Roman" w:eastAsia="Times New Roman" w:hAnsi="Times New Roman"/>
          <w:i/>
          <w:sz w:val="24"/>
          <w:szCs w:val="24"/>
        </w:rPr>
        <w:t>International Journal of Civil Law and Legal Research</w:t>
      </w:r>
      <w:r>
        <w:rPr>
          <w:rFonts w:ascii="Times New Roman" w:cs="Times New Roman" w:eastAsia="Times New Roman" w:hAnsi="Times New Roman"/>
          <w:sz w:val="24"/>
          <w:szCs w:val="24"/>
        </w:rPr>
        <w:t>, [online] 3(2), pp.19–27. doi:</w:t>
      </w:r>
      <w:r>
        <w:rPr/>
        <w:fldChar w:fldCharType="begin"/>
      </w:r>
      <w:r>
        <w:instrText xml:space="preserve"> HYPERLINK "https://doi.org/10.22271/civillaw.2023.v3.i2a.52" </w:instrText>
      </w:r>
      <w:r>
        <w:rPr/>
        <w:fldChar w:fldCharType="separate"/>
      </w:r>
      <w:r>
        <w:rPr>
          <w:rFonts w:ascii="Times New Roman" w:cs="Times New Roman" w:eastAsia="Times New Roman" w:hAnsi="Times New Roman"/>
          <w:color w:val="1155cc"/>
          <w:sz w:val="24"/>
          <w:szCs w:val="24"/>
          <w:u w:val="single"/>
        </w:rPr>
        <w:t>https://doi.org/10.22271/c</w:t>
      </w:r>
      <w:r>
        <w:rPr>
          <w:rFonts w:ascii="Times New Roman" w:cs="Times New Roman" w:eastAsia="Times New Roman" w:hAnsi="Times New Roman"/>
          <w:color w:val="1155cc"/>
          <w:sz w:val="24"/>
          <w:szCs w:val="24"/>
          <w:u w:val="single"/>
        </w:rPr>
        <w:t>ivillaw.2023.v3.i2a.52</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Szabó-Szentgróti, G., Végvári, B. and Varga, J. (2021). Impact of Industry 4.0 and Digitization on Labor Market for 2030-Verification of Keynes’ Prediction. </w:t>
      </w:r>
      <w:r>
        <w:rPr>
          <w:rFonts w:ascii="Times New Roman" w:cs="Times New Roman" w:eastAsia="Times New Roman" w:hAnsi="Times New Roman"/>
          <w:i/>
          <w:sz w:val="24"/>
          <w:szCs w:val="24"/>
        </w:rPr>
        <w:t>Sustainability</w:t>
      </w:r>
      <w:r>
        <w:rPr>
          <w:rFonts w:ascii="Times New Roman" w:cs="Times New Roman" w:eastAsia="Times New Roman" w:hAnsi="Times New Roman"/>
          <w:sz w:val="24"/>
          <w:szCs w:val="24"/>
        </w:rPr>
        <w:t>, 13(14), p.7703. doi:</w:t>
      </w:r>
      <w:r>
        <w:rPr/>
        <w:fldChar w:fldCharType="begin"/>
      </w:r>
      <w:r>
        <w:instrText xml:space="preserve"> HYPERLINK "https://doi.org/10.3390/su13147703" </w:instrText>
      </w:r>
      <w:r>
        <w:rPr/>
        <w:fldChar w:fldCharType="separate"/>
      </w:r>
      <w:r>
        <w:rPr>
          <w:rFonts w:ascii="Times New Roman" w:cs="Times New Roman" w:eastAsia="Times New Roman" w:hAnsi="Times New Roman"/>
          <w:color w:val="1155cc"/>
          <w:sz w:val="24"/>
          <w:szCs w:val="24"/>
          <w:u w:val="single"/>
        </w:rPr>
        <w:t>https://doi.org/10.3390/su13147703</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Tuckman, B. (1965). </w:t>
      </w:r>
      <w:r>
        <w:rPr>
          <w:rFonts w:ascii="Times New Roman" w:cs="Times New Roman" w:eastAsia="Times New Roman" w:hAnsi="Times New Roman"/>
          <w:i/>
          <w:sz w:val="24"/>
          <w:szCs w:val="24"/>
        </w:rPr>
        <w:t>Developmental sequence in small groups.</w:t>
      </w:r>
      <w:r>
        <w:rPr>
          <w:rFonts w:ascii="Times New Roman" w:cs="Times New Roman" w:eastAsia="Times New Roman" w:hAnsi="Times New Roman"/>
          <w:sz w:val="24"/>
          <w:szCs w:val="24"/>
        </w:rPr>
        <w:t xml:space="preserve"> [online] psycnet.apa.org. Available at: </w:t>
      </w:r>
      <w:r>
        <w:rPr/>
        <w:fldChar w:fldCharType="begin"/>
      </w:r>
      <w:r>
        <w:instrText xml:space="preserve"> HYPERLINK "https://psycnet.apa.org/journals/bul/63/6/384/" </w:instrText>
      </w:r>
      <w:r>
        <w:rPr/>
        <w:fldChar w:fldCharType="separate"/>
      </w:r>
      <w:r>
        <w:rPr>
          <w:rFonts w:ascii="Times New Roman" w:cs="Times New Roman" w:eastAsia="Times New Roman" w:hAnsi="Times New Roman"/>
          <w:color w:val="1155cc"/>
          <w:sz w:val="24"/>
          <w:szCs w:val="24"/>
          <w:u w:val="single"/>
        </w:rPr>
        <w:t>https://psycnet.apa.org/journals/bul/</w:t>
      </w:r>
      <w:r>
        <w:rPr>
          <w:rFonts w:ascii="Times New Roman" w:cs="Times New Roman" w:eastAsia="Times New Roman" w:hAnsi="Times New Roman"/>
          <w:color w:val="1155cc"/>
          <w:sz w:val="24"/>
          <w:szCs w:val="24"/>
          <w:u w:val="single"/>
        </w:rPr>
        <w:t>63/6/384/</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Ullah, zia, Pires, E., Reis, A., Nunes, R.R., Khan, A. and Bsrroso, joão (2025). Artificial Intelligence Transformative Power in the Fourth Industry Industrial Revolution: A Systematic Review of Process and Workforce Impact. doi:</w:t>
      </w:r>
      <w:r>
        <w:rPr/>
        <w:fldChar w:fldCharType="begin"/>
      </w:r>
      <w:r>
        <w:instrText xml:space="preserve"> HYPERLINK "https://doi.org/10.2139/ssrn.5079230" </w:instrText>
      </w:r>
      <w:r>
        <w:rPr/>
        <w:fldChar w:fldCharType="separate"/>
      </w:r>
      <w:r>
        <w:rPr>
          <w:rFonts w:ascii="Times New Roman" w:cs="Times New Roman" w:eastAsia="Times New Roman" w:hAnsi="Times New Roman"/>
          <w:color w:val="1155cc"/>
          <w:sz w:val="24"/>
          <w:szCs w:val="24"/>
          <w:u w:val="single"/>
        </w:rPr>
        <w:t>https://doi.org/10.2139/ssrn.5079230</w:t>
      </w:r>
      <w:r>
        <w:rPr/>
        <w:fldChar w:fldCharType="end"/>
      </w:r>
      <w:r>
        <w:rPr>
          <w:rFonts w:ascii="Times New Roman" w:cs="Times New Roman" w:eastAsia="Times New Roman" w:hAnsi="Times New Roman"/>
          <w:sz w:val="24"/>
          <w:szCs w:val="24"/>
        </w:rPr>
        <w:t xml:space="preserve">. </w:t>
      </w:r>
    </w:p>
    <w:p>
      <w:pPr>
        <w:pStyle w:val="style0"/>
        <w:spacing w:after="240"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Wang, X., Chen, M. and Chen, N. (2024). How artificial intelligence affects the labour force employment structure from the perspective of industrial structure optimisation. </w:t>
      </w:r>
      <w:r>
        <w:rPr>
          <w:rFonts w:ascii="Times New Roman" w:cs="Times New Roman" w:eastAsia="Times New Roman" w:hAnsi="Times New Roman"/>
          <w:i/>
          <w:sz w:val="24"/>
          <w:szCs w:val="24"/>
        </w:rPr>
        <w:t>Hel</w:t>
      </w:r>
      <w:r>
        <w:rPr>
          <w:rFonts w:ascii="Times New Roman" w:cs="Times New Roman" w:eastAsia="Times New Roman" w:hAnsi="Times New Roman"/>
          <w:i/>
          <w:sz w:val="24"/>
          <w:szCs w:val="24"/>
        </w:rPr>
        <w:t>iyon</w:t>
      </w:r>
      <w:r>
        <w:rPr>
          <w:rFonts w:ascii="Times New Roman" w:cs="Times New Roman" w:eastAsia="Times New Roman" w:hAnsi="Times New Roman"/>
          <w:sz w:val="24"/>
          <w:szCs w:val="24"/>
        </w:rPr>
        <w:t xml:space="preserve">, [online] 10(5), </w:t>
      </w:r>
      <w:r>
        <w:rPr>
          <w:rFonts w:ascii="Times New Roman" w:cs="Times New Roman" w:eastAsia="Times New Roman" w:hAnsi="Times New Roman"/>
          <w:sz w:val="24"/>
          <w:szCs w:val="24"/>
        </w:rPr>
        <w:t>pp.e</w:t>
      </w:r>
      <w:r>
        <w:rPr>
          <w:rFonts w:ascii="Times New Roman" w:cs="Times New Roman" w:eastAsia="Times New Roman" w:hAnsi="Times New Roman"/>
          <w:sz w:val="24"/>
          <w:szCs w:val="24"/>
        </w:rPr>
        <w:t>26686–e26686. doi:</w:t>
      </w:r>
      <w:r>
        <w:rPr/>
        <w:fldChar w:fldCharType="begin"/>
      </w:r>
      <w:r>
        <w:instrText xml:space="preserve"> HYPERLINK "https://doi.org/10.1016/j.heliyon.2024.e26686" </w:instrText>
      </w:r>
      <w:r>
        <w:rPr/>
        <w:fldChar w:fldCharType="separate"/>
      </w:r>
      <w:r>
        <w:rPr>
          <w:rFonts w:ascii="Times New Roman" w:cs="Times New Roman" w:eastAsia="Times New Roman" w:hAnsi="Times New Roman"/>
          <w:color w:val="1155cc"/>
          <w:sz w:val="24"/>
          <w:szCs w:val="24"/>
          <w:u w:val="single"/>
        </w:rPr>
        <w:t>https://doi.org/10.1016/j.heliyon.2024.e26686</w:t>
      </w:r>
      <w:r>
        <w:rPr/>
        <w:fldChar w:fldCharType="end"/>
      </w:r>
      <w:r>
        <w:rPr>
          <w:rFonts w:ascii="Times New Roman" w:cs="Times New Roman" w:eastAsia="Times New Roman" w:hAnsi="Times New Roman"/>
          <w:sz w:val="24"/>
          <w:szCs w:val="24"/>
        </w:rPr>
        <w:t xml:space="preserve">. </w:t>
      </w:r>
    </w:p>
    <w:p>
      <w:pPr>
        <w:pStyle w:val="style0"/>
        <w:spacing w:lineRule="auto" w:line="360"/>
        <w:jc w:val="both"/>
        <w:rPr>
          <w:rFonts w:ascii="Times New Roman" w:cs="Times New Roman" w:eastAsia="Times New Roman" w:hAnsi="Times New Roman"/>
          <w:sz w:val="24"/>
          <w:szCs w:val="24"/>
        </w:rPr>
      </w:pPr>
    </w:p>
    <w:sectPr>
      <w:headerReference w:type="default" r:id="rId6"/>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AFF" w:usb1="C0007843"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rPr/>
    </w:pPr>
    <w:r>
      <w:rPr>
        <w:noProof/>
      </w:rPr>
      <w:drawing>
        <wp:inline distL="0" distT="0" distB="0" distR="0">
          <wp:extent cx="814388" cy="324616"/>
          <wp:effectExtent l="0" t="0" r="0" b="0"/>
          <wp:docPr id="409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 cstate="print"/>
                  <a:srcRect l="0" t="0" r="0" b="0"/>
                  <a:stretch/>
                </pic:blipFill>
                <pic:spPr>
                  <a:xfrm rot="0">
                    <a:off x="0" y="0"/>
                    <a:ext cx="814388" cy="324616"/>
                  </a:xfrm>
                  <a:prstGeom prst="rect"/>
                  <a:ln cmpd="sng" cap="flat" w="9525">
                    <a:solidFill>
                      <a:srgbClr val="000000"/>
                    </a:solidFill>
                    <a:prstDash val="solid"/>
                    <a:round/>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10DE7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38"/>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US"/>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sz w:val="40"/>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styles" Target="styles.xml"/><Relationship Id="rId8" Type="http://schemas.openxmlformats.org/officeDocument/2006/relationships/fontTable" Target="fontTable.xml"/></Relationships>
</file>

<file path=word/_rels/header1.xml.rels><?xml version="1.0" encoding="UTF-8"?>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Words>3484</Words>
  <Pages>19</Pages>
  <Characters>24432</Characters>
  <Application>WPS Office</Application>
  <DocSecurity>0</DocSecurity>
  <Paragraphs>158</Paragraphs>
  <ScaleCrop>false</ScaleCrop>
  <LinksUpToDate>false</LinksUpToDate>
  <CharactersWithSpaces>27804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2025-10-09T19:54:00Z</dcterms:created>
  <dc:creator>WPS Office</dc:creator>
  <lastModifiedBy>24117RN76G</lastModifiedBy>
  <dcterms:modified xsi:type="dcterms:W3CDTF">2025-10-14T10:44:55Z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b6a959f2185844f6a6ae8d726f762afc</vt:lpwstr>
  </property>
</Properties>
</file>