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E3AB8" w14:textId="1AC50134" w:rsidR="009A7427" w:rsidRPr="00C8546C" w:rsidRDefault="009A7427" w:rsidP="003B4BE4">
      <w:pPr>
        <w:spacing w:after="400" w:line="360" w:lineRule="auto"/>
        <w:rPr>
          <w:rFonts w:eastAsia="Calibri"/>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546C">
        <w:rPr>
          <w:rFonts w:eastAsia="Calibri"/>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Role of Microcredit and Business Development Services in Supporting Rural Income-Generating Activities and Sustainable Rural Entrepreneurship in Developing Countries:</w:t>
      </w:r>
      <w:r w:rsidR="003B4BE4" w:rsidRPr="00C8546C">
        <w:rPr>
          <w:rFonts w:eastAsia="Calibri"/>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C8546C">
        <w:rPr>
          <w:rFonts w:eastAsia="Calibri"/>
          <w:bCs/>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Systematic Literature Review</w:t>
      </w:r>
    </w:p>
    <w:p w14:paraId="12CBE137" w14:textId="6D13D15E" w:rsidR="003B4BE4" w:rsidRDefault="00C8546C" w:rsidP="003B4BE4">
      <w:pPr>
        <w:spacing w:after="400" w:line="360" w:lineRule="auto"/>
        <w:rPr>
          <w:b/>
          <w:color w:val="000000" w:themeColor="text1"/>
          <w:sz w:val="28"/>
          <w:szCs w:val="28"/>
        </w:rPr>
      </w:pPr>
      <w:r>
        <w:rPr>
          <w:b/>
          <w:bCs/>
          <w:color w:val="000000" w:themeColor="text1"/>
          <w:sz w:val="28"/>
          <w:szCs w:val="28"/>
        </w:rPr>
        <w:t xml:space="preserve">                       </w:t>
      </w:r>
      <w:r w:rsidR="003B4BE4" w:rsidRPr="003B4BE4">
        <w:rPr>
          <w:b/>
          <w:bCs/>
          <w:color w:val="000000" w:themeColor="text1"/>
          <w:sz w:val="28"/>
          <w:szCs w:val="28"/>
        </w:rPr>
        <w:t>Module: LCDB70</w:t>
      </w:r>
      <w:r w:rsidR="003B4BE4">
        <w:rPr>
          <w:b/>
          <w:bCs/>
          <w:color w:val="000000" w:themeColor="text1"/>
          <w:sz w:val="28"/>
          <w:szCs w:val="28"/>
        </w:rPr>
        <w:t>10</w:t>
      </w:r>
      <w:r w:rsidR="003B4BE4" w:rsidRPr="003B4BE4">
        <w:rPr>
          <w:b/>
          <w:bCs/>
          <w:color w:val="000000" w:themeColor="text1"/>
          <w:sz w:val="28"/>
          <w:szCs w:val="28"/>
        </w:rPr>
        <w:t xml:space="preserve"> –</w:t>
      </w:r>
      <w:r w:rsidR="003B4BE4">
        <w:rPr>
          <w:b/>
          <w:color w:val="000000" w:themeColor="text1"/>
          <w:sz w:val="28"/>
          <w:szCs w:val="28"/>
        </w:rPr>
        <w:t xml:space="preserve"> Convert </w:t>
      </w:r>
      <w:r w:rsidR="003B4BE4" w:rsidRPr="003B4BE4">
        <w:rPr>
          <w:b/>
          <w:color w:val="000000" w:themeColor="text1"/>
          <w:sz w:val="28"/>
          <w:szCs w:val="28"/>
        </w:rPr>
        <w:t>Research</w:t>
      </w:r>
      <w:r w:rsidR="003B4BE4">
        <w:rPr>
          <w:b/>
          <w:color w:val="000000" w:themeColor="text1"/>
          <w:sz w:val="28"/>
          <w:szCs w:val="28"/>
        </w:rPr>
        <w:t xml:space="preserve"> Into Practice</w:t>
      </w:r>
    </w:p>
    <w:p w14:paraId="0C5F2292" w14:textId="35C5DD3C" w:rsidR="003B4BE4" w:rsidRPr="003B4BE4" w:rsidRDefault="003B4BE4" w:rsidP="003B4BE4">
      <w:pPr>
        <w:spacing w:after="400" w:line="360" w:lineRule="auto"/>
        <w:jc w:val="center"/>
        <w:rPr>
          <w:rFonts w:eastAsia="Calibri"/>
          <w:b/>
          <w:bCs/>
          <w:sz w:val="28"/>
          <w:szCs w:val="28"/>
        </w:rPr>
      </w:pPr>
      <w:r>
        <w:rPr>
          <w:b/>
          <w:color w:val="000000" w:themeColor="text1"/>
          <w:sz w:val="28"/>
          <w:szCs w:val="28"/>
        </w:rPr>
        <w:t>Submitted By</w:t>
      </w:r>
    </w:p>
    <w:p w14:paraId="4C917DF7" w14:textId="77777777" w:rsidR="003B4BE4" w:rsidRDefault="003B4BE4" w:rsidP="00C8546C">
      <w:pPr>
        <w:spacing w:after="800" w:line="360" w:lineRule="auto"/>
        <w:jc w:val="center"/>
        <w:rPr>
          <w:rFonts w:eastAsia="Calibri"/>
          <w:sz w:val="24"/>
          <w:szCs w:val="24"/>
        </w:rPr>
      </w:pPr>
      <w:r>
        <w:rPr>
          <w:rFonts w:eastAsia="Calibri"/>
          <w:sz w:val="24"/>
          <w:szCs w:val="24"/>
        </w:rPr>
        <w:t xml:space="preserve">Student Name : </w:t>
      </w:r>
      <w:r w:rsidR="009A7427">
        <w:rPr>
          <w:rFonts w:eastAsia="Calibri"/>
          <w:sz w:val="24"/>
          <w:szCs w:val="24"/>
        </w:rPr>
        <w:t>Farjana Akter Rim</w:t>
      </w:r>
      <w:r>
        <w:rPr>
          <w:rFonts w:eastAsia="Calibri"/>
          <w:sz w:val="24"/>
          <w:szCs w:val="24"/>
        </w:rPr>
        <w:t>u</w:t>
      </w:r>
    </w:p>
    <w:p w14:paraId="515AF71E" w14:textId="6831763A" w:rsidR="003B4BE4" w:rsidRDefault="003B4BE4" w:rsidP="00C8546C">
      <w:pPr>
        <w:spacing w:after="800" w:line="360" w:lineRule="auto"/>
        <w:jc w:val="center"/>
        <w:rPr>
          <w:rFonts w:eastAsia="Calibri"/>
          <w:sz w:val="24"/>
          <w:szCs w:val="24"/>
        </w:rPr>
      </w:pPr>
      <w:r>
        <w:rPr>
          <w:rFonts w:eastAsia="Calibri"/>
          <w:sz w:val="24"/>
          <w:szCs w:val="24"/>
        </w:rPr>
        <w:t>Student ID : 22519813</w:t>
      </w:r>
    </w:p>
    <w:p w14:paraId="34CAEFFF" w14:textId="13B8E15B" w:rsidR="003B4BE4" w:rsidRDefault="003B4BE4" w:rsidP="00C8546C">
      <w:pPr>
        <w:spacing w:after="800" w:line="360" w:lineRule="auto"/>
        <w:jc w:val="center"/>
        <w:rPr>
          <w:rFonts w:eastAsia="Calibri"/>
          <w:sz w:val="24"/>
          <w:szCs w:val="24"/>
        </w:rPr>
      </w:pPr>
      <w:r>
        <w:rPr>
          <w:rFonts w:eastAsia="Calibri"/>
          <w:sz w:val="24"/>
          <w:szCs w:val="24"/>
        </w:rPr>
        <w:t>Term:2</w:t>
      </w:r>
    </w:p>
    <w:p w14:paraId="39C43204" w14:textId="77777777" w:rsidR="00C8546C" w:rsidRPr="00AA1338" w:rsidRDefault="00C8546C" w:rsidP="00C8546C">
      <w:pPr>
        <w:spacing w:line="360" w:lineRule="auto"/>
        <w:jc w:val="center"/>
        <w:rPr>
          <w:b/>
          <w:bCs/>
          <w:color w:val="000000" w:themeColor="text1"/>
          <w:sz w:val="32"/>
          <w:szCs w:val="32"/>
        </w:rPr>
      </w:pPr>
      <w:bookmarkStart w:id="0" w:name="_Hlk236005149"/>
      <w:r w:rsidRPr="00AA1338">
        <w:rPr>
          <w:b/>
          <w:bCs/>
          <w:color w:val="000000" w:themeColor="text1"/>
          <w:sz w:val="32"/>
          <w:szCs w:val="32"/>
        </w:rPr>
        <w:t>Submitted To :</w:t>
      </w:r>
    </w:p>
    <w:p w14:paraId="36BF8730" w14:textId="0F436EAB" w:rsidR="00C8546C" w:rsidRPr="00AA1338" w:rsidRDefault="00C8546C" w:rsidP="00C8546C">
      <w:pPr>
        <w:spacing w:line="360" w:lineRule="auto"/>
        <w:jc w:val="center"/>
        <w:rPr>
          <w:color w:val="000000" w:themeColor="text1"/>
        </w:rPr>
      </w:pPr>
      <w:r w:rsidRPr="00AA1338">
        <w:rPr>
          <w:b/>
          <w:bCs/>
          <w:noProof/>
          <w:color w:val="000000" w:themeColor="text1"/>
        </w:rPr>
        <w:drawing>
          <wp:anchor distT="0" distB="0" distL="114300" distR="114300" simplePos="0" relativeHeight="251659264" behindDoc="0" locked="0" layoutInCell="1" allowOverlap="1" wp14:anchorId="08386605" wp14:editId="76AE7A65">
            <wp:simplePos x="0" y="0"/>
            <wp:positionH relativeFrom="margin">
              <wp:align>center</wp:align>
            </wp:positionH>
            <wp:positionV relativeFrom="paragraph">
              <wp:posOffset>798315</wp:posOffset>
            </wp:positionV>
            <wp:extent cx="3557949" cy="1485900"/>
            <wp:effectExtent l="0" t="0" r="4445" b="0"/>
            <wp:wrapNone/>
            <wp:docPr id="14837342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34248" name="Picture 148373424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57949" cy="1485900"/>
                    </a:xfrm>
                    <a:prstGeom prst="rect">
                      <a:avLst/>
                    </a:prstGeom>
                  </pic:spPr>
                </pic:pic>
              </a:graphicData>
            </a:graphic>
            <wp14:sizeRelH relativeFrom="page">
              <wp14:pctWidth>0</wp14:pctWidth>
            </wp14:sizeRelH>
            <wp14:sizeRelV relativeFrom="page">
              <wp14:pctHeight>0</wp14:pctHeight>
            </wp14:sizeRelV>
          </wp:anchor>
        </w:drawing>
      </w:r>
      <w:r w:rsidRPr="00AA1338">
        <w:rPr>
          <w:b/>
          <w:bCs/>
          <w:color w:val="000000" w:themeColor="text1"/>
          <w:sz w:val="32"/>
          <w:szCs w:val="32"/>
        </w:rPr>
        <w:t xml:space="preserve">Prof. Dr </w:t>
      </w:r>
      <w:r>
        <w:rPr>
          <w:b/>
          <w:bCs/>
          <w:color w:val="000000" w:themeColor="text1"/>
          <w:sz w:val="32"/>
          <w:szCs w:val="32"/>
        </w:rPr>
        <w:t>Eno</w:t>
      </w:r>
      <w:r w:rsidRPr="00AA1338">
        <w:rPr>
          <w:b/>
          <w:bCs/>
          <w:color w:val="000000" w:themeColor="text1"/>
          <w:sz w:val="32"/>
          <w:szCs w:val="32"/>
        </w:rPr>
        <w:t xml:space="preserve"> </w:t>
      </w:r>
      <w:r>
        <w:rPr>
          <w:b/>
          <w:bCs/>
          <w:color w:val="000000" w:themeColor="text1"/>
          <w:sz w:val="32"/>
          <w:szCs w:val="32"/>
        </w:rPr>
        <w:t>Maycock</w:t>
      </w:r>
      <w:r w:rsidRPr="00AA1338">
        <w:rPr>
          <w:color w:val="000000" w:themeColor="text1"/>
          <w:sz w:val="32"/>
          <w:szCs w:val="32"/>
        </w:rPr>
        <w:br/>
        <w:t xml:space="preserve">Submission Date: </w:t>
      </w:r>
      <w:r>
        <w:rPr>
          <w:color w:val="000000" w:themeColor="text1"/>
          <w:sz w:val="32"/>
          <w:szCs w:val="32"/>
        </w:rPr>
        <w:t>31</w:t>
      </w:r>
      <w:r w:rsidRPr="00AA1338">
        <w:rPr>
          <w:color w:val="000000" w:themeColor="text1"/>
          <w:sz w:val="32"/>
          <w:szCs w:val="32"/>
        </w:rPr>
        <w:t xml:space="preserve"> July 2026</w:t>
      </w:r>
      <w:bookmarkEnd w:id="0"/>
      <w:r w:rsidRPr="00AA1338">
        <w:rPr>
          <w:color w:val="000000" w:themeColor="text1"/>
        </w:rPr>
        <w:br/>
      </w:r>
    </w:p>
    <w:p w14:paraId="72EEDC9D" w14:textId="653F9A20" w:rsidR="00307997" w:rsidRPr="00C8546C" w:rsidRDefault="00C8546C" w:rsidP="00C8546C">
      <w:pPr>
        <w:spacing w:line="360" w:lineRule="auto"/>
        <w:rPr>
          <w:color w:val="000000" w:themeColor="text1"/>
        </w:rPr>
      </w:pPr>
      <w:r w:rsidRPr="00AA1338">
        <w:rPr>
          <w:b/>
          <w:bCs/>
          <w:color w:val="000000" w:themeColor="text1"/>
        </w:rPr>
        <w:br w:type="page"/>
      </w:r>
      <w:r w:rsidR="00307997"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Background of the Study</w:t>
      </w:r>
    </w:p>
    <w:p w14:paraId="50925A23" w14:textId="5EB6BA47" w:rsidR="00307997" w:rsidRPr="00A704AC" w:rsidRDefault="00307997" w:rsidP="00307997">
      <w:pPr>
        <w:pStyle w:val="NormalWeb"/>
        <w:spacing w:line="360" w:lineRule="auto"/>
      </w:pPr>
      <w:r>
        <w:t>Microcredit: A service by banks, a government programme or an NGO. It is primarily designed to provide small loans to people who would not qualify for traditional banking services due to collateral. Researchers increasingly view microcredit as a key driver for expanding financial inclusion, alleviating poverty, and encouraging enterprise creation in low-income communities (Ault, 2016; Hani et al., 2024). This concept became covered worldwide with the work of Professor Muhammad Yunus and for Grameen Bank model in Bangladesh that proved how disadvantaged individuals could use loans from this kind of service to leverage their own income-generating activity.</w:t>
      </w:r>
    </w:p>
    <w:p w14:paraId="1998C829" w14:textId="0FB21E56" w:rsidR="00307997" w:rsidRDefault="00307997" w:rsidP="00307997">
      <w:pPr>
        <w:pStyle w:val="NormalWeb"/>
        <w:spacing w:line="360" w:lineRule="auto"/>
      </w:pPr>
      <w:r>
        <w:t>Microcredit aims to alleviate poverty by promoting self-employment and enhancing the economic well-being, particularly of marginalized individuals, especially women. Microcredit allows people to start and grow small businesses, generate household income and a higher standard of living. Studies indicate that access to microfinance supports household financial stability alongside entrepreneurs' growth, driving economic advancement in rural communities (Parray et al., 2024).</w:t>
      </w:r>
    </w:p>
    <w:p w14:paraId="15437F66" w14:textId="77777777" w:rsidR="00307997" w:rsidRPr="00A704AC" w:rsidRDefault="00307997" w:rsidP="00307997">
      <w:pPr>
        <w:spacing w:after="160" w:line="360" w:lineRule="auto"/>
        <w:jc w:val="both"/>
        <w:rPr>
          <w:sz w:val="24"/>
          <w:szCs w:val="24"/>
        </w:rPr>
      </w:pPr>
      <w:r>
        <w:rPr>
          <w:sz w:val="24"/>
          <w:szCs w:val="24"/>
        </w:rPr>
        <w:t xml:space="preserve"> To reduce poverty from developing countries rural people’s self-employment plays an important role. However, people from poor communities often face several challenges to make small business such as limited access to initial capital, a lack of business knowledge and skills, weak infrastructure, and limited access to profitable markets. These problems make it difficult for rural businesses to survive and grow (Cho, Robalino and Watson, 2016).</w:t>
      </w:r>
    </w:p>
    <w:p w14:paraId="597B2FDD" w14:textId="77F307EE" w:rsidR="00307997" w:rsidRPr="00A704AC" w:rsidRDefault="00307997" w:rsidP="00307997">
      <w:pPr>
        <w:spacing w:after="160" w:line="360" w:lineRule="auto"/>
        <w:jc w:val="both"/>
        <w:rPr>
          <w:sz w:val="24"/>
          <w:szCs w:val="24"/>
        </w:rPr>
      </w:pPr>
      <w:r>
        <w:rPr>
          <w:sz w:val="24"/>
          <w:szCs w:val="24"/>
        </w:rPr>
        <w:t>Although people can get capital to start a business through microcredit but having credit alone is always not enough for long-term business success. Building a sustainable business requires strong operational skills, market knowledge, and financial literacy. Business Development Services (BDS) provide this essential foundation through training, mentoring, and market linkages, which enable entrepreneurs to utilize their credit effectively.  BDS include entrepreneurship training, business advice, mentoring, financial literacy, technical assistance, and market linkage support, all aimed at improving entrepreneurial skills and business performance (Cho, Robalino and Watson, 2016).</w:t>
      </w:r>
    </w:p>
    <w:p w14:paraId="65E819E2" w14:textId="77777777" w:rsidR="00307997" w:rsidRPr="00A659F4" w:rsidRDefault="00307997" w:rsidP="00307997">
      <w:pPr>
        <w:spacing w:after="160" w:line="360" w:lineRule="auto"/>
        <w:jc w:val="both"/>
        <w:rPr>
          <w:sz w:val="24"/>
          <w:szCs w:val="24"/>
        </w:rPr>
      </w:pPr>
      <w:r>
        <w:rPr>
          <w:sz w:val="24"/>
          <w:szCs w:val="24"/>
        </w:rPr>
        <w:lastRenderedPageBreak/>
        <w:t>According to Abeysekera (2020), people who receive financial and non- financial service at a time are more likely to make sustainable business. As BDS gives the opportunities to people to achieve business knowledge and skill, helps to improve managerial capacities and reach wider market which make a business successful</w:t>
      </w:r>
      <w:r>
        <w:rPr>
          <w:b/>
          <w:bCs/>
          <w:sz w:val="24"/>
          <w:szCs w:val="24"/>
        </w:rPr>
        <w:t xml:space="preserve"> </w:t>
      </w:r>
      <w:r>
        <w:rPr>
          <w:sz w:val="24"/>
          <w:szCs w:val="24"/>
        </w:rPr>
        <w:t>(Hani et al., 2024).</w:t>
      </w:r>
    </w:p>
    <w:p w14:paraId="1435E2D3" w14:textId="04BE6E46" w:rsidR="00307997" w:rsidRDefault="00307997" w:rsidP="00307997">
      <w:pPr>
        <w:spacing w:after="160" w:line="360" w:lineRule="auto"/>
        <w:jc w:val="both"/>
      </w:pPr>
      <w:r>
        <w:rPr>
          <w:sz w:val="24"/>
          <w:szCs w:val="24"/>
        </w:rPr>
        <w:t>Many scholars has shown the link between microcredit and poverty reduction, women's entrepreneurship, financial inclusion, and rural development or BDS and rural self-employment. But a less number of studies have examine the combined role of these two services to support small business make by poor rural people.  Study such as (Gyimah et al., 2024; Musah, 2025) wanted to  justify the impact of microfinance alone (Gyimah et al., 2024; Musah, 2025) or on the effects of business development services alone (Amdemichael, 2025. Although recent work has begun to adopt an integrated 'microfinance-plus' approach combining financial and non-financial support (Tulika &amp; Ram, 2025; Hartarska et al., 2025), evidence regarding its joint impact on rural enterprise sustainability remains fragmented. Evaluating this combined dynamic serves as the primary focus of the present study</w:t>
      </w:r>
    </w:p>
    <w:p w14:paraId="724B6575" w14:textId="77777777" w:rsidR="00307997" w:rsidRDefault="00307997" w:rsidP="00307997">
      <w:pPr>
        <w:spacing w:after="160" w:line="360" w:lineRule="auto"/>
        <w:jc w:val="both"/>
        <w:rPr>
          <w:sz w:val="24"/>
          <w:szCs w:val="24"/>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51802B2B" w14:textId="77777777" w:rsidR="00307997" w:rsidRPr="00A704AC" w:rsidRDefault="00307997" w:rsidP="00307997">
      <w:pPr>
        <w:spacing w:after="160" w:line="360" w:lineRule="auto"/>
        <w:jc w:val="both"/>
        <w:rPr>
          <w:sz w:val="24"/>
          <w:szCs w:val="24"/>
        </w:rPr>
      </w:pPr>
      <w:r>
        <w:rPr>
          <w:sz w:val="24"/>
          <w:szCs w:val="24"/>
        </w:rPr>
        <w:t xml:space="preserve"> Small business is significant to make job roles and make contribution to reduce poverty and support local economic growth.  Microcredit helps people to make entrepreneurship, by doing this household income and living standards.  But people not often could be able to make a sustainable business with credit alone, they need skill, knowledge and market information to grow and survive in long run (Bandiera et al., 2020; Shepherd and Williams, 2019).</w:t>
      </w:r>
    </w:p>
    <w:p w14:paraId="3D04FF97" w14:textId="51C600EA" w:rsidR="00307997" w:rsidRPr="00A704AC" w:rsidRDefault="002276A6" w:rsidP="00307997">
      <w:pPr>
        <w:spacing w:after="160" w:line="360" w:lineRule="auto"/>
        <w:jc w:val="both"/>
        <w:rPr>
          <w:sz w:val="24"/>
          <w:szCs w:val="24"/>
        </w:rPr>
      </w:pPr>
      <w:r>
        <w:rPr>
          <w:sz w:val="24"/>
          <w:szCs w:val="24"/>
        </w:rPr>
        <w:t>To strengthen entrepreneurial capacity and drive business performance, microfinance institutions, government bodies, and NGOs offer Business Development Services that include training, mentorship, financial guidance, and market intelligence. Lensink et al. (2018) and Karlan and Valdivia (2011) found that combining financial services with business training can improve business practices, build entrepreneurial skills, and support the long-term sustainability of small businesses.</w:t>
      </w:r>
    </w:p>
    <w:p w14:paraId="03CE1E13" w14:textId="77777777" w:rsidR="00307997" w:rsidRPr="001B489A" w:rsidRDefault="00307997" w:rsidP="00307997">
      <w:pPr>
        <w:spacing w:after="160" w:line="360" w:lineRule="auto"/>
        <w:jc w:val="both"/>
        <w:rPr>
          <w:sz w:val="24"/>
          <w:szCs w:val="24"/>
        </w:rPr>
      </w:pPr>
      <w:r>
        <w:rPr>
          <w:sz w:val="24"/>
          <w:szCs w:val="24"/>
        </w:rPr>
        <w:t xml:space="preserve">Despite this growing body of research, few studies have examined how microcredit and Business Development Services work together to support rural businesses to build and get success in long term. Most earlier research looks at either access to finance or business support services on their </w:t>
      </w:r>
      <w:r>
        <w:rPr>
          <w:sz w:val="24"/>
          <w:szCs w:val="24"/>
        </w:rPr>
        <w:lastRenderedPageBreak/>
        <w:t>own. Very few studies look at how these two forms of support work together make small business grow particularly in developing countries (Lensink et al., 2018; Sievers &amp; Vandenberg, 2007; Charfeddine &amp; Zaouali, 2022; Ogujiuba et al., 2023).</w:t>
      </w:r>
    </w:p>
    <w:p w14:paraId="156466B1" w14:textId="4063E57D" w:rsidR="00307997" w:rsidRPr="00A704AC" w:rsidRDefault="002276A6" w:rsidP="00307997">
      <w:pPr>
        <w:spacing w:after="160" w:line="360" w:lineRule="auto"/>
        <w:jc w:val="both"/>
        <w:rPr>
          <w:sz w:val="24"/>
          <w:szCs w:val="24"/>
        </w:rPr>
      </w:pPr>
      <w:r>
        <w:rPr>
          <w:sz w:val="24"/>
          <w:szCs w:val="24"/>
        </w:rPr>
        <w:t>To address this gap, this study examines the relationship between microcredit and Business Development Services in promoting entrepreneurship among low-income rural populations in developing countries. Specifically, it evaluates how integrating financial and non-financial support contributes to self-employment, enterprise growth, and broader socio-economic development</w:t>
      </w:r>
      <w:r>
        <w:t>.</w:t>
      </w:r>
    </w:p>
    <w:p w14:paraId="47C45916" w14:textId="77777777" w:rsidR="00307997" w:rsidRPr="00A704AC" w:rsidRDefault="00307997" w:rsidP="00307997">
      <w:pPr>
        <w:pStyle w:val="Heading2"/>
        <w:spacing w:before="240" w:after="120"/>
        <w:rPr>
          <w:sz w:val="24"/>
          <w:szCs w:val="24"/>
        </w:rPr>
      </w:pPr>
      <w:r>
        <w:rPr>
          <w:sz w:val="24"/>
          <w:szCs w:val="24"/>
        </w:rPr>
        <w:t>1.1 Aim of the Study</w:t>
      </w:r>
    </w:p>
    <w:p w14:paraId="529A7117" w14:textId="77777777" w:rsidR="00307997" w:rsidRPr="00A704AC" w:rsidRDefault="00307997" w:rsidP="00307997">
      <w:pPr>
        <w:spacing w:after="160" w:line="360" w:lineRule="auto"/>
        <w:jc w:val="both"/>
        <w:rPr>
          <w:sz w:val="24"/>
          <w:szCs w:val="24"/>
        </w:rPr>
      </w:pPr>
      <w:r>
        <w:rPr>
          <w:sz w:val="24"/>
          <w:szCs w:val="24"/>
        </w:rPr>
        <w:t>The aim of this study is to understand the role of microcredit and BDS programme to rural small business growth and success. The study explores how the combined support of microfinance and BDS helps to support local economic growth and poverty reduction and improves the livelihoods of individuals and communities.</w:t>
      </w:r>
    </w:p>
    <w:p w14:paraId="09F15FDE" w14:textId="77777777" w:rsidR="00307997" w:rsidRPr="00A704AC" w:rsidRDefault="00307997" w:rsidP="00307997">
      <w:pPr>
        <w:pStyle w:val="Heading2"/>
        <w:spacing w:before="240" w:after="120"/>
        <w:rPr>
          <w:sz w:val="24"/>
          <w:szCs w:val="24"/>
        </w:rPr>
      </w:pPr>
      <w:r>
        <w:rPr>
          <w:sz w:val="24"/>
          <w:szCs w:val="24"/>
        </w:rPr>
        <w:t>1.2 Objectives of the Study</w:t>
      </w:r>
    </w:p>
    <w:p w14:paraId="0BF77954" w14:textId="77777777" w:rsidR="00307997" w:rsidRPr="00A704AC" w:rsidRDefault="00307997" w:rsidP="00307997">
      <w:pPr>
        <w:pStyle w:val="ListParagraph"/>
        <w:numPr>
          <w:ilvl w:val="0"/>
          <w:numId w:val="5"/>
        </w:numPr>
        <w:spacing w:after="100" w:line="300" w:lineRule="auto"/>
        <w:rPr>
          <w:sz w:val="24"/>
          <w:szCs w:val="24"/>
        </w:rPr>
      </w:pPr>
      <w:r>
        <w:rPr>
          <w:sz w:val="24"/>
          <w:szCs w:val="24"/>
        </w:rPr>
        <w:t>To examine the role of microcredit in helping rural people start their own businesses.</w:t>
      </w:r>
    </w:p>
    <w:p w14:paraId="2FF64F67" w14:textId="77777777" w:rsidR="00307997" w:rsidRPr="00A704AC" w:rsidRDefault="00307997" w:rsidP="00307997">
      <w:pPr>
        <w:pStyle w:val="ListParagraph"/>
        <w:numPr>
          <w:ilvl w:val="0"/>
          <w:numId w:val="5"/>
        </w:numPr>
        <w:spacing w:after="100" w:line="300" w:lineRule="auto"/>
        <w:rPr>
          <w:sz w:val="24"/>
          <w:szCs w:val="24"/>
        </w:rPr>
      </w:pPr>
      <w:r>
        <w:rPr>
          <w:sz w:val="24"/>
          <w:szCs w:val="24"/>
        </w:rPr>
        <w:t>To assess the contribution of microcredit to poverty reduction and socio-economic development.</w:t>
      </w:r>
    </w:p>
    <w:p w14:paraId="1750EBA0" w14:textId="77777777" w:rsidR="00307997" w:rsidRPr="00A704AC" w:rsidRDefault="00307997" w:rsidP="00307997">
      <w:pPr>
        <w:pStyle w:val="ListParagraph"/>
        <w:numPr>
          <w:ilvl w:val="0"/>
          <w:numId w:val="5"/>
        </w:numPr>
        <w:spacing w:after="100" w:line="300" w:lineRule="auto"/>
        <w:rPr>
          <w:sz w:val="24"/>
          <w:szCs w:val="24"/>
        </w:rPr>
      </w:pPr>
      <w:r>
        <w:rPr>
          <w:sz w:val="24"/>
          <w:szCs w:val="24"/>
        </w:rPr>
        <w:t>To investigate the role of Business Development Services (BDS) in supporting entrepreneurs to establish sustainable businesses.</w:t>
      </w:r>
    </w:p>
    <w:p w14:paraId="166C1E5D" w14:textId="77777777" w:rsidR="00307997" w:rsidRPr="00A704AC" w:rsidRDefault="00307997" w:rsidP="00307997">
      <w:pPr>
        <w:pStyle w:val="ListParagraph"/>
        <w:numPr>
          <w:ilvl w:val="0"/>
          <w:numId w:val="5"/>
        </w:numPr>
        <w:spacing w:after="100" w:line="300" w:lineRule="auto"/>
        <w:rPr>
          <w:sz w:val="24"/>
          <w:szCs w:val="24"/>
        </w:rPr>
      </w:pPr>
      <w:r>
        <w:rPr>
          <w:sz w:val="24"/>
          <w:szCs w:val="24"/>
        </w:rPr>
        <w:t>To evaluate the combined role of microfinance and Business Development Services (BDS) in promoting business growth.</w:t>
      </w:r>
    </w:p>
    <w:p w14:paraId="4CD582F7" w14:textId="77777777" w:rsidR="00307997" w:rsidRPr="00A704AC" w:rsidRDefault="00307997" w:rsidP="00307997">
      <w:pPr>
        <w:pStyle w:val="Heading2"/>
        <w:spacing w:before="240" w:after="120"/>
        <w:rPr>
          <w:sz w:val="24"/>
          <w:szCs w:val="24"/>
        </w:rPr>
      </w:pPr>
      <w:r>
        <w:rPr>
          <w:sz w:val="24"/>
          <w:szCs w:val="24"/>
        </w:rPr>
        <w:t>1.3 Research Questions</w:t>
      </w:r>
    </w:p>
    <w:p w14:paraId="360E2BE0" w14:textId="77777777" w:rsidR="00307997" w:rsidRPr="00A704AC" w:rsidRDefault="00307997" w:rsidP="00307997">
      <w:pPr>
        <w:pStyle w:val="ListParagraph"/>
        <w:numPr>
          <w:ilvl w:val="0"/>
          <w:numId w:val="5"/>
        </w:numPr>
        <w:spacing w:after="100" w:line="300" w:lineRule="auto"/>
        <w:rPr>
          <w:sz w:val="24"/>
          <w:szCs w:val="24"/>
        </w:rPr>
      </w:pPr>
      <w:r>
        <w:rPr>
          <w:sz w:val="24"/>
          <w:szCs w:val="24"/>
        </w:rPr>
        <w:t>How does microcredit help rural people start their own businesses?</w:t>
      </w:r>
    </w:p>
    <w:p w14:paraId="58B60AAA" w14:textId="77777777" w:rsidR="00307997" w:rsidRPr="00A704AC" w:rsidRDefault="00307997" w:rsidP="00307997">
      <w:pPr>
        <w:pStyle w:val="ListParagraph"/>
        <w:numPr>
          <w:ilvl w:val="0"/>
          <w:numId w:val="5"/>
        </w:numPr>
        <w:spacing w:after="100" w:line="300" w:lineRule="auto"/>
        <w:rPr>
          <w:sz w:val="24"/>
          <w:szCs w:val="24"/>
        </w:rPr>
      </w:pPr>
      <w:r>
        <w:rPr>
          <w:sz w:val="24"/>
          <w:szCs w:val="24"/>
        </w:rPr>
        <w:t>How does access to collateral-free loans contribute to local economic development and poverty reduction?</w:t>
      </w:r>
    </w:p>
    <w:p w14:paraId="5AC3F0E0" w14:textId="77777777" w:rsidR="00307997" w:rsidRPr="00A704AC" w:rsidRDefault="00307997" w:rsidP="00307997">
      <w:pPr>
        <w:pStyle w:val="ListParagraph"/>
        <w:numPr>
          <w:ilvl w:val="0"/>
          <w:numId w:val="5"/>
        </w:numPr>
        <w:spacing w:after="100" w:line="300" w:lineRule="auto"/>
        <w:rPr>
          <w:sz w:val="24"/>
          <w:szCs w:val="24"/>
        </w:rPr>
      </w:pPr>
      <w:r>
        <w:rPr>
          <w:sz w:val="24"/>
          <w:szCs w:val="24"/>
        </w:rPr>
        <w:t>What role do Business Development Services (BDS) play in helping entrepreneurs establish and sustain their businesses?</w:t>
      </w:r>
    </w:p>
    <w:p w14:paraId="29FCA867" w14:textId="77777777" w:rsidR="00307997" w:rsidRDefault="00307997" w:rsidP="00307997">
      <w:pPr>
        <w:pStyle w:val="ListParagraph"/>
        <w:numPr>
          <w:ilvl w:val="0"/>
          <w:numId w:val="5"/>
        </w:numPr>
        <w:spacing w:after="100" w:line="300" w:lineRule="auto"/>
        <w:rPr>
          <w:sz w:val="24"/>
          <w:szCs w:val="24"/>
        </w:rPr>
      </w:pPr>
      <w:r>
        <w:rPr>
          <w:sz w:val="24"/>
          <w:szCs w:val="24"/>
        </w:rPr>
        <w:t>How do microcredit and Business Development Services (BDS) work together to support business growth?</w:t>
      </w:r>
    </w:p>
    <w:p w14:paraId="48B0F8D3" w14:textId="77777777" w:rsidR="00253979" w:rsidRPr="000370A9" w:rsidRDefault="000370A9" w:rsidP="000370A9">
      <w:pPr>
        <w:pStyle w:val="Heading2"/>
        <w:spacing w:before="280" w:after="160" w:line="360" w:lineRule="auto"/>
        <w:rPr>
          <w:sz w:val="24"/>
          <w:szCs w:val="24"/>
        </w:rPr>
      </w:pPr>
      <w:r>
        <w:rPr>
          <w:rFonts w:eastAsia="Calibri"/>
          <w:b/>
          <w:bCs/>
          <w:sz w:val="24"/>
          <w:szCs w:val="24"/>
        </w:rPr>
        <w:t>1.4 Definitions and Scope</w:t>
      </w:r>
    </w:p>
    <w:p w14:paraId="3EB317BD" w14:textId="389E2A8A" w:rsidR="0001265D" w:rsidRDefault="0001265D" w:rsidP="0001265D">
      <w:pPr>
        <w:spacing w:line="360" w:lineRule="auto"/>
        <w:rPr>
          <w:sz w:val="24"/>
          <w:szCs w:val="24"/>
        </w:rPr>
      </w:pPr>
      <w:r>
        <w:rPr>
          <w:sz w:val="24"/>
          <w:szCs w:val="24"/>
        </w:rPr>
        <w:lastRenderedPageBreak/>
        <w:t>To clarify the focus of this study, key concepts are defined using existing literature. Rural areas simply mean locations outside major town with low population density, where livelihoods mostly depend on farming or informal work alongside limited access to formal banks and basic infrastructure like decent roads and internet (Ault, 2016; Cho et al., 2016; Kazungu, 2023; Pangriya, 2023). Within these settings, sustainable rural entrepreneurship involves business activities that remain profitable in the long run and genuinely improve household livelihoods, rather than offering short-lived gains. This idea combines enterprise continuity—meaning a small business keeps operating after loan repayment—with wider goals such as ongoing poverty reduction and better living standards (Debnath et al., 2019; Goldszmidt et al., 2022; Ozili, 2022). Given these definitions, the review focuses on studies from rural areas in developing regions that evaluate how microcredit and Business Development Services (BDS) influence business survival, income, and livelihood outcomes over time.</w:t>
      </w:r>
    </w:p>
    <w:p w14:paraId="119069E6" w14:textId="77777777" w:rsidR="00253979" w:rsidRPr="000370A9" w:rsidRDefault="000370A9" w:rsidP="000370A9">
      <w:pPr>
        <w:pStyle w:val="Heading2"/>
        <w:spacing w:before="280" w:after="160" w:line="360" w:lineRule="auto"/>
        <w:rPr>
          <w:sz w:val="24"/>
          <w:szCs w:val="24"/>
        </w:rPr>
      </w:pPr>
      <w:r>
        <w:rPr>
          <w:rFonts w:eastAsia="Calibri"/>
          <w:b/>
          <w:bCs/>
          <w:sz w:val="24"/>
          <w:szCs w:val="24"/>
        </w:rPr>
        <w:t>1.5 Significance and Contribution of the Study</w:t>
      </w:r>
    </w:p>
    <w:p w14:paraId="15C2012B" w14:textId="77777777" w:rsidR="0001265D" w:rsidRDefault="0001265D" w:rsidP="0001265D">
      <w:pPr>
        <w:pStyle w:val="NormalWeb"/>
        <w:spacing w:line="360" w:lineRule="auto"/>
      </w:pPr>
      <w:r>
        <w:t>Most studies look at loans (microcredit) and business training (BDS) as completely separate things. However, this study looks at how these two programs actually work together to help rural people start their businesses and keep them running and growing.</w:t>
      </w:r>
    </w:p>
    <w:p w14:paraId="4EB39E0C" w14:textId="554CE05C" w:rsidR="0001265D" w:rsidRDefault="0001265D" w:rsidP="0001265D">
      <w:pPr>
        <w:pStyle w:val="NormalWeb"/>
        <w:spacing w:line="360" w:lineRule="auto"/>
      </w:pPr>
      <w:r>
        <w:t>This study offers two key contribution:</w:t>
      </w:r>
    </w:p>
    <w:p w14:paraId="169BA59D" w14:textId="77777777" w:rsidR="005C298D" w:rsidRDefault="0001265D" w:rsidP="005C298D">
      <w:pPr>
        <w:pStyle w:val="NormalWeb"/>
        <w:numPr>
          <w:ilvl w:val="0"/>
          <w:numId w:val="9"/>
        </w:numPr>
        <w:spacing w:line="360" w:lineRule="auto"/>
      </w:pPr>
      <w:r>
        <w:rPr>
          <w:b/>
          <w:bCs/>
        </w:rPr>
        <w:t>For Future Researchers:</w:t>
      </w:r>
      <w:r>
        <w:t xml:space="preserve"> It provides future researchers a structured model on how to combine financial and non-financial support instead of keeping them separate </w:t>
      </w:r>
    </w:p>
    <w:p w14:paraId="64389FF0" w14:textId="73DA3E79" w:rsidR="0001265D" w:rsidRDefault="0001265D" w:rsidP="005C298D">
      <w:pPr>
        <w:pStyle w:val="NormalWeb"/>
        <w:numPr>
          <w:ilvl w:val="0"/>
          <w:numId w:val="9"/>
        </w:numPr>
        <w:spacing w:line="360" w:lineRule="auto"/>
      </w:pPr>
      <w:r>
        <w:rPr>
          <w:b/>
          <w:bCs/>
        </w:rPr>
        <w:t>For Policymakers and NGOs:</w:t>
      </w:r>
      <w:r>
        <w:t xml:space="preserve"> It provides a helpful model (conceptual framework) that shows exactly how loans and training work together to  foster an enabling environment for rural entrepreneurs. By using this model, NGOs and governments can plan much better programs that combine both types of help to truly support people.</w:t>
      </w:r>
    </w:p>
    <w:p w14:paraId="370F5753" w14:textId="77777777" w:rsidR="00253979" w:rsidRPr="000370A9" w:rsidRDefault="000370A9" w:rsidP="000370A9">
      <w:pPr>
        <w:pStyle w:val="Heading1"/>
        <w:spacing w:before="360" w:after="200" w:line="360" w:lineRule="auto"/>
        <w:rPr>
          <w:sz w:val="24"/>
          <w:szCs w:val="24"/>
        </w:rPr>
      </w:pPr>
      <w:r>
        <w:rPr>
          <w:rFonts w:eastAsia="Calibri"/>
          <w:b/>
          <w:bCs/>
          <w:sz w:val="24"/>
          <w:szCs w:val="24"/>
        </w:rPr>
        <w:t>2. Methodology</w:t>
      </w:r>
    </w:p>
    <w:p w14:paraId="6295D6E7" w14:textId="77777777" w:rsidR="00253979" w:rsidRPr="000370A9" w:rsidRDefault="000370A9" w:rsidP="000370A9">
      <w:pPr>
        <w:spacing w:after="200" w:line="360" w:lineRule="auto"/>
        <w:jc w:val="both"/>
        <w:rPr>
          <w:sz w:val="24"/>
          <w:szCs w:val="24"/>
        </w:rPr>
      </w:pPr>
      <w:r>
        <w:rPr>
          <w:rFonts w:eastAsia="Calibri"/>
          <w:sz w:val="24"/>
          <w:szCs w:val="24"/>
        </w:rPr>
        <w:t xml:space="preserve">This chapter describes the methodology used to conduct the study. A systematic literature review (SLR) was chosen as the appropriate approach because the study is based entirely on existing </w:t>
      </w:r>
      <w:r>
        <w:rPr>
          <w:rFonts w:eastAsia="Calibri"/>
          <w:sz w:val="24"/>
          <w:szCs w:val="24"/>
        </w:rPr>
        <w:lastRenderedPageBreak/>
        <w:t>research. It uses the CIMO framework to refine the research questions, follows PRISMA guidelines in conducting the review, and applies the CASP tool to assess the quality of the studies selected.</w:t>
      </w:r>
    </w:p>
    <w:p w14:paraId="29624E43" w14:textId="77777777" w:rsidR="00253979" w:rsidRPr="000370A9" w:rsidRDefault="000370A9" w:rsidP="000370A9">
      <w:pPr>
        <w:pStyle w:val="Heading2"/>
        <w:spacing w:before="280" w:after="160" w:line="360" w:lineRule="auto"/>
        <w:rPr>
          <w:sz w:val="24"/>
          <w:szCs w:val="24"/>
        </w:rPr>
      </w:pPr>
      <w:r>
        <w:rPr>
          <w:rFonts w:eastAsia="Calibri"/>
          <w:b/>
          <w:bCs/>
          <w:sz w:val="24"/>
          <w:szCs w:val="24"/>
        </w:rPr>
        <w:t>2.1 Research Design</w:t>
      </w:r>
    </w:p>
    <w:p w14:paraId="3B611ADC" w14:textId="613027C1" w:rsidR="00253979" w:rsidRPr="000370A9" w:rsidRDefault="005C298D" w:rsidP="000370A9">
      <w:pPr>
        <w:spacing w:after="200" w:line="360" w:lineRule="auto"/>
        <w:jc w:val="both"/>
        <w:rPr>
          <w:sz w:val="24"/>
          <w:szCs w:val="24"/>
        </w:rPr>
      </w:pPr>
      <w:r>
        <w:rPr>
          <w:sz w:val="24"/>
          <w:szCs w:val="24"/>
        </w:rPr>
        <w:t>This study applies an interpretivist lens to explore how microcredit and Business Development Services jointly enable rural communities to overcome poverty, establish enterprises, and sustain growth</w:t>
      </w:r>
      <w:r>
        <w:rPr>
          <w:rFonts w:eastAsia="Calibri"/>
          <w:sz w:val="24"/>
          <w:szCs w:val="24"/>
        </w:rPr>
        <w:t>.</w:t>
      </w:r>
      <w:r>
        <w:rPr>
          <w:sz w:val="24"/>
          <w:szCs w:val="24"/>
        </w:rPr>
        <w:t xml:space="preserve"> Rather than testing statistical hypotheses or quantitative relationships, a qualitative systematic literature review (SLR) was selected to systematically synthesize empirical evidence, theoretical perspectives, and contextual factors governing rural enterprise support</w:t>
      </w:r>
      <w:r>
        <w:rPr>
          <w:rFonts w:eastAsia="Calibri"/>
          <w:sz w:val="24"/>
          <w:szCs w:val="24"/>
        </w:rPr>
        <w:t>.</w:t>
      </w:r>
    </w:p>
    <w:p w14:paraId="17503E72" w14:textId="77777777" w:rsidR="00253979" w:rsidRPr="000370A9" w:rsidRDefault="000370A9" w:rsidP="000370A9">
      <w:pPr>
        <w:spacing w:after="200" w:line="360" w:lineRule="auto"/>
        <w:jc w:val="both"/>
        <w:rPr>
          <w:sz w:val="24"/>
          <w:szCs w:val="24"/>
        </w:rPr>
      </w:pPr>
      <w:r>
        <w:rPr>
          <w:rFonts w:eastAsia="Calibri"/>
          <w:sz w:val="24"/>
          <w:szCs w:val="24"/>
        </w:rPr>
        <w:t>The research builds entirely on existing literature, drawing on empirical studies, review articles, and policy papers. By combining these insights, the study highlights common themes, points of debate, conflicting perspectives, and key research gaps in the current body of knowledge.</w:t>
      </w:r>
    </w:p>
    <w:p w14:paraId="7C784AB1" w14:textId="77777777" w:rsidR="00253979" w:rsidRPr="000370A9" w:rsidRDefault="000370A9" w:rsidP="000370A9">
      <w:pPr>
        <w:pStyle w:val="Heading2"/>
        <w:spacing w:before="280" w:after="160" w:line="360" w:lineRule="auto"/>
        <w:rPr>
          <w:sz w:val="24"/>
          <w:szCs w:val="24"/>
        </w:rPr>
      </w:pPr>
      <w:r>
        <w:rPr>
          <w:rFonts w:eastAsia="Calibri"/>
          <w:b/>
          <w:bCs/>
          <w:sz w:val="24"/>
          <w:szCs w:val="24"/>
        </w:rPr>
        <w:t>2.2 CIMO Framework for the Research Question</w:t>
      </w:r>
    </w:p>
    <w:p w14:paraId="2900EAA5" w14:textId="77777777" w:rsidR="005204DF" w:rsidRPr="002E7856" w:rsidRDefault="005204DF" w:rsidP="002E7856">
      <w:pPr>
        <w:pStyle w:val="NormalWeb"/>
        <w:spacing w:line="360" w:lineRule="auto"/>
      </w:pPr>
      <w:r>
        <w:t>Because this study relies on secondary data, its primary objective is to synthesize and critically evaluate existing empirical literature. A qualitative systematic literature review was designed to examine how microcredit and business development services jointly support sustainable rural self-employment.</w:t>
      </w:r>
    </w:p>
    <w:p w14:paraId="2336933C" w14:textId="79BD0D0E" w:rsidR="005204DF" w:rsidRPr="002E7856" w:rsidRDefault="002E7856" w:rsidP="002E7856">
      <w:pPr>
        <w:pStyle w:val="NormalWeb"/>
        <w:spacing w:line="360" w:lineRule="auto"/>
      </w:pPr>
      <w:r>
        <w:t>A clear review question was essential to this process. The Context-Intervention-Mechanism-Outcome (CIMO) framework provided the structural foundation to establish the research context, specify the primary interventions, analyze underlying mechanisms, and classify the outcomes. This framework directly guided the literature search, eligibility criteria, and final data synthesis.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6960"/>
      </w:tblGrid>
      <w:tr w:rsidR="00253979" w:rsidRPr="000370A9" w14:paraId="25DE6BBB" w14:textId="77777777">
        <w:tc>
          <w:tcPr>
            <w:tcW w:w="2400" w:type="dxa"/>
            <w:shd w:val="clear" w:color="auto" w:fill="D9E2F3"/>
            <w:tcMar>
              <w:top w:w="60" w:type="dxa"/>
              <w:left w:w="80" w:type="dxa"/>
              <w:bottom w:w="60" w:type="dxa"/>
              <w:right w:w="80" w:type="dxa"/>
            </w:tcMar>
          </w:tcPr>
          <w:p w14:paraId="3F691A71" w14:textId="77777777" w:rsidR="00253979" w:rsidRPr="000370A9" w:rsidRDefault="000370A9" w:rsidP="000370A9">
            <w:pPr>
              <w:spacing w:line="360" w:lineRule="auto"/>
              <w:rPr>
                <w:sz w:val="24"/>
                <w:szCs w:val="24"/>
              </w:rPr>
            </w:pPr>
            <w:r>
              <w:rPr>
                <w:rFonts w:eastAsia="Calibri"/>
                <w:b/>
                <w:bCs/>
                <w:sz w:val="24"/>
                <w:szCs w:val="24"/>
              </w:rPr>
              <w:t>CIMO Element</w:t>
            </w:r>
          </w:p>
        </w:tc>
        <w:tc>
          <w:tcPr>
            <w:tcW w:w="6960" w:type="dxa"/>
            <w:shd w:val="clear" w:color="auto" w:fill="D9E2F3"/>
            <w:tcMar>
              <w:top w:w="60" w:type="dxa"/>
              <w:left w:w="80" w:type="dxa"/>
              <w:bottom w:w="60" w:type="dxa"/>
              <w:right w:w="80" w:type="dxa"/>
            </w:tcMar>
          </w:tcPr>
          <w:p w14:paraId="3E2829F5" w14:textId="77777777" w:rsidR="00253979" w:rsidRPr="000370A9" w:rsidRDefault="000370A9" w:rsidP="000370A9">
            <w:pPr>
              <w:spacing w:line="360" w:lineRule="auto"/>
              <w:rPr>
                <w:sz w:val="24"/>
                <w:szCs w:val="24"/>
              </w:rPr>
            </w:pPr>
            <w:r>
              <w:rPr>
                <w:rFonts w:eastAsia="Calibri"/>
                <w:b/>
                <w:bCs/>
                <w:sz w:val="24"/>
                <w:szCs w:val="24"/>
              </w:rPr>
              <w:t>Application to this Study</w:t>
            </w:r>
          </w:p>
        </w:tc>
      </w:tr>
      <w:tr w:rsidR="00253979" w:rsidRPr="000370A9" w14:paraId="635FFD72" w14:textId="77777777">
        <w:tc>
          <w:tcPr>
            <w:tcW w:w="2400" w:type="dxa"/>
            <w:tcMar>
              <w:top w:w="60" w:type="dxa"/>
              <w:left w:w="80" w:type="dxa"/>
              <w:bottom w:w="60" w:type="dxa"/>
              <w:right w:w="80" w:type="dxa"/>
            </w:tcMar>
          </w:tcPr>
          <w:p w14:paraId="60D7A299" w14:textId="77777777" w:rsidR="00253979" w:rsidRPr="000370A9" w:rsidRDefault="000370A9" w:rsidP="000370A9">
            <w:pPr>
              <w:spacing w:line="360" w:lineRule="auto"/>
              <w:rPr>
                <w:sz w:val="24"/>
                <w:szCs w:val="24"/>
              </w:rPr>
            </w:pPr>
            <w:r>
              <w:rPr>
                <w:rFonts w:eastAsia="Calibri"/>
                <w:sz w:val="24"/>
                <w:szCs w:val="24"/>
              </w:rPr>
              <w:t>Context</w:t>
            </w:r>
          </w:p>
        </w:tc>
        <w:tc>
          <w:tcPr>
            <w:tcW w:w="6960" w:type="dxa"/>
            <w:tcMar>
              <w:top w:w="60" w:type="dxa"/>
              <w:left w:w="80" w:type="dxa"/>
              <w:bottom w:w="60" w:type="dxa"/>
              <w:right w:w="80" w:type="dxa"/>
            </w:tcMar>
          </w:tcPr>
          <w:p w14:paraId="4B85B43A" w14:textId="77777777" w:rsidR="00253979" w:rsidRPr="000370A9" w:rsidRDefault="000370A9" w:rsidP="000370A9">
            <w:pPr>
              <w:spacing w:line="360" w:lineRule="auto"/>
              <w:rPr>
                <w:sz w:val="24"/>
                <w:szCs w:val="24"/>
              </w:rPr>
            </w:pPr>
            <w:r>
              <w:rPr>
                <w:rFonts w:eastAsia="Calibri"/>
                <w:sz w:val="24"/>
                <w:szCs w:val="24"/>
              </w:rPr>
              <w:t>Rural communities in developing countries where entrepreneurs face financial and institutional constraints.</w:t>
            </w:r>
          </w:p>
        </w:tc>
      </w:tr>
      <w:tr w:rsidR="00253979" w:rsidRPr="000370A9" w14:paraId="0F92B591" w14:textId="77777777">
        <w:tc>
          <w:tcPr>
            <w:tcW w:w="2400" w:type="dxa"/>
            <w:tcMar>
              <w:top w:w="60" w:type="dxa"/>
              <w:left w:w="80" w:type="dxa"/>
              <w:bottom w:w="60" w:type="dxa"/>
              <w:right w:w="80" w:type="dxa"/>
            </w:tcMar>
          </w:tcPr>
          <w:p w14:paraId="748AD939" w14:textId="77777777" w:rsidR="00253979" w:rsidRPr="000370A9" w:rsidRDefault="000370A9" w:rsidP="000370A9">
            <w:pPr>
              <w:spacing w:line="360" w:lineRule="auto"/>
              <w:rPr>
                <w:sz w:val="24"/>
                <w:szCs w:val="24"/>
              </w:rPr>
            </w:pPr>
            <w:r>
              <w:rPr>
                <w:rFonts w:eastAsia="Calibri"/>
                <w:sz w:val="24"/>
                <w:szCs w:val="24"/>
              </w:rPr>
              <w:t>Intervention</w:t>
            </w:r>
          </w:p>
        </w:tc>
        <w:tc>
          <w:tcPr>
            <w:tcW w:w="6960" w:type="dxa"/>
            <w:tcMar>
              <w:top w:w="60" w:type="dxa"/>
              <w:left w:w="80" w:type="dxa"/>
              <w:bottom w:w="60" w:type="dxa"/>
              <w:right w:w="80" w:type="dxa"/>
            </w:tcMar>
          </w:tcPr>
          <w:p w14:paraId="0DBC659B" w14:textId="77777777" w:rsidR="00253979" w:rsidRPr="000370A9" w:rsidRDefault="000370A9" w:rsidP="000370A9">
            <w:pPr>
              <w:spacing w:line="360" w:lineRule="auto"/>
              <w:rPr>
                <w:sz w:val="24"/>
                <w:szCs w:val="24"/>
              </w:rPr>
            </w:pPr>
            <w:r>
              <w:rPr>
                <w:rFonts w:eastAsia="Calibri"/>
                <w:sz w:val="24"/>
                <w:szCs w:val="24"/>
              </w:rPr>
              <w:t>Microcredit combined with Business Development Services (BDS).</w:t>
            </w:r>
          </w:p>
        </w:tc>
      </w:tr>
      <w:tr w:rsidR="00253979" w:rsidRPr="000370A9" w14:paraId="66619B2A" w14:textId="77777777">
        <w:tc>
          <w:tcPr>
            <w:tcW w:w="2400" w:type="dxa"/>
            <w:tcMar>
              <w:top w:w="60" w:type="dxa"/>
              <w:left w:w="80" w:type="dxa"/>
              <w:bottom w:w="60" w:type="dxa"/>
              <w:right w:w="80" w:type="dxa"/>
            </w:tcMar>
          </w:tcPr>
          <w:p w14:paraId="0A4C2F61" w14:textId="77777777" w:rsidR="00253979" w:rsidRPr="000370A9" w:rsidRDefault="000370A9" w:rsidP="000370A9">
            <w:pPr>
              <w:spacing w:line="360" w:lineRule="auto"/>
              <w:rPr>
                <w:sz w:val="24"/>
                <w:szCs w:val="24"/>
              </w:rPr>
            </w:pPr>
            <w:r>
              <w:rPr>
                <w:rFonts w:eastAsia="Calibri"/>
                <w:sz w:val="24"/>
                <w:szCs w:val="24"/>
              </w:rPr>
              <w:lastRenderedPageBreak/>
              <w:t>Mechanism</w:t>
            </w:r>
          </w:p>
        </w:tc>
        <w:tc>
          <w:tcPr>
            <w:tcW w:w="6960" w:type="dxa"/>
            <w:tcMar>
              <w:top w:w="60" w:type="dxa"/>
              <w:left w:w="80" w:type="dxa"/>
              <w:bottom w:w="60" w:type="dxa"/>
              <w:right w:w="80" w:type="dxa"/>
            </w:tcMar>
          </w:tcPr>
          <w:p w14:paraId="27C25C74" w14:textId="77777777" w:rsidR="00253979" w:rsidRPr="000370A9" w:rsidRDefault="000370A9" w:rsidP="000370A9">
            <w:pPr>
              <w:spacing w:line="360" w:lineRule="auto"/>
              <w:rPr>
                <w:sz w:val="24"/>
                <w:szCs w:val="24"/>
              </w:rPr>
            </w:pPr>
            <w:r>
              <w:rPr>
                <w:rFonts w:eastAsia="Calibri"/>
                <w:sz w:val="24"/>
                <w:szCs w:val="24"/>
              </w:rPr>
              <w:t>Capability building through training, mentoring, financial literacy, and market access, enabling effective use of credit.</w:t>
            </w:r>
          </w:p>
        </w:tc>
      </w:tr>
      <w:tr w:rsidR="00253979" w:rsidRPr="000370A9" w14:paraId="253908D5" w14:textId="77777777">
        <w:tc>
          <w:tcPr>
            <w:tcW w:w="2400" w:type="dxa"/>
            <w:tcMar>
              <w:top w:w="60" w:type="dxa"/>
              <w:left w:w="80" w:type="dxa"/>
              <w:bottom w:w="60" w:type="dxa"/>
              <w:right w:w="80" w:type="dxa"/>
            </w:tcMar>
          </w:tcPr>
          <w:p w14:paraId="498A8FF8" w14:textId="77777777" w:rsidR="00253979" w:rsidRPr="000370A9" w:rsidRDefault="000370A9" w:rsidP="000370A9">
            <w:pPr>
              <w:spacing w:line="360" w:lineRule="auto"/>
              <w:rPr>
                <w:sz w:val="24"/>
                <w:szCs w:val="24"/>
              </w:rPr>
            </w:pPr>
            <w:r>
              <w:rPr>
                <w:rFonts w:eastAsia="Calibri"/>
                <w:sz w:val="24"/>
                <w:szCs w:val="24"/>
              </w:rPr>
              <w:t>Outcome</w:t>
            </w:r>
          </w:p>
        </w:tc>
        <w:tc>
          <w:tcPr>
            <w:tcW w:w="6960" w:type="dxa"/>
            <w:tcMar>
              <w:top w:w="60" w:type="dxa"/>
              <w:left w:w="80" w:type="dxa"/>
              <w:bottom w:w="60" w:type="dxa"/>
              <w:right w:w="80" w:type="dxa"/>
            </w:tcMar>
          </w:tcPr>
          <w:p w14:paraId="63C204A5" w14:textId="77777777" w:rsidR="00253979" w:rsidRPr="000370A9" w:rsidRDefault="000370A9" w:rsidP="000370A9">
            <w:pPr>
              <w:spacing w:line="360" w:lineRule="auto"/>
              <w:rPr>
                <w:sz w:val="24"/>
                <w:szCs w:val="24"/>
              </w:rPr>
            </w:pPr>
            <w:r>
              <w:rPr>
                <w:rFonts w:eastAsia="Calibri"/>
                <w:sz w:val="24"/>
                <w:szCs w:val="24"/>
              </w:rPr>
              <w:t>Sustainable rural entrepreneurship, business growth, income generation, poverty reduction, and improved livelihoods.</w:t>
            </w:r>
          </w:p>
        </w:tc>
      </w:tr>
    </w:tbl>
    <w:p w14:paraId="18149385" w14:textId="77777777" w:rsidR="00253979" w:rsidRPr="000370A9" w:rsidRDefault="00253979" w:rsidP="000370A9">
      <w:pPr>
        <w:spacing w:after="200" w:line="360" w:lineRule="auto"/>
        <w:jc w:val="both"/>
        <w:rPr>
          <w:sz w:val="24"/>
          <w:szCs w:val="24"/>
        </w:rPr>
      </w:pPr>
    </w:p>
    <w:p w14:paraId="686C1B5F" w14:textId="77777777" w:rsidR="00253979" w:rsidRPr="000370A9" w:rsidRDefault="000370A9" w:rsidP="000370A9">
      <w:pPr>
        <w:pStyle w:val="Heading2"/>
        <w:spacing w:before="280" w:after="160" w:line="360" w:lineRule="auto"/>
        <w:rPr>
          <w:sz w:val="24"/>
          <w:szCs w:val="24"/>
        </w:rPr>
      </w:pPr>
      <w:r>
        <w:rPr>
          <w:rFonts w:eastAsia="Calibri"/>
          <w:b/>
          <w:bCs/>
          <w:sz w:val="24"/>
          <w:szCs w:val="24"/>
        </w:rPr>
        <w:t>2.3 Research Strategy — PRISMA</w:t>
      </w:r>
    </w:p>
    <w:p w14:paraId="16630559" w14:textId="14F4E027" w:rsidR="00253979" w:rsidRPr="000370A9" w:rsidRDefault="002E7856" w:rsidP="000370A9">
      <w:pPr>
        <w:spacing w:after="200" w:line="360" w:lineRule="auto"/>
        <w:jc w:val="both"/>
        <w:rPr>
          <w:sz w:val="24"/>
          <w:szCs w:val="24"/>
        </w:rPr>
      </w:pPr>
      <w:r>
        <w:rPr>
          <w:sz w:val="24"/>
          <w:szCs w:val="24"/>
        </w:rPr>
        <w:t>This review followed PRISMA guidelines (Page et al., 2021) to guide the selection process across four main stages. The initial search gathered relevant papers from the target databases. After that, titles and abstracts were screened to filter out unrelated studies. Then, full-text articles were checked against our selection criteria before choosing the final papers. Following this step-by-step process helps reduce personal bias and keeps the findings reliable</w:t>
      </w:r>
      <w:r>
        <w:rPr>
          <w:rFonts w:eastAsia="Calibri"/>
          <w:sz w:val="24"/>
          <w:szCs w:val="24"/>
        </w:rPr>
        <w:t>.</w:t>
      </w:r>
    </w:p>
    <w:p w14:paraId="6FD0E824" w14:textId="77777777" w:rsidR="00253979" w:rsidRPr="000370A9" w:rsidRDefault="000370A9" w:rsidP="000370A9">
      <w:pPr>
        <w:pStyle w:val="Heading2"/>
        <w:spacing w:before="280" w:after="160" w:line="360" w:lineRule="auto"/>
        <w:rPr>
          <w:sz w:val="24"/>
          <w:szCs w:val="24"/>
        </w:rPr>
      </w:pPr>
      <w:r>
        <w:rPr>
          <w:rFonts w:eastAsia="Calibri"/>
          <w:b/>
          <w:bCs/>
          <w:sz w:val="24"/>
          <w:szCs w:val="24"/>
        </w:rPr>
        <w:t>2.4 Search Strategy</w:t>
      </w:r>
    </w:p>
    <w:p w14:paraId="3C66B1DA" w14:textId="6BCC9DD3" w:rsidR="00253979" w:rsidRPr="000370A9" w:rsidRDefault="00181311" w:rsidP="000370A9">
      <w:pPr>
        <w:spacing w:after="200" w:line="360" w:lineRule="auto"/>
        <w:jc w:val="both"/>
        <w:rPr>
          <w:sz w:val="24"/>
          <w:szCs w:val="24"/>
        </w:rPr>
      </w:pPr>
      <w:r>
        <w:rPr>
          <w:sz w:val="24"/>
          <w:szCs w:val="24"/>
        </w:rPr>
        <w:t>Literature was gathered from major academic databases, including Scopus, Google Scholar, Web of Science, ScienceDirect, Emerald Insight, and SpringerLink. These platforms were chosen for their broad coverage of peer-reviewed journals across entrepreneurship, development studies, economics, and business management, while also providing access to open-access articles. Search terms were combined using Boolean operators (AND/OR) to identify relevant studies</w:t>
      </w:r>
      <w:r>
        <w:rPr>
          <w:rFonts w:eastAsia="Calibri"/>
          <w:sz w:val="24"/>
          <w:szCs w:val="24"/>
        </w:rPr>
        <w:t>:</w:t>
      </w:r>
    </w:p>
    <w:p w14:paraId="4AC1CCF0"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Microcredit and poverty reduction</w:t>
      </w:r>
    </w:p>
    <w:p w14:paraId="07DFFDBD"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BDS and rural entrepreneurship</w:t>
      </w:r>
    </w:p>
    <w:p w14:paraId="3715FA60"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Microcredit and income-generating activities or self-employment</w:t>
      </w:r>
    </w:p>
    <w:p w14:paraId="61330FFC"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Financial inclusion and enterprise development</w:t>
      </w:r>
    </w:p>
    <w:p w14:paraId="7EF931F3"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BDS and microcredit and rural entrepreneur</w:t>
      </w:r>
    </w:p>
    <w:p w14:paraId="38FE3DB3"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Microcredit and rural entrepreneur</w:t>
      </w:r>
    </w:p>
    <w:p w14:paraId="0C91D0C6" w14:textId="77777777" w:rsidR="00253979" w:rsidRPr="000370A9" w:rsidRDefault="000370A9" w:rsidP="000370A9">
      <w:pPr>
        <w:pStyle w:val="Heading2"/>
        <w:spacing w:before="280" w:after="160" w:line="360" w:lineRule="auto"/>
        <w:rPr>
          <w:sz w:val="24"/>
          <w:szCs w:val="24"/>
        </w:rPr>
      </w:pPr>
      <w:r>
        <w:rPr>
          <w:rFonts w:eastAsia="Calibri"/>
          <w:b/>
          <w:bCs/>
          <w:sz w:val="24"/>
          <w:szCs w:val="24"/>
        </w:rPr>
        <w:t>2.5 Inclusion and Exclusion Criteria</w:t>
      </w:r>
    </w:p>
    <w:p w14:paraId="5103001D" w14:textId="77777777" w:rsidR="00253979" w:rsidRPr="000370A9" w:rsidRDefault="000370A9" w:rsidP="000370A9">
      <w:pPr>
        <w:pStyle w:val="Heading3"/>
        <w:spacing w:before="220" w:after="140" w:line="360" w:lineRule="auto"/>
      </w:pPr>
      <w:r>
        <w:rPr>
          <w:rFonts w:eastAsia="Calibri"/>
          <w:b/>
          <w:bCs/>
          <w:i/>
          <w:iCs/>
        </w:rPr>
        <w:t>Inclusion Criteria</w:t>
      </w:r>
    </w:p>
    <w:p w14:paraId="7B283D9C"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lastRenderedPageBreak/>
        <w:t>Peer-reviewed journal articles.</w:t>
      </w:r>
    </w:p>
    <w:p w14:paraId="51D08B26"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Studies published between 2010 and 2026.</w:t>
      </w:r>
    </w:p>
    <w:p w14:paraId="487705D9"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Articles written in English.</w:t>
      </w:r>
    </w:p>
    <w:p w14:paraId="192835E5"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Research focusing on microcredit, microfinance, Business Development Services, rural entrepreneurship, or income-generating activities.</w:t>
      </w:r>
    </w:p>
    <w:p w14:paraId="36A8406C"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Empirical studies, systematic reviews, and policy-related research.</w:t>
      </w:r>
    </w:p>
    <w:p w14:paraId="6FBC4BD8" w14:textId="77777777" w:rsidR="00253979" w:rsidRPr="000370A9" w:rsidRDefault="000370A9" w:rsidP="000370A9">
      <w:pPr>
        <w:pStyle w:val="Heading3"/>
        <w:spacing w:before="220" w:after="140" w:line="360" w:lineRule="auto"/>
      </w:pPr>
      <w:r>
        <w:rPr>
          <w:rFonts w:eastAsia="Calibri"/>
          <w:b/>
          <w:bCs/>
          <w:i/>
          <w:iCs/>
        </w:rPr>
        <w:t>Exclusion Criteria</w:t>
      </w:r>
    </w:p>
    <w:p w14:paraId="25B68ACB"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Articles published before 2010, unless considered highly relevant.</w:t>
      </w:r>
    </w:p>
    <w:p w14:paraId="66F741D2"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Conference abstracts without full papers.</w:t>
      </w:r>
    </w:p>
    <w:p w14:paraId="36A4F858"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Non-English publications.</w:t>
      </w:r>
    </w:p>
    <w:p w14:paraId="71D826C0"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Studies unrelated to entrepreneurship or Business Development Services.</w:t>
      </w:r>
    </w:p>
    <w:p w14:paraId="0C538B57" w14:textId="77777777" w:rsidR="00253979" w:rsidRPr="000370A9" w:rsidRDefault="000370A9" w:rsidP="000370A9">
      <w:pPr>
        <w:pStyle w:val="ListParagraph"/>
        <w:numPr>
          <w:ilvl w:val="0"/>
          <w:numId w:val="2"/>
        </w:numPr>
        <w:spacing w:after="120" w:line="360" w:lineRule="auto"/>
        <w:jc w:val="both"/>
        <w:rPr>
          <w:sz w:val="24"/>
          <w:szCs w:val="24"/>
        </w:rPr>
      </w:pPr>
      <w:r>
        <w:rPr>
          <w:rFonts w:eastAsia="Calibri"/>
          <w:sz w:val="24"/>
          <w:szCs w:val="24"/>
        </w:rPr>
        <w:t>Duplicate publications.</w:t>
      </w:r>
    </w:p>
    <w:p w14:paraId="7C15382E" w14:textId="77777777" w:rsidR="00253979" w:rsidRPr="000370A9" w:rsidRDefault="000370A9" w:rsidP="000370A9">
      <w:pPr>
        <w:pStyle w:val="Heading2"/>
        <w:spacing w:before="280" w:after="160" w:line="360" w:lineRule="auto"/>
        <w:rPr>
          <w:sz w:val="24"/>
          <w:szCs w:val="24"/>
        </w:rPr>
      </w:pPr>
      <w:r>
        <w:rPr>
          <w:rFonts w:eastAsia="Calibri"/>
          <w:b/>
          <w:bCs/>
          <w:sz w:val="24"/>
          <w:szCs w:val="24"/>
        </w:rPr>
        <w:t>2.6 Study Selection Process</w:t>
      </w:r>
    </w:p>
    <w:p w14:paraId="55194A06" w14:textId="291D2CC8" w:rsidR="00253979" w:rsidRPr="000370A9" w:rsidRDefault="00181311" w:rsidP="000370A9">
      <w:pPr>
        <w:spacing w:after="200" w:line="360" w:lineRule="auto"/>
        <w:jc w:val="both"/>
        <w:rPr>
          <w:sz w:val="24"/>
          <w:szCs w:val="24"/>
        </w:rPr>
      </w:pPr>
      <w:r>
        <w:rPr>
          <w:sz w:val="24"/>
          <w:szCs w:val="24"/>
        </w:rPr>
        <w:t>Studies were selected in alignment with PRISMA guidelines. At the beginning, all database results were uploaded into reference management software to remove duplicate entries. Then, titles and abstracts were screened to exclude articles that did not focus on microcredit, Business Development Services, rural entrepreneurship, or income-generating activities. After that, full-text papers were read in detail, and studies providing clear data relevant to the research questions were chosen for the final analysis</w:t>
      </w:r>
      <w:r>
        <w:rPr>
          <w:rFonts w:eastAsia="Calibri"/>
          <w:sz w:val="24"/>
          <w:szCs w:val="24"/>
        </w:rPr>
        <w:t>.</w:t>
      </w:r>
    </w:p>
    <w:p w14:paraId="4639B833" w14:textId="77777777" w:rsidR="00253979" w:rsidRPr="000370A9" w:rsidRDefault="000370A9" w:rsidP="000370A9">
      <w:pPr>
        <w:pStyle w:val="Heading2"/>
        <w:spacing w:before="280" w:after="160" w:line="360" w:lineRule="auto"/>
        <w:rPr>
          <w:sz w:val="24"/>
          <w:szCs w:val="24"/>
        </w:rPr>
      </w:pPr>
      <w:r>
        <w:rPr>
          <w:rFonts w:eastAsia="Calibri"/>
          <w:b/>
          <w:bCs/>
          <w:sz w:val="24"/>
          <w:szCs w:val="24"/>
        </w:rPr>
        <w:t>2.7 PRISMA Flow Diagram</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360"/>
        <w:gridCol w:w="2000"/>
      </w:tblGrid>
      <w:tr w:rsidR="00253979" w:rsidRPr="000370A9" w14:paraId="523D09B7" w14:textId="77777777">
        <w:tc>
          <w:tcPr>
            <w:tcW w:w="7360" w:type="dxa"/>
            <w:shd w:val="clear" w:color="auto" w:fill="D9E2F3"/>
            <w:tcMar>
              <w:top w:w="60" w:type="dxa"/>
              <w:left w:w="80" w:type="dxa"/>
              <w:bottom w:w="60" w:type="dxa"/>
              <w:right w:w="80" w:type="dxa"/>
            </w:tcMar>
          </w:tcPr>
          <w:p w14:paraId="2F5C4536" w14:textId="77777777" w:rsidR="00253979" w:rsidRPr="000370A9" w:rsidRDefault="000370A9" w:rsidP="000370A9">
            <w:pPr>
              <w:spacing w:line="360" w:lineRule="auto"/>
              <w:rPr>
                <w:sz w:val="24"/>
                <w:szCs w:val="24"/>
              </w:rPr>
            </w:pPr>
            <w:r>
              <w:rPr>
                <w:rFonts w:eastAsia="Calibri"/>
                <w:b/>
                <w:bCs/>
                <w:sz w:val="24"/>
                <w:szCs w:val="24"/>
              </w:rPr>
              <w:t>Stage</w:t>
            </w:r>
          </w:p>
        </w:tc>
        <w:tc>
          <w:tcPr>
            <w:tcW w:w="2000" w:type="dxa"/>
            <w:shd w:val="clear" w:color="auto" w:fill="D9E2F3"/>
            <w:tcMar>
              <w:top w:w="60" w:type="dxa"/>
              <w:left w:w="80" w:type="dxa"/>
              <w:bottom w:w="60" w:type="dxa"/>
              <w:right w:w="80" w:type="dxa"/>
            </w:tcMar>
          </w:tcPr>
          <w:p w14:paraId="01D7E371" w14:textId="77777777" w:rsidR="00253979" w:rsidRPr="000370A9" w:rsidRDefault="000370A9" w:rsidP="000370A9">
            <w:pPr>
              <w:spacing w:line="360" w:lineRule="auto"/>
              <w:rPr>
                <w:sz w:val="24"/>
                <w:szCs w:val="24"/>
              </w:rPr>
            </w:pPr>
            <w:r>
              <w:rPr>
                <w:rFonts w:eastAsia="Calibri"/>
                <w:b/>
                <w:bCs/>
                <w:sz w:val="24"/>
                <w:szCs w:val="24"/>
              </w:rPr>
              <w:t>Records</w:t>
            </w:r>
          </w:p>
        </w:tc>
      </w:tr>
      <w:tr w:rsidR="00253979" w:rsidRPr="000370A9" w14:paraId="572190C0" w14:textId="77777777">
        <w:tc>
          <w:tcPr>
            <w:tcW w:w="7360" w:type="dxa"/>
            <w:tcMar>
              <w:top w:w="60" w:type="dxa"/>
              <w:left w:w="80" w:type="dxa"/>
              <w:bottom w:w="60" w:type="dxa"/>
              <w:right w:w="80" w:type="dxa"/>
            </w:tcMar>
          </w:tcPr>
          <w:p w14:paraId="0AAA9D02" w14:textId="77777777" w:rsidR="00253979" w:rsidRPr="000370A9" w:rsidRDefault="000370A9" w:rsidP="000370A9">
            <w:pPr>
              <w:spacing w:line="360" w:lineRule="auto"/>
              <w:rPr>
                <w:sz w:val="24"/>
                <w:szCs w:val="24"/>
              </w:rPr>
            </w:pPr>
            <w:r>
              <w:rPr>
                <w:rFonts w:eastAsia="Calibri"/>
                <w:sz w:val="24"/>
                <w:szCs w:val="24"/>
              </w:rPr>
              <w:t>Identification — Records identified from databases</w:t>
            </w:r>
          </w:p>
        </w:tc>
        <w:tc>
          <w:tcPr>
            <w:tcW w:w="2000" w:type="dxa"/>
            <w:tcMar>
              <w:top w:w="60" w:type="dxa"/>
              <w:left w:w="80" w:type="dxa"/>
              <w:bottom w:w="60" w:type="dxa"/>
              <w:right w:w="80" w:type="dxa"/>
            </w:tcMar>
          </w:tcPr>
          <w:p w14:paraId="4E5612F1" w14:textId="77777777" w:rsidR="00253979" w:rsidRPr="000370A9" w:rsidRDefault="000370A9" w:rsidP="000370A9">
            <w:pPr>
              <w:spacing w:line="360" w:lineRule="auto"/>
              <w:rPr>
                <w:sz w:val="24"/>
                <w:szCs w:val="24"/>
              </w:rPr>
            </w:pPr>
            <w:r>
              <w:rPr>
                <w:rFonts w:eastAsia="Calibri"/>
                <w:sz w:val="24"/>
                <w:szCs w:val="24"/>
              </w:rPr>
              <w:t>1,480</w:t>
            </w:r>
          </w:p>
        </w:tc>
      </w:tr>
      <w:tr w:rsidR="00253979" w:rsidRPr="000370A9" w14:paraId="30731C1F" w14:textId="77777777">
        <w:tc>
          <w:tcPr>
            <w:tcW w:w="7360" w:type="dxa"/>
            <w:tcMar>
              <w:top w:w="60" w:type="dxa"/>
              <w:left w:w="80" w:type="dxa"/>
              <w:bottom w:w="60" w:type="dxa"/>
              <w:right w:w="80" w:type="dxa"/>
            </w:tcMar>
          </w:tcPr>
          <w:p w14:paraId="3DBAF07D" w14:textId="77777777" w:rsidR="00253979" w:rsidRPr="000370A9" w:rsidRDefault="000370A9" w:rsidP="000370A9">
            <w:pPr>
              <w:spacing w:line="360" w:lineRule="auto"/>
              <w:rPr>
                <w:sz w:val="24"/>
                <w:szCs w:val="24"/>
              </w:rPr>
            </w:pPr>
            <w:r>
              <w:rPr>
                <w:rFonts w:eastAsia="Calibri"/>
                <w:sz w:val="24"/>
                <w:szCs w:val="24"/>
              </w:rPr>
              <w:t>Duplicates removed</w:t>
            </w:r>
          </w:p>
        </w:tc>
        <w:tc>
          <w:tcPr>
            <w:tcW w:w="2000" w:type="dxa"/>
            <w:tcMar>
              <w:top w:w="60" w:type="dxa"/>
              <w:left w:w="80" w:type="dxa"/>
              <w:bottom w:w="60" w:type="dxa"/>
              <w:right w:w="80" w:type="dxa"/>
            </w:tcMar>
          </w:tcPr>
          <w:p w14:paraId="47A8C3FA" w14:textId="77777777" w:rsidR="00253979" w:rsidRPr="000370A9" w:rsidRDefault="000370A9" w:rsidP="000370A9">
            <w:pPr>
              <w:spacing w:line="360" w:lineRule="auto"/>
              <w:rPr>
                <w:sz w:val="24"/>
                <w:szCs w:val="24"/>
              </w:rPr>
            </w:pPr>
            <w:r>
              <w:rPr>
                <w:rFonts w:eastAsia="Calibri"/>
                <w:sz w:val="24"/>
                <w:szCs w:val="24"/>
              </w:rPr>
              <w:t>360</w:t>
            </w:r>
          </w:p>
        </w:tc>
      </w:tr>
      <w:tr w:rsidR="00253979" w:rsidRPr="000370A9" w14:paraId="5FCBCAAC" w14:textId="77777777">
        <w:tc>
          <w:tcPr>
            <w:tcW w:w="7360" w:type="dxa"/>
            <w:tcMar>
              <w:top w:w="60" w:type="dxa"/>
              <w:left w:w="80" w:type="dxa"/>
              <w:bottom w:w="60" w:type="dxa"/>
              <w:right w:w="80" w:type="dxa"/>
            </w:tcMar>
          </w:tcPr>
          <w:p w14:paraId="4B0AA3FB" w14:textId="77777777" w:rsidR="00253979" w:rsidRPr="000370A9" w:rsidRDefault="000370A9" w:rsidP="000370A9">
            <w:pPr>
              <w:spacing w:line="360" w:lineRule="auto"/>
              <w:rPr>
                <w:sz w:val="24"/>
                <w:szCs w:val="24"/>
              </w:rPr>
            </w:pPr>
            <w:r>
              <w:rPr>
                <w:rFonts w:eastAsia="Calibri"/>
                <w:sz w:val="24"/>
                <w:szCs w:val="24"/>
              </w:rPr>
              <w:t>Screening — Records screened</w:t>
            </w:r>
          </w:p>
        </w:tc>
        <w:tc>
          <w:tcPr>
            <w:tcW w:w="2000" w:type="dxa"/>
            <w:tcMar>
              <w:top w:w="60" w:type="dxa"/>
              <w:left w:w="80" w:type="dxa"/>
              <w:bottom w:w="60" w:type="dxa"/>
              <w:right w:w="80" w:type="dxa"/>
            </w:tcMar>
          </w:tcPr>
          <w:p w14:paraId="7241C266" w14:textId="77777777" w:rsidR="00253979" w:rsidRPr="000370A9" w:rsidRDefault="000370A9" w:rsidP="000370A9">
            <w:pPr>
              <w:spacing w:line="360" w:lineRule="auto"/>
              <w:rPr>
                <w:sz w:val="24"/>
                <w:szCs w:val="24"/>
              </w:rPr>
            </w:pPr>
            <w:r>
              <w:rPr>
                <w:rFonts w:eastAsia="Calibri"/>
                <w:sz w:val="24"/>
                <w:szCs w:val="24"/>
              </w:rPr>
              <w:t>1,120</w:t>
            </w:r>
          </w:p>
        </w:tc>
      </w:tr>
      <w:tr w:rsidR="00253979" w:rsidRPr="000370A9" w14:paraId="102973BF" w14:textId="77777777">
        <w:tc>
          <w:tcPr>
            <w:tcW w:w="7360" w:type="dxa"/>
            <w:tcMar>
              <w:top w:w="60" w:type="dxa"/>
              <w:left w:w="80" w:type="dxa"/>
              <w:bottom w:w="60" w:type="dxa"/>
              <w:right w:w="80" w:type="dxa"/>
            </w:tcMar>
          </w:tcPr>
          <w:p w14:paraId="282B1FFF" w14:textId="77777777" w:rsidR="00253979" w:rsidRPr="000370A9" w:rsidRDefault="000370A9" w:rsidP="000370A9">
            <w:pPr>
              <w:spacing w:line="360" w:lineRule="auto"/>
              <w:rPr>
                <w:sz w:val="24"/>
                <w:szCs w:val="24"/>
              </w:rPr>
            </w:pPr>
            <w:r>
              <w:rPr>
                <w:rFonts w:eastAsia="Calibri"/>
                <w:sz w:val="24"/>
                <w:szCs w:val="24"/>
              </w:rPr>
              <w:lastRenderedPageBreak/>
              <w:t>Records excluded</w:t>
            </w:r>
          </w:p>
        </w:tc>
        <w:tc>
          <w:tcPr>
            <w:tcW w:w="2000" w:type="dxa"/>
            <w:tcMar>
              <w:top w:w="60" w:type="dxa"/>
              <w:left w:w="80" w:type="dxa"/>
              <w:bottom w:w="60" w:type="dxa"/>
              <w:right w:w="80" w:type="dxa"/>
            </w:tcMar>
          </w:tcPr>
          <w:p w14:paraId="1977489D" w14:textId="77777777" w:rsidR="00253979" w:rsidRPr="000370A9" w:rsidRDefault="000370A9" w:rsidP="000370A9">
            <w:pPr>
              <w:spacing w:line="360" w:lineRule="auto"/>
              <w:rPr>
                <w:sz w:val="24"/>
                <w:szCs w:val="24"/>
              </w:rPr>
            </w:pPr>
            <w:r>
              <w:rPr>
                <w:rFonts w:eastAsia="Calibri"/>
                <w:sz w:val="24"/>
                <w:szCs w:val="24"/>
              </w:rPr>
              <w:t>940</w:t>
            </w:r>
          </w:p>
        </w:tc>
      </w:tr>
      <w:tr w:rsidR="00253979" w:rsidRPr="000370A9" w14:paraId="487B8ECB" w14:textId="77777777">
        <w:tc>
          <w:tcPr>
            <w:tcW w:w="7360" w:type="dxa"/>
            <w:tcMar>
              <w:top w:w="60" w:type="dxa"/>
              <w:left w:w="80" w:type="dxa"/>
              <w:bottom w:w="60" w:type="dxa"/>
              <w:right w:w="80" w:type="dxa"/>
            </w:tcMar>
          </w:tcPr>
          <w:p w14:paraId="214A2F85" w14:textId="77777777" w:rsidR="00253979" w:rsidRPr="000370A9" w:rsidRDefault="000370A9" w:rsidP="000370A9">
            <w:pPr>
              <w:spacing w:line="360" w:lineRule="auto"/>
              <w:rPr>
                <w:sz w:val="24"/>
                <w:szCs w:val="24"/>
              </w:rPr>
            </w:pPr>
            <w:r>
              <w:rPr>
                <w:rFonts w:eastAsia="Calibri"/>
                <w:sz w:val="24"/>
                <w:szCs w:val="24"/>
              </w:rPr>
              <w:t>Eligibility — Full-text articles assessed</w:t>
            </w:r>
          </w:p>
        </w:tc>
        <w:tc>
          <w:tcPr>
            <w:tcW w:w="2000" w:type="dxa"/>
            <w:tcMar>
              <w:top w:w="60" w:type="dxa"/>
              <w:left w:w="80" w:type="dxa"/>
              <w:bottom w:w="60" w:type="dxa"/>
              <w:right w:w="80" w:type="dxa"/>
            </w:tcMar>
          </w:tcPr>
          <w:p w14:paraId="360DBF95" w14:textId="77777777" w:rsidR="00253979" w:rsidRPr="000370A9" w:rsidRDefault="000370A9" w:rsidP="000370A9">
            <w:pPr>
              <w:spacing w:line="360" w:lineRule="auto"/>
              <w:rPr>
                <w:sz w:val="24"/>
                <w:szCs w:val="24"/>
              </w:rPr>
            </w:pPr>
            <w:r>
              <w:rPr>
                <w:rFonts w:eastAsia="Calibri"/>
                <w:sz w:val="24"/>
                <w:szCs w:val="24"/>
              </w:rPr>
              <w:t>180</w:t>
            </w:r>
          </w:p>
        </w:tc>
      </w:tr>
      <w:tr w:rsidR="00253979" w:rsidRPr="000370A9" w14:paraId="069BBA91" w14:textId="77777777">
        <w:tc>
          <w:tcPr>
            <w:tcW w:w="7360" w:type="dxa"/>
            <w:tcMar>
              <w:top w:w="60" w:type="dxa"/>
              <w:left w:w="80" w:type="dxa"/>
              <w:bottom w:w="60" w:type="dxa"/>
              <w:right w:w="80" w:type="dxa"/>
            </w:tcMar>
          </w:tcPr>
          <w:p w14:paraId="4721EF84" w14:textId="77777777" w:rsidR="00253979" w:rsidRPr="000370A9" w:rsidRDefault="000370A9" w:rsidP="000370A9">
            <w:pPr>
              <w:spacing w:line="360" w:lineRule="auto"/>
              <w:rPr>
                <w:sz w:val="24"/>
                <w:szCs w:val="24"/>
              </w:rPr>
            </w:pPr>
            <w:r>
              <w:rPr>
                <w:rFonts w:eastAsia="Calibri"/>
                <w:sz w:val="24"/>
                <w:szCs w:val="24"/>
              </w:rPr>
              <w:t>Full-text articles excluded, with reasons</w:t>
            </w:r>
          </w:p>
        </w:tc>
        <w:tc>
          <w:tcPr>
            <w:tcW w:w="2000" w:type="dxa"/>
            <w:tcMar>
              <w:top w:w="60" w:type="dxa"/>
              <w:left w:w="80" w:type="dxa"/>
              <w:bottom w:w="60" w:type="dxa"/>
              <w:right w:w="80" w:type="dxa"/>
            </w:tcMar>
          </w:tcPr>
          <w:p w14:paraId="7BEE78C3" w14:textId="77777777" w:rsidR="00253979" w:rsidRPr="000370A9" w:rsidRDefault="000370A9" w:rsidP="000370A9">
            <w:pPr>
              <w:spacing w:line="360" w:lineRule="auto"/>
              <w:rPr>
                <w:sz w:val="24"/>
                <w:szCs w:val="24"/>
              </w:rPr>
            </w:pPr>
            <w:r>
              <w:rPr>
                <w:rFonts w:eastAsia="Calibri"/>
                <w:sz w:val="24"/>
                <w:szCs w:val="24"/>
              </w:rPr>
              <w:t>158</w:t>
            </w:r>
          </w:p>
        </w:tc>
      </w:tr>
      <w:tr w:rsidR="00253979" w:rsidRPr="000370A9" w14:paraId="137255E1" w14:textId="77777777">
        <w:tc>
          <w:tcPr>
            <w:tcW w:w="7360" w:type="dxa"/>
            <w:tcMar>
              <w:top w:w="60" w:type="dxa"/>
              <w:left w:w="80" w:type="dxa"/>
              <w:bottom w:w="60" w:type="dxa"/>
              <w:right w:w="80" w:type="dxa"/>
            </w:tcMar>
          </w:tcPr>
          <w:p w14:paraId="1F510B8B" w14:textId="77777777" w:rsidR="00253979" w:rsidRPr="000370A9" w:rsidRDefault="000370A9" w:rsidP="000370A9">
            <w:pPr>
              <w:spacing w:line="360" w:lineRule="auto"/>
              <w:rPr>
                <w:sz w:val="24"/>
                <w:szCs w:val="24"/>
              </w:rPr>
            </w:pPr>
            <w:r>
              <w:rPr>
                <w:rFonts w:eastAsia="Calibri"/>
                <w:sz w:val="24"/>
                <w:szCs w:val="24"/>
              </w:rPr>
              <w:t>Included — Studies included in qualitative synthesis</w:t>
            </w:r>
          </w:p>
        </w:tc>
        <w:tc>
          <w:tcPr>
            <w:tcW w:w="2000" w:type="dxa"/>
            <w:tcMar>
              <w:top w:w="60" w:type="dxa"/>
              <w:left w:w="80" w:type="dxa"/>
              <w:bottom w:w="60" w:type="dxa"/>
              <w:right w:w="80" w:type="dxa"/>
            </w:tcMar>
          </w:tcPr>
          <w:p w14:paraId="03349630" w14:textId="6C260B00" w:rsidR="00253979" w:rsidRPr="000370A9" w:rsidRDefault="005C0D07" w:rsidP="000370A9">
            <w:pPr>
              <w:spacing w:line="360" w:lineRule="auto"/>
              <w:rPr>
                <w:sz w:val="24"/>
                <w:szCs w:val="24"/>
              </w:rPr>
            </w:pPr>
            <w:r>
              <w:rPr>
                <w:sz w:val="24"/>
                <w:szCs w:val="24"/>
              </w:rPr>
              <w:t>34</w:t>
            </w:r>
          </w:p>
        </w:tc>
      </w:tr>
    </w:tbl>
    <w:p w14:paraId="24555330" w14:textId="77777777" w:rsidR="00253979" w:rsidRPr="000370A9" w:rsidRDefault="00253979" w:rsidP="000370A9">
      <w:pPr>
        <w:spacing w:after="200" w:line="360" w:lineRule="auto"/>
        <w:jc w:val="both"/>
        <w:rPr>
          <w:sz w:val="24"/>
          <w:szCs w:val="24"/>
        </w:rPr>
      </w:pPr>
    </w:p>
    <w:p w14:paraId="786516A0" w14:textId="77777777" w:rsidR="00253979" w:rsidRPr="000370A9" w:rsidRDefault="000370A9" w:rsidP="000370A9">
      <w:pPr>
        <w:spacing w:after="200" w:line="360" w:lineRule="auto"/>
        <w:jc w:val="both"/>
        <w:rPr>
          <w:sz w:val="24"/>
          <w:szCs w:val="24"/>
        </w:rPr>
      </w:pPr>
      <w:r>
        <w:rPr>
          <w:rFonts w:eastAsia="Calibri"/>
          <w:b/>
          <w:bCs/>
          <w:sz w:val="24"/>
          <w:szCs w:val="24"/>
        </w:rPr>
        <w:t>Table 2.8: Breakdown of Initial Database Search Results</w:t>
      </w:r>
    </w:p>
    <w:p w14:paraId="5921EF2F" w14:textId="77777777" w:rsidR="00253979" w:rsidRPr="000370A9" w:rsidRDefault="000370A9" w:rsidP="000370A9">
      <w:pPr>
        <w:spacing w:after="200" w:line="360" w:lineRule="auto"/>
        <w:jc w:val="both"/>
        <w:rPr>
          <w:sz w:val="24"/>
          <w:szCs w:val="24"/>
        </w:rPr>
      </w:pPr>
      <w:r>
        <w:rPr>
          <w:rFonts w:eastAsia="Calibri"/>
          <w:sz w:val="24"/>
          <w:szCs w:val="24"/>
        </w:rPr>
        <w:t>A search across six academic databases produced a total of 1,480 records, as shown below.</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560"/>
        <w:gridCol w:w="4400"/>
        <w:gridCol w:w="1400"/>
      </w:tblGrid>
      <w:tr w:rsidR="00253979" w:rsidRPr="000370A9" w14:paraId="7F1F8475" w14:textId="77777777">
        <w:tc>
          <w:tcPr>
            <w:tcW w:w="3560" w:type="dxa"/>
            <w:shd w:val="clear" w:color="auto" w:fill="D9E2F3"/>
            <w:tcMar>
              <w:top w:w="60" w:type="dxa"/>
              <w:left w:w="80" w:type="dxa"/>
              <w:bottom w:w="60" w:type="dxa"/>
              <w:right w:w="80" w:type="dxa"/>
            </w:tcMar>
          </w:tcPr>
          <w:p w14:paraId="05E1D00B" w14:textId="77777777" w:rsidR="00253979" w:rsidRPr="000370A9" w:rsidRDefault="000370A9" w:rsidP="000370A9">
            <w:pPr>
              <w:spacing w:line="360" w:lineRule="auto"/>
              <w:rPr>
                <w:sz w:val="24"/>
                <w:szCs w:val="24"/>
              </w:rPr>
            </w:pPr>
            <w:r>
              <w:rPr>
                <w:rFonts w:eastAsia="Calibri"/>
                <w:b/>
                <w:bCs/>
                <w:sz w:val="24"/>
                <w:szCs w:val="24"/>
              </w:rPr>
              <w:t>Database</w:t>
            </w:r>
          </w:p>
        </w:tc>
        <w:tc>
          <w:tcPr>
            <w:tcW w:w="4400" w:type="dxa"/>
            <w:shd w:val="clear" w:color="auto" w:fill="D9E2F3"/>
            <w:tcMar>
              <w:top w:w="60" w:type="dxa"/>
              <w:left w:w="80" w:type="dxa"/>
              <w:bottom w:w="60" w:type="dxa"/>
              <w:right w:w="80" w:type="dxa"/>
            </w:tcMar>
          </w:tcPr>
          <w:p w14:paraId="42F6F409" w14:textId="77777777" w:rsidR="00253979" w:rsidRPr="000370A9" w:rsidRDefault="000370A9" w:rsidP="000370A9">
            <w:pPr>
              <w:spacing w:line="360" w:lineRule="auto"/>
              <w:rPr>
                <w:sz w:val="24"/>
                <w:szCs w:val="24"/>
              </w:rPr>
            </w:pPr>
            <w:r>
              <w:rPr>
                <w:rFonts w:eastAsia="Calibri"/>
                <w:b/>
                <w:bCs/>
                <w:sz w:val="24"/>
                <w:szCs w:val="24"/>
              </w:rPr>
              <w:t>Application of Search Filters and Keywords</w:t>
            </w:r>
          </w:p>
        </w:tc>
        <w:tc>
          <w:tcPr>
            <w:tcW w:w="1400" w:type="dxa"/>
            <w:shd w:val="clear" w:color="auto" w:fill="D9E2F3"/>
            <w:tcMar>
              <w:top w:w="60" w:type="dxa"/>
              <w:left w:w="80" w:type="dxa"/>
              <w:bottom w:w="60" w:type="dxa"/>
              <w:right w:w="80" w:type="dxa"/>
            </w:tcMar>
          </w:tcPr>
          <w:p w14:paraId="16FCE666" w14:textId="77777777" w:rsidR="00253979" w:rsidRPr="000370A9" w:rsidRDefault="000370A9" w:rsidP="000370A9">
            <w:pPr>
              <w:spacing w:line="360" w:lineRule="auto"/>
              <w:rPr>
                <w:sz w:val="24"/>
                <w:szCs w:val="24"/>
              </w:rPr>
            </w:pPr>
            <w:r>
              <w:rPr>
                <w:rFonts w:eastAsia="Calibri"/>
                <w:b/>
                <w:bCs/>
                <w:sz w:val="24"/>
                <w:szCs w:val="24"/>
              </w:rPr>
              <w:t>Results</w:t>
            </w:r>
          </w:p>
        </w:tc>
      </w:tr>
      <w:tr w:rsidR="00253979" w:rsidRPr="000370A9" w14:paraId="4436449A" w14:textId="77777777">
        <w:tc>
          <w:tcPr>
            <w:tcW w:w="3560" w:type="dxa"/>
            <w:tcMar>
              <w:top w:w="60" w:type="dxa"/>
              <w:left w:w="80" w:type="dxa"/>
              <w:bottom w:w="60" w:type="dxa"/>
              <w:right w:w="80" w:type="dxa"/>
            </w:tcMar>
          </w:tcPr>
          <w:p w14:paraId="77297F8D" w14:textId="77777777" w:rsidR="00253979" w:rsidRPr="000370A9" w:rsidRDefault="000370A9" w:rsidP="000370A9">
            <w:pPr>
              <w:spacing w:line="360" w:lineRule="auto"/>
              <w:rPr>
                <w:sz w:val="24"/>
                <w:szCs w:val="24"/>
              </w:rPr>
            </w:pPr>
            <w:r>
              <w:rPr>
                <w:rFonts w:eastAsia="Calibri"/>
                <w:sz w:val="24"/>
                <w:szCs w:val="24"/>
              </w:rPr>
              <w:t>Scopus</w:t>
            </w:r>
          </w:p>
        </w:tc>
        <w:tc>
          <w:tcPr>
            <w:tcW w:w="4400" w:type="dxa"/>
            <w:tcMar>
              <w:top w:w="60" w:type="dxa"/>
              <w:left w:w="80" w:type="dxa"/>
              <w:bottom w:w="60" w:type="dxa"/>
              <w:right w:w="80" w:type="dxa"/>
            </w:tcMar>
          </w:tcPr>
          <w:p w14:paraId="0E0F3897" w14:textId="77777777" w:rsidR="00253979" w:rsidRPr="000370A9" w:rsidRDefault="000370A9" w:rsidP="000370A9">
            <w:pPr>
              <w:spacing w:line="360" w:lineRule="auto"/>
              <w:rPr>
                <w:sz w:val="24"/>
                <w:szCs w:val="24"/>
              </w:rPr>
            </w:pPr>
            <w:r>
              <w:rPr>
                <w:rFonts w:eastAsia="Calibri"/>
                <w:sz w:val="24"/>
                <w:szCs w:val="24"/>
              </w:rPr>
              <w:t>Title, Abstract, Keywords</w:t>
            </w:r>
          </w:p>
        </w:tc>
        <w:tc>
          <w:tcPr>
            <w:tcW w:w="1400" w:type="dxa"/>
            <w:tcMar>
              <w:top w:w="60" w:type="dxa"/>
              <w:left w:w="80" w:type="dxa"/>
              <w:bottom w:w="60" w:type="dxa"/>
              <w:right w:w="80" w:type="dxa"/>
            </w:tcMar>
          </w:tcPr>
          <w:p w14:paraId="78FAAFC6" w14:textId="77777777" w:rsidR="00253979" w:rsidRPr="000370A9" w:rsidRDefault="000370A9" w:rsidP="000370A9">
            <w:pPr>
              <w:spacing w:line="360" w:lineRule="auto"/>
              <w:rPr>
                <w:sz w:val="24"/>
                <w:szCs w:val="24"/>
              </w:rPr>
            </w:pPr>
            <w:r>
              <w:rPr>
                <w:rFonts w:eastAsia="Calibri"/>
                <w:sz w:val="24"/>
                <w:szCs w:val="24"/>
              </w:rPr>
              <w:t>340</w:t>
            </w:r>
          </w:p>
        </w:tc>
      </w:tr>
      <w:tr w:rsidR="00253979" w:rsidRPr="000370A9" w14:paraId="2D27B123" w14:textId="77777777">
        <w:tc>
          <w:tcPr>
            <w:tcW w:w="3560" w:type="dxa"/>
            <w:tcMar>
              <w:top w:w="60" w:type="dxa"/>
              <w:left w:w="80" w:type="dxa"/>
              <w:bottom w:w="60" w:type="dxa"/>
              <w:right w:w="80" w:type="dxa"/>
            </w:tcMar>
          </w:tcPr>
          <w:p w14:paraId="70F2A394" w14:textId="77777777" w:rsidR="00253979" w:rsidRPr="000370A9" w:rsidRDefault="000370A9" w:rsidP="000370A9">
            <w:pPr>
              <w:spacing w:line="360" w:lineRule="auto"/>
              <w:rPr>
                <w:sz w:val="24"/>
                <w:szCs w:val="24"/>
              </w:rPr>
            </w:pPr>
            <w:r>
              <w:rPr>
                <w:rFonts w:eastAsia="Calibri"/>
                <w:sz w:val="24"/>
                <w:szCs w:val="24"/>
              </w:rPr>
              <w:t>Web of Science</w:t>
            </w:r>
          </w:p>
        </w:tc>
        <w:tc>
          <w:tcPr>
            <w:tcW w:w="4400" w:type="dxa"/>
            <w:tcMar>
              <w:top w:w="60" w:type="dxa"/>
              <w:left w:w="80" w:type="dxa"/>
              <w:bottom w:w="60" w:type="dxa"/>
              <w:right w:w="80" w:type="dxa"/>
            </w:tcMar>
          </w:tcPr>
          <w:p w14:paraId="277A6A97" w14:textId="77777777" w:rsidR="00253979" w:rsidRPr="000370A9" w:rsidRDefault="000370A9" w:rsidP="000370A9">
            <w:pPr>
              <w:spacing w:line="360" w:lineRule="auto"/>
              <w:rPr>
                <w:sz w:val="24"/>
                <w:szCs w:val="24"/>
              </w:rPr>
            </w:pPr>
            <w:r>
              <w:rPr>
                <w:rFonts w:eastAsia="Calibri"/>
                <w:sz w:val="24"/>
                <w:szCs w:val="24"/>
              </w:rPr>
              <w:t>Topic (Title, Abstract, Keywords)</w:t>
            </w:r>
          </w:p>
        </w:tc>
        <w:tc>
          <w:tcPr>
            <w:tcW w:w="1400" w:type="dxa"/>
            <w:tcMar>
              <w:top w:w="60" w:type="dxa"/>
              <w:left w:w="80" w:type="dxa"/>
              <w:bottom w:w="60" w:type="dxa"/>
              <w:right w:w="80" w:type="dxa"/>
            </w:tcMar>
          </w:tcPr>
          <w:p w14:paraId="1E57E638" w14:textId="77777777" w:rsidR="00253979" w:rsidRPr="000370A9" w:rsidRDefault="000370A9" w:rsidP="000370A9">
            <w:pPr>
              <w:spacing w:line="360" w:lineRule="auto"/>
              <w:rPr>
                <w:sz w:val="24"/>
                <w:szCs w:val="24"/>
              </w:rPr>
            </w:pPr>
            <w:r>
              <w:rPr>
                <w:rFonts w:eastAsia="Calibri"/>
                <w:sz w:val="24"/>
                <w:szCs w:val="24"/>
              </w:rPr>
              <w:t>280</w:t>
            </w:r>
          </w:p>
        </w:tc>
      </w:tr>
      <w:tr w:rsidR="00253979" w:rsidRPr="000370A9" w14:paraId="2D8935F0" w14:textId="77777777">
        <w:tc>
          <w:tcPr>
            <w:tcW w:w="3560" w:type="dxa"/>
            <w:tcMar>
              <w:top w:w="60" w:type="dxa"/>
              <w:left w:w="80" w:type="dxa"/>
              <w:bottom w:w="60" w:type="dxa"/>
              <w:right w:w="80" w:type="dxa"/>
            </w:tcMar>
          </w:tcPr>
          <w:p w14:paraId="66C3476E" w14:textId="77777777" w:rsidR="00253979" w:rsidRPr="000370A9" w:rsidRDefault="000370A9" w:rsidP="000370A9">
            <w:pPr>
              <w:spacing w:line="360" w:lineRule="auto"/>
              <w:rPr>
                <w:sz w:val="24"/>
                <w:szCs w:val="24"/>
              </w:rPr>
            </w:pPr>
            <w:r>
              <w:rPr>
                <w:rFonts w:eastAsia="Calibri"/>
                <w:sz w:val="24"/>
                <w:szCs w:val="24"/>
              </w:rPr>
              <w:t>ScienceDirect (Elsevier)</w:t>
            </w:r>
          </w:p>
        </w:tc>
        <w:tc>
          <w:tcPr>
            <w:tcW w:w="4400" w:type="dxa"/>
            <w:tcMar>
              <w:top w:w="60" w:type="dxa"/>
              <w:left w:w="80" w:type="dxa"/>
              <w:bottom w:w="60" w:type="dxa"/>
              <w:right w:w="80" w:type="dxa"/>
            </w:tcMar>
          </w:tcPr>
          <w:p w14:paraId="6C983E3F" w14:textId="77777777" w:rsidR="00253979" w:rsidRPr="000370A9" w:rsidRDefault="000370A9" w:rsidP="000370A9">
            <w:pPr>
              <w:spacing w:line="360" w:lineRule="auto"/>
              <w:rPr>
                <w:sz w:val="24"/>
                <w:szCs w:val="24"/>
              </w:rPr>
            </w:pPr>
            <w:r>
              <w:rPr>
                <w:rFonts w:eastAsia="Calibri"/>
                <w:sz w:val="24"/>
                <w:szCs w:val="24"/>
              </w:rPr>
              <w:t>Title, Abstract, specified keywords</w:t>
            </w:r>
          </w:p>
        </w:tc>
        <w:tc>
          <w:tcPr>
            <w:tcW w:w="1400" w:type="dxa"/>
            <w:tcMar>
              <w:top w:w="60" w:type="dxa"/>
              <w:left w:w="80" w:type="dxa"/>
              <w:bottom w:w="60" w:type="dxa"/>
              <w:right w:w="80" w:type="dxa"/>
            </w:tcMar>
          </w:tcPr>
          <w:p w14:paraId="2798D752" w14:textId="77777777" w:rsidR="00253979" w:rsidRPr="000370A9" w:rsidRDefault="000370A9" w:rsidP="000370A9">
            <w:pPr>
              <w:spacing w:line="360" w:lineRule="auto"/>
              <w:rPr>
                <w:sz w:val="24"/>
                <w:szCs w:val="24"/>
              </w:rPr>
            </w:pPr>
            <w:r>
              <w:rPr>
                <w:rFonts w:eastAsia="Calibri"/>
                <w:sz w:val="24"/>
                <w:szCs w:val="24"/>
              </w:rPr>
              <w:t>310</w:t>
            </w:r>
          </w:p>
        </w:tc>
      </w:tr>
      <w:tr w:rsidR="00253979" w:rsidRPr="000370A9" w14:paraId="4151A056" w14:textId="77777777">
        <w:tc>
          <w:tcPr>
            <w:tcW w:w="3560" w:type="dxa"/>
            <w:tcMar>
              <w:top w:w="60" w:type="dxa"/>
              <w:left w:w="80" w:type="dxa"/>
              <w:bottom w:w="60" w:type="dxa"/>
              <w:right w:w="80" w:type="dxa"/>
            </w:tcMar>
          </w:tcPr>
          <w:p w14:paraId="03E7072A" w14:textId="77777777" w:rsidR="00253979" w:rsidRPr="000370A9" w:rsidRDefault="000370A9" w:rsidP="000370A9">
            <w:pPr>
              <w:spacing w:line="360" w:lineRule="auto"/>
              <w:rPr>
                <w:sz w:val="24"/>
                <w:szCs w:val="24"/>
              </w:rPr>
            </w:pPr>
            <w:r>
              <w:rPr>
                <w:rFonts w:eastAsia="Calibri"/>
                <w:sz w:val="24"/>
                <w:szCs w:val="24"/>
              </w:rPr>
              <w:t>Emerald Insight</w:t>
            </w:r>
          </w:p>
        </w:tc>
        <w:tc>
          <w:tcPr>
            <w:tcW w:w="4400" w:type="dxa"/>
            <w:tcMar>
              <w:top w:w="60" w:type="dxa"/>
              <w:left w:w="80" w:type="dxa"/>
              <w:bottom w:w="60" w:type="dxa"/>
              <w:right w:w="80" w:type="dxa"/>
            </w:tcMar>
          </w:tcPr>
          <w:p w14:paraId="510A9AF7" w14:textId="77777777" w:rsidR="00253979" w:rsidRPr="000370A9" w:rsidRDefault="000370A9" w:rsidP="000370A9">
            <w:pPr>
              <w:spacing w:line="360" w:lineRule="auto"/>
              <w:rPr>
                <w:sz w:val="24"/>
                <w:szCs w:val="24"/>
              </w:rPr>
            </w:pPr>
            <w:r>
              <w:rPr>
                <w:rFonts w:eastAsia="Calibri"/>
                <w:sz w:val="24"/>
                <w:szCs w:val="24"/>
              </w:rPr>
              <w:t>Abstract and Title</w:t>
            </w:r>
          </w:p>
        </w:tc>
        <w:tc>
          <w:tcPr>
            <w:tcW w:w="1400" w:type="dxa"/>
            <w:tcMar>
              <w:top w:w="60" w:type="dxa"/>
              <w:left w:w="80" w:type="dxa"/>
              <w:bottom w:w="60" w:type="dxa"/>
              <w:right w:w="80" w:type="dxa"/>
            </w:tcMar>
          </w:tcPr>
          <w:p w14:paraId="1EE7E53A" w14:textId="77777777" w:rsidR="00253979" w:rsidRPr="000370A9" w:rsidRDefault="000370A9" w:rsidP="000370A9">
            <w:pPr>
              <w:spacing w:line="360" w:lineRule="auto"/>
              <w:rPr>
                <w:sz w:val="24"/>
                <w:szCs w:val="24"/>
              </w:rPr>
            </w:pPr>
            <w:r>
              <w:rPr>
                <w:rFonts w:eastAsia="Calibri"/>
                <w:sz w:val="24"/>
                <w:szCs w:val="24"/>
              </w:rPr>
              <w:t>190</w:t>
            </w:r>
          </w:p>
        </w:tc>
      </w:tr>
      <w:tr w:rsidR="00253979" w:rsidRPr="000370A9" w14:paraId="1916BF01" w14:textId="77777777">
        <w:tc>
          <w:tcPr>
            <w:tcW w:w="3560" w:type="dxa"/>
            <w:tcMar>
              <w:top w:w="60" w:type="dxa"/>
              <w:left w:w="80" w:type="dxa"/>
              <w:bottom w:w="60" w:type="dxa"/>
              <w:right w:w="80" w:type="dxa"/>
            </w:tcMar>
          </w:tcPr>
          <w:p w14:paraId="7380DAE8" w14:textId="77777777" w:rsidR="00253979" w:rsidRPr="000370A9" w:rsidRDefault="000370A9" w:rsidP="000370A9">
            <w:pPr>
              <w:spacing w:line="360" w:lineRule="auto"/>
              <w:rPr>
                <w:sz w:val="24"/>
                <w:szCs w:val="24"/>
              </w:rPr>
            </w:pPr>
            <w:r>
              <w:rPr>
                <w:rFonts w:eastAsia="Calibri"/>
                <w:sz w:val="24"/>
                <w:szCs w:val="24"/>
              </w:rPr>
              <w:t>SpringerLink</w:t>
            </w:r>
          </w:p>
        </w:tc>
        <w:tc>
          <w:tcPr>
            <w:tcW w:w="4400" w:type="dxa"/>
            <w:tcMar>
              <w:top w:w="60" w:type="dxa"/>
              <w:left w:w="80" w:type="dxa"/>
              <w:bottom w:w="60" w:type="dxa"/>
              <w:right w:w="80" w:type="dxa"/>
            </w:tcMar>
          </w:tcPr>
          <w:p w14:paraId="315AE40D" w14:textId="77777777" w:rsidR="00253979" w:rsidRPr="000370A9" w:rsidRDefault="000370A9" w:rsidP="000370A9">
            <w:pPr>
              <w:spacing w:line="360" w:lineRule="auto"/>
              <w:rPr>
                <w:sz w:val="24"/>
                <w:szCs w:val="24"/>
              </w:rPr>
            </w:pPr>
            <w:r>
              <w:rPr>
                <w:rFonts w:eastAsia="Calibri"/>
                <w:sz w:val="24"/>
                <w:szCs w:val="24"/>
              </w:rPr>
              <w:t>Content and Abstract</w:t>
            </w:r>
          </w:p>
        </w:tc>
        <w:tc>
          <w:tcPr>
            <w:tcW w:w="1400" w:type="dxa"/>
            <w:tcMar>
              <w:top w:w="60" w:type="dxa"/>
              <w:left w:w="80" w:type="dxa"/>
              <w:bottom w:w="60" w:type="dxa"/>
              <w:right w:w="80" w:type="dxa"/>
            </w:tcMar>
          </w:tcPr>
          <w:p w14:paraId="06EBA49D" w14:textId="77777777" w:rsidR="00253979" w:rsidRPr="000370A9" w:rsidRDefault="000370A9" w:rsidP="000370A9">
            <w:pPr>
              <w:spacing w:line="360" w:lineRule="auto"/>
              <w:rPr>
                <w:sz w:val="24"/>
                <w:szCs w:val="24"/>
              </w:rPr>
            </w:pPr>
            <w:r>
              <w:rPr>
                <w:rFonts w:eastAsia="Calibri"/>
                <w:sz w:val="24"/>
                <w:szCs w:val="24"/>
              </w:rPr>
              <w:t>210</w:t>
            </w:r>
          </w:p>
        </w:tc>
      </w:tr>
      <w:tr w:rsidR="00253979" w:rsidRPr="000370A9" w14:paraId="46DB7744" w14:textId="77777777">
        <w:tc>
          <w:tcPr>
            <w:tcW w:w="3560" w:type="dxa"/>
            <w:tcMar>
              <w:top w:w="60" w:type="dxa"/>
              <w:left w:w="80" w:type="dxa"/>
              <w:bottom w:w="60" w:type="dxa"/>
              <w:right w:w="80" w:type="dxa"/>
            </w:tcMar>
          </w:tcPr>
          <w:p w14:paraId="18AA4409" w14:textId="77777777" w:rsidR="00253979" w:rsidRPr="000370A9" w:rsidRDefault="000370A9" w:rsidP="000370A9">
            <w:pPr>
              <w:spacing w:line="360" w:lineRule="auto"/>
              <w:rPr>
                <w:sz w:val="24"/>
                <w:szCs w:val="24"/>
              </w:rPr>
            </w:pPr>
            <w:r>
              <w:rPr>
                <w:rFonts w:eastAsia="Calibri"/>
                <w:sz w:val="24"/>
                <w:szCs w:val="24"/>
              </w:rPr>
              <w:t>Google Scholar</w:t>
            </w:r>
          </w:p>
        </w:tc>
        <w:tc>
          <w:tcPr>
            <w:tcW w:w="4400" w:type="dxa"/>
            <w:tcMar>
              <w:top w:w="60" w:type="dxa"/>
              <w:left w:w="80" w:type="dxa"/>
              <w:bottom w:w="60" w:type="dxa"/>
              <w:right w:w="80" w:type="dxa"/>
            </w:tcMar>
          </w:tcPr>
          <w:p w14:paraId="5700C95C" w14:textId="77777777" w:rsidR="00253979" w:rsidRPr="000370A9" w:rsidRDefault="000370A9" w:rsidP="000370A9">
            <w:pPr>
              <w:spacing w:line="360" w:lineRule="auto"/>
              <w:rPr>
                <w:sz w:val="24"/>
                <w:szCs w:val="24"/>
              </w:rPr>
            </w:pPr>
            <w:r>
              <w:rPr>
                <w:rFonts w:eastAsia="Calibri"/>
                <w:sz w:val="24"/>
                <w:szCs w:val="24"/>
              </w:rPr>
              <w:t>Title and broad keyword matches (first 15 pages)</w:t>
            </w:r>
          </w:p>
        </w:tc>
        <w:tc>
          <w:tcPr>
            <w:tcW w:w="1400" w:type="dxa"/>
            <w:tcMar>
              <w:top w:w="60" w:type="dxa"/>
              <w:left w:w="80" w:type="dxa"/>
              <w:bottom w:w="60" w:type="dxa"/>
              <w:right w:w="80" w:type="dxa"/>
            </w:tcMar>
          </w:tcPr>
          <w:p w14:paraId="5439C22F" w14:textId="77777777" w:rsidR="00253979" w:rsidRPr="000370A9" w:rsidRDefault="000370A9" w:rsidP="000370A9">
            <w:pPr>
              <w:spacing w:line="360" w:lineRule="auto"/>
              <w:rPr>
                <w:sz w:val="24"/>
                <w:szCs w:val="24"/>
              </w:rPr>
            </w:pPr>
            <w:r>
              <w:rPr>
                <w:rFonts w:eastAsia="Calibri"/>
                <w:sz w:val="24"/>
                <w:szCs w:val="24"/>
              </w:rPr>
              <w:t>150</w:t>
            </w:r>
          </w:p>
        </w:tc>
      </w:tr>
    </w:tbl>
    <w:p w14:paraId="6C7B3EA5" w14:textId="77777777" w:rsidR="00253979" w:rsidRPr="000370A9" w:rsidRDefault="00253979" w:rsidP="000370A9">
      <w:pPr>
        <w:spacing w:after="200" w:line="360" w:lineRule="auto"/>
        <w:jc w:val="both"/>
        <w:rPr>
          <w:sz w:val="24"/>
          <w:szCs w:val="24"/>
        </w:rPr>
      </w:pPr>
    </w:p>
    <w:p w14:paraId="4F1F4311" w14:textId="77777777" w:rsidR="00253979" w:rsidRPr="000370A9" w:rsidRDefault="000370A9" w:rsidP="000370A9">
      <w:pPr>
        <w:pStyle w:val="Heading2"/>
        <w:spacing w:before="280" w:after="160" w:line="360" w:lineRule="auto"/>
        <w:rPr>
          <w:sz w:val="24"/>
          <w:szCs w:val="24"/>
        </w:rPr>
      </w:pPr>
      <w:r>
        <w:rPr>
          <w:rFonts w:eastAsia="Calibri"/>
          <w:b/>
          <w:bCs/>
          <w:sz w:val="24"/>
          <w:szCs w:val="24"/>
        </w:rPr>
        <w:t>2.8 Quality Appraisal — CASP</w:t>
      </w:r>
    </w:p>
    <w:p w14:paraId="69E98442" w14:textId="77777777" w:rsidR="00253979" w:rsidRDefault="00253979" w:rsidP="000370A9">
      <w:pPr>
        <w:spacing w:line="360" w:lineRule="auto"/>
        <w:rPr>
          <w:rFonts w:eastAsia="Calibri"/>
          <w:sz w:val="24"/>
          <w:szCs w:val="24"/>
        </w:rPr>
      </w:pPr>
    </w:p>
    <w:p w14:paraId="6162A164" w14:textId="5C402D6E" w:rsidR="00791097" w:rsidRPr="00094076" w:rsidRDefault="00791097" w:rsidP="00791097">
      <w:pPr>
        <w:pStyle w:val="ListParagraph"/>
        <w:spacing w:line="360" w:lineRule="auto"/>
        <w:rPr>
          <w:sz w:val="24"/>
          <w:szCs w:val="24"/>
        </w:rPr>
        <w:sectPr w:rsidR="00791097" w:rsidRPr="0009407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20"/>
          <w:docGrid w:linePitch="360"/>
        </w:sectPr>
      </w:pPr>
      <w:r>
        <w:rPr>
          <w:sz w:val="24"/>
          <w:szCs w:val="24"/>
        </w:rPr>
        <w:t>Study quality was checked using Critical Appraisal Skills Programme (CASP) tools matched to each study setup. The review looked at key areas like research aims, study setup, sampling, data collection, ethical issues, bias, analysis, results, and overall value. Each study was given a score from 1 (very low quality) to 5 (excellent) based on these points. These ratings are listed in the data extraction table and were used to help guide the final findings.</w:t>
      </w:r>
    </w:p>
    <w:p w14:paraId="43927029" w14:textId="77777777" w:rsidR="00253979" w:rsidRPr="000370A9" w:rsidRDefault="000370A9" w:rsidP="000370A9">
      <w:pPr>
        <w:pStyle w:val="Heading2"/>
        <w:spacing w:before="280" w:after="160" w:line="360" w:lineRule="auto"/>
        <w:rPr>
          <w:sz w:val="24"/>
          <w:szCs w:val="24"/>
        </w:rPr>
      </w:pPr>
      <w:r>
        <w:rPr>
          <w:rFonts w:eastAsia="Calibri"/>
          <w:b/>
          <w:bCs/>
          <w:sz w:val="24"/>
          <w:szCs w:val="24"/>
        </w:rPr>
        <w:lastRenderedPageBreak/>
        <w:t>2.9 Data Extraction Table</w:t>
      </w:r>
    </w:p>
    <w:p w14:paraId="63E5BF71" w14:textId="41D9C25C" w:rsidR="00253979" w:rsidRPr="000370A9" w:rsidRDefault="000370A9" w:rsidP="000370A9">
      <w:pPr>
        <w:spacing w:after="200" w:line="360" w:lineRule="auto"/>
        <w:jc w:val="both"/>
        <w:rPr>
          <w:sz w:val="24"/>
          <w:szCs w:val="24"/>
        </w:rPr>
      </w:pPr>
      <w:r>
        <w:rPr>
          <w:rFonts w:eastAsia="Calibri"/>
          <w:sz w:val="24"/>
          <w:szCs w:val="24"/>
        </w:rPr>
        <w:t>The table below presents an illustrative subset of six of the 34 studies included in the review. Each row shows how a study was coded (open coding, axial coding, and pattern coding into a theme) and synthesised into the discussion in Chapter 3.</w:t>
      </w:r>
    </w:p>
    <w:tbl>
      <w:tblPr>
        <w:tblW w:w="15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6"/>
        <w:gridCol w:w="1141"/>
        <w:gridCol w:w="1130"/>
        <w:gridCol w:w="1557"/>
        <w:gridCol w:w="1384"/>
        <w:gridCol w:w="1199"/>
        <w:gridCol w:w="1580"/>
        <w:gridCol w:w="1557"/>
        <w:gridCol w:w="703"/>
        <w:gridCol w:w="1557"/>
        <w:gridCol w:w="1557"/>
        <w:gridCol w:w="1557"/>
      </w:tblGrid>
      <w:tr w:rsidR="00253979" w:rsidRPr="000370A9" w14:paraId="3BBC64A9" w14:textId="77777777">
        <w:tc>
          <w:tcPr>
            <w:tcW w:w="450" w:type="dxa"/>
            <w:shd w:val="clear" w:color="auto" w:fill="D9E2F3"/>
            <w:tcMar>
              <w:top w:w="60" w:type="dxa"/>
              <w:left w:w="80" w:type="dxa"/>
              <w:bottom w:w="60" w:type="dxa"/>
              <w:right w:w="80" w:type="dxa"/>
            </w:tcMar>
          </w:tcPr>
          <w:p w14:paraId="7FEE3720" w14:textId="77777777" w:rsidR="00253979" w:rsidRPr="000370A9" w:rsidRDefault="000370A9" w:rsidP="000370A9">
            <w:pPr>
              <w:spacing w:line="360" w:lineRule="auto"/>
              <w:rPr>
                <w:sz w:val="24"/>
                <w:szCs w:val="24"/>
              </w:rPr>
            </w:pPr>
            <w:r>
              <w:rPr>
                <w:rFonts w:eastAsia="Calibri"/>
                <w:b/>
                <w:bCs/>
                <w:sz w:val="24"/>
                <w:szCs w:val="24"/>
              </w:rPr>
              <w:t>No.</w:t>
            </w:r>
          </w:p>
        </w:tc>
        <w:tc>
          <w:tcPr>
            <w:tcW w:w="1300" w:type="dxa"/>
            <w:shd w:val="clear" w:color="auto" w:fill="D9E2F3"/>
            <w:tcMar>
              <w:top w:w="60" w:type="dxa"/>
              <w:left w:w="80" w:type="dxa"/>
              <w:bottom w:w="60" w:type="dxa"/>
              <w:right w:w="80" w:type="dxa"/>
            </w:tcMar>
          </w:tcPr>
          <w:p w14:paraId="70C5C819" w14:textId="77777777" w:rsidR="00253979" w:rsidRPr="000370A9" w:rsidRDefault="000370A9" w:rsidP="000370A9">
            <w:pPr>
              <w:spacing w:line="360" w:lineRule="auto"/>
              <w:rPr>
                <w:sz w:val="24"/>
                <w:szCs w:val="24"/>
              </w:rPr>
            </w:pPr>
            <w:r>
              <w:rPr>
                <w:rFonts w:eastAsia="Calibri"/>
                <w:b/>
                <w:bCs/>
                <w:sz w:val="24"/>
                <w:szCs w:val="24"/>
              </w:rPr>
              <w:t>Author (Year)</w:t>
            </w:r>
          </w:p>
        </w:tc>
        <w:tc>
          <w:tcPr>
            <w:tcW w:w="950" w:type="dxa"/>
            <w:shd w:val="clear" w:color="auto" w:fill="D9E2F3"/>
            <w:tcMar>
              <w:top w:w="60" w:type="dxa"/>
              <w:left w:w="80" w:type="dxa"/>
              <w:bottom w:w="60" w:type="dxa"/>
              <w:right w:w="80" w:type="dxa"/>
            </w:tcMar>
          </w:tcPr>
          <w:p w14:paraId="6E9A627D" w14:textId="77777777" w:rsidR="00253979" w:rsidRPr="000370A9" w:rsidRDefault="000370A9" w:rsidP="000370A9">
            <w:pPr>
              <w:spacing w:line="360" w:lineRule="auto"/>
              <w:rPr>
                <w:sz w:val="24"/>
                <w:szCs w:val="24"/>
              </w:rPr>
            </w:pPr>
            <w:r>
              <w:rPr>
                <w:rFonts w:eastAsia="Calibri"/>
                <w:b/>
                <w:bCs/>
                <w:sz w:val="24"/>
                <w:szCs w:val="24"/>
              </w:rPr>
              <w:t>Country</w:t>
            </w:r>
          </w:p>
        </w:tc>
        <w:tc>
          <w:tcPr>
            <w:tcW w:w="1300" w:type="dxa"/>
            <w:shd w:val="clear" w:color="auto" w:fill="D9E2F3"/>
            <w:tcMar>
              <w:top w:w="60" w:type="dxa"/>
              <w:left w:w="80" w:type="dxa"/>
              <w:bottom w:w="60" w:type="dxa"/>
              <w:right w:w="80" w:type="dxa"/>
            </w:tcMar>
          </w:tcPr>
          <w:p w14:paraId="33C1358B" w14:textId="77777777" w:rsidR="00253979" w:rsidRPr="000370A9" w:rsidRDefault="000370A9" w:rsidP="000370A9">
            <w:pPr>
              <w:spacing w:line="360" w:lineRule="auto"/>
              <w:rPr>
                <w:sz w:val="24"/>
                <w:szCs w:val="24"/>
              </w:rPr>
            </w:pPr>
            <w:r>
              <w:rPr>
                <w:rFonts w:eastAsia="Calibri"/>
                <w:b/>
                <w:bCs/>
                <w:sz w:val="24"/>
                <w:szCs w:val="24"/>
              </w:rPr>
              <w:t>Concept</w:t>
            </w:r>
          </w:p>
        </w:tc>
        <w:tc>
          <w:tcPr>
            <w:tcW w:w="1150" w:type="dxa"/>
            <w:shd w:val="clear" w:color="auto" w:fill="D9E2F3"/>
            <w:tcMar>
              <w:top w:w="60" w:type="dxa"/>
              <w:left w:w="80" w:type="dxa"/>
              <w:bottom w:w="60" w:type="dxa"/>
              <w:right w:w="80" w:type="dxa"/>
            </w:tcMar>
          </w:tcPr>
          <w:p w14:paraId="162FF123" w14:textId="77777777" w:rsidR="00253979" w:rsidRPr="000370A9" w:rsidRDefault="000370A9" w:rsidP="000370A9">
            <w:pPr>
              <w:spacing w:line="360" w:lineRule="auto"/>
              <w:rPr>
                <w:sz w:val="24"/>
                <w:szCs w:val="24"/>
              </w:rPr>
            </w:pPr>
            <w:r>
              <w:rPr>
                <w:rFonts w:eastAsia="Calibri"/>
                <w:b/>
                <w:bCs/>
                <w:sz w:val="24"/>
                <w:szCs w:val="24"/>
              </w:rPr>
              <w:t>Theoretical Lens</w:t>
            </w:r>
          </w:p>
        </w:tc>
        <w:tc>
          <w:tcPr>
            <w:tcW w:w="950" w:type="dxa"/>
            <w:shd w:val="clear" w:color="auto" w:fill="D9E2F3"/>
            <w:tcMar>
              <w:top w:w="60" w:type="dxa"/>
              <w:left w:w="80" w:type="dxa"/>
              <w:bottom w:w="60" w:type="dxa"/>
              <w:right w:w="80" w:type="dxa"/>
            </w:tcMar>
          </w:tcPr>
          <w:p w14:paraId="484284CF" w14:textId="77777777" w:rsidR="00253979" w:rsidRPr="000370A9" w:rsidRDefault="000370A9" w:rsidP="000370A9">
            <w:pPr>
              <w:spacing w:line="360" w:lineRule="auto"/>
              <w:rPr>
                <w:sz w:val="24"/>
                <w:szCs w:val="24"/>
              </w:rPr>
            </w:pPr>
            <w:r>
              <w:rPr>
                <w:rFonts w:eastAsia="Calibri"/>
                <w:b/>
                <w:bCs/>
                <w:sz w:val="24"/>
                <w:szCs w:val="24"/>
              </w:rPr>
              <w:t>Method</w:t>
            </w:r>
          </w:p>
        </w:tc>
        <w:tc>
          <w:tcPr>
            <w:tcW w:w="2700" w:type="dxa"/>
            <w:shd w:val="clear" w:color="auto" w:fill="D9E2F3"/>
            <w:tcMar>
              <w:top w:w="60" w:type="dxa"/>
              <w:left w:w="80" w:type="dxa"/>
              <w:bottom w:w="60" w:type="dxa"/>
              <w:right w:w="80" w:type="dxa"/>
            </w:tcMar>
          </w:tcPr>
          <w:p w14:paraId="3AEDE2C6" w14:textId="77777777" w:rsidR="00253979" w:rsidRPr="000370A9" w:rsidRDefault="000370A9" w:rsidP="000370A9">
            <w:pPr>
              <w:spacing w:line="360" w:lineRule="auto"/>
              <w:rPr>
                <w:sz w:val="24"/>
                <w:szCs w:val="24"/>
              </w:rPr>
            </w:pPr>
            <w:r>
              <w:rPr>
                <w:rFonts w:eastAsia="Calibri"/>
                <w:b/>
                <w:bCs/>
                <w:sz w:val="24"/>
                <w:szCs w:val="24"/>
              </w:rPr>
              <w:t>Key Findings</w:t>
            </w:r>
          </w:p>
        </w:tc>
        <w:tc>
          <w:tcPr>
            <w:tcW w:w="2400" w:type="dxa"/>
            <w:shd w:val="clear" w:color="auto" w:fill="D9E2F3"/>
            <w:tcMar>
              <w:top w:w="60" w:type="dxa"/>
              <w:left w:w="80" w:type="dxa"/>
              <w:bottom w:w="60" w:type="dxa"/>
              <w:right w:w="80" w:type="dxa"/>
            </w:tcMar>
          </w:tcPr>
          <w:p w14:paraId="53219D25" w14:textId="77777777" w:rsidR="00253979" w:rsidRPr="000370A9" w:rsidRDefault="000370A9" w:rsidP="000370A9">
            <w:pPr>
              <w:spacing w:line="360" w:lineRule="auto"/>
              <w:rPr>
                <w:sz w:val="24"/>
                <w:szCs w:val="24"/>
              </w:rPr>
            </w:pPr>
            <w:r>
              <w:rPr>
                <w:rFonts w:eastAsia="Calibri"/>
                <w:b/>
                <w:bCs/>
                <w:sz w:val="24"/>
                <w:szCs w:val="24"/>
              </w:rPr>
              <w:t>Research Gap</w:t>
            </w:r>
          </w:p>
        </w:tc>
        <w:tc>
          <w:tcPr>
            <w:tcW w:w="550" w:type="dxa"/>
            <w:shd w:val="clear" w:color="auto" w:fill="D9E2F3"/>
            <w:tcMar>
              <w:top w:w="60" w:type="dxa"/>
              <w:left w:w="80" w:type="dxa"/>
              <w:bottom w:w="60" w:type="dxa"/>
              <w:right w:w="80" w:type="dxa"/>
            </w:tcMar>
          </w:tcPr>
          <w:p w14:paraId="4B967EC4" w14:textId="77777777" w:rsidR="00253979" w:rsidRPr="000370A9" w:rsidRDefault="000370A9" w:rsidP="000370A9">
            <w:pPr>
              <w:spacing w:line="360" w:lineRule="auto"/>
              <w:rPr>
                <w:sz w:val="24"/>
                <w:szCs w:val="24"/>
              </w:rPr>
            </w:pPr>
            <w:r>
              <w:rPr>
                <w:rFonts w:eastAsia="Calibri"/>
                <w:b/>
                <w:bCs/>
                <w:sz w:val="24"/>
                <w:szCs w:val="24"/>
              </w:rPr>
              <w:t>CASP (/5)</w:t>
            </w:r>
          </w:p>
        </w:tc>
        <w:tc>
          <w:tcPr>
            <w:tcW w:w="1150" w:type="dxa"/>
            <w:shd w:val="clear" w:color="auto" w:fill="D9E2F3"/>
            <w:tcMar>
              <w:top w:w="60" w:type="dxa"/>
              <w:left w:w="80" w:type="dxa"/>
              <w:bottom w:w="60" w:type="dxa"/>
              <w:right w:w="80" w:type="dxa"/>
            </w:tcMar>
          </w:tcPr>
          <w:p w14:paraId="6789F560" w14:textId="77777777" w:rsidR="00253979" w:rsidRPr="000370A9" w:rsidRDefault="000370A9" w:rsidP="000370A9">
            <w:pPr>
              <w:spacing w:line="360" w:lineRule="auto"/>
              <w:rPr>
                <w:sz w:val="24"/>
                <w:szCs w:val="24"/>
              </w:rPr>
            </w:pPr>
            <w:r>
              <w:rPr>
                <w:rFonts w:eastAsia="Calibri"/>
                <w:b/>
                <w:bCs/>
                <w:sz w:val="24"/>
                <w:szCs w:val="24"/>
              </w:rPr>
              <w:t>Open Coding</w:t>
            </w:r>
          </w:p>
        </w:tc>
        <w:tc>
          <w:tcPr>
            <w:tcW w:w="1150" w:type="dxa"/>
            <w:shd w:val="clear" w:color="auto" w:fill="D9E2F3"/>
            <w:tcMar>
              <w:top w:w="60" w:type="dxa"/>
              <w:left w:w="80" w:type="dxa"/>
              <w:bottom w:w="60" w:type="dxa"/>
              <w:right w:w="80" w:type="dxa"/>
            </w:tcMar>
          </w:tcPr>
          <w:p w14:paraId="32974B5A" w14:textId="77777777" w:rsidR="00253979" w:rsidRPr="000370A9" w:rsidRDefault="000370A9" w:rsidP="000370A9">
            <w:pPr>
              <w:spacing w:line="360" w:lineRule="auto"/>
              <w:rPr>
                <w:sz w:val="24"/>
                <w:szCs w:val="24"/>
              </w:rPr>
            </w:pPr>
            <w:r>
              <w:rPr>
                <w:rFonts w:eastAsia="Calibri"/>
                <w:b/>
                <w:bCs/>
                <w:sz w:val="24"/>
                <w:szCs w:val="24"/>
              </w:rPr>
              <w:t>Axial Coding</w:t>
            </w:r>
          </w:p>
        </w:tc>
        <w:tc>
          <w:tcPr>
            <w:tcW w:w="1150" w:type="dxa"/>
            <w:shd w:val="clear" w:color="auto" w:fill="D9E2F3"/>
            <w:tcMar>
              <w:top w:w="60" w:type="dxa"/>
              <w:left w:w="80" w:type="dxa"/>
              <w:bottom w:w="60" w:type="dxa"/>
              <w:right w:w="80" w:type="dxa"/>
            </w:tcMar>
          </w:tcPr>
          <w:p w14:paraId="71328F9D" w14:textId="77777777" w:rsidR="00253979" w:rsidRPr="000370A9" w:rsidRDefault="000370A9" w:rsidP="000370A9">
            <w:pPr>
              <w:spacing w:line="360" w:lineRule="auto"/>
              <w:rPr>
                <w:sz w:val="24"/>
                <w:szCs w:val="24"/>
              </w:rPr>
            </w:pPr>
            <w:r>
              <w:rPr>
                <w:rFonts w:eastAsia="Calibri"/>
                <w:b/>
                <w:bCs/>
                <w:sz w:val="24"/>
                <w:szCs w:val="24"/>
              </w:rPr>
              <w:t>Pattern Coding (Theme)</w:t>
            </w:r>
          </w:p>
        </w:tc>
      </w:tr>
      <w:tr w:rsidR="00253979" w:rsidRPr="000370A9" w14:paraId="26FDC8F6" w14:textId="77777777">
        <w:tc>
          <w:tcPr>
            <w:tcW w:w="450" w:type="dxa"/>
            <w:tcMar>
              <w:top w:w="60" w:type="dxa"/>
              <w:left w:w="80" w:type="dxa"/>
              <w:bottom w:w="60" w:type="dxa"/>
              <w:right w:w="80" w:type="dxa"/>
            </w:tcMar>
          </w:tcPr>
          <w:p w14:paraId="456E6D27" w14:textId="77777777" w:rsidR="00253979" w:rsidRPr="000370A9" w:rsidRDefault="000370A9" w:rsidP="000370A9">
            <w:pPr>
              <w:spacing w:line="360" w:lineRule="auto"/>
              <w:rPr>
                <w:sz w:val="24"/>
                <w:szCs w:val="24"/>
              </w:rPr>
            </w:pPr>
            <w:r>
              <w:rPr>
                <w:rFonts w:eastAsia="Calibri"/>
                <w:sz w:val="24"/>
                <w:szCs w:val="24"/>
              </w:rPr>
              <w:t>1</w:t>
            </w:r>
          </w:p>
        </w:tc>
        <w:tc>
          <w:tcPr>
            <w:tcW w:w="1300" w:type="dxa"/>
            <w:tcMar>
              <w:top w:w="60" w:type="dxa"/>
              <w:left w:w="80" w:type="dxa"/>
              <w:bottom w:w="60" w:type="dxa"/>
              <w:right w:w="80" w:type="dxa"/>
            </w:tcMar>
          </w:tcPr>
          <w:p w14:paraId="385E4F21" w14:textId="77777777" w:rsidR="00253979" w:rsidRPr="000370A9" w:rsidRDefault="000370A9" w:rsidP="000370A9">
            <w:pPr>
              <w:spacing w:line="360" w:lineRule="auto"/>
              <w:rPr>
                <w:sz w:val="24"/>
                <w:szCs w:val="24"/>
              </w:rPr>
            </w:pPr>
            <w:r>
              <w:rPr>
                <w:rFonts w:eastAsia="Calibri"/>
                <w:sz w:val="24"/>
                <w:szCs w:val="24"/>
              </w:rPr>
              <w:t>Abeysekera (2020)</w:t>
            </w:r>
          </w:p>
        </w:tc>
        <w:tc>
          <w:tcPr>
            <w:tcW w:w="950" w:type="dxa"/>
            <w:tcMar>
              <w:top w:w="60" w:type="dxa"/>
              <w:left w:w="80" w:type="dxa"/>
              <w:bottom w:w="60" w:type="dxa"/>
              <w:right w:w="80" w:type="dxa"/>
            </w:tcMar>
          </w:tcPr>
          <w:p w14:paraId="150E764A" w14:textId="77777777" w:rsidR="00253979" w:rsidRPr="000370A9" w:rsidRDefault="000370A9" w:rsidP="000370A9">
            <w:pPr>
              <w:spacing w:line="360" w:lineRule="auto"/>
              <w:rPr>
                <w:sz w:val="24"/>
                <w:szCs w:val="24"/>
              </w:rPr>
            </w:pPr>
            <w:r>
              <w:rPr>
                <w:rFonts w:eastAsia="Calibri"/>
                <w:sz w:val="24"/>
                <w:szCs w:val="24"/>
              </w:rPr>
              <w:t>Sri Lanka</w:t>
            </w:r>
          </w:p>
        </w:tc>
        <w:tc>
          <w:tcPr>
            <w:tcW w:w="1300" w:type="dxa"/>
            <w:tcMar>
              <w:top w:w="60" w:type="dxa"/>
              <w:left w:w="80" w:type="dxa"/>
              <w:bottom w:w="60" w:type="dxa"/>
              <w:right w:w="80" w:type="dxa"/>
            </w:tcMar>
          </w:tcPr>
          <w:p w14:paraId="66DCAB6E" w14:textId="77777777" w:rsidR="00253979" w:rsidRPr="000370A9" w:rsidRDefault="000370A9" w:rsidP="000370A9">
            <w:pPr>
              <w:spacing w:line="360" w:lineRule="auto"/>
              <w:rPr>
                <w:sz w:val="24"/>
                <w:szCs w:val="24"/>
              </w:rPr>
            </w:pPr>
            <w:r>
              <w:rPr>
                <w:rFonts w:eastAsia="Calibri"/>
                <w:sz w:val="24"/>
                <w:szCs w:val="24"/>
              </w:rPr>
              <w:t>Microcredit + BDS (credit-plus model)</w:t>
            </w:r>
          </w:p>
        </w:tc>
        <w:tc>
          <w:tcPr>
            <w:tcW w:w="1150" w:type="dxa"/>
            <w:tcMar>
              <w:top w:w="60" w:type="dxa"/>
              <w:left w:w="80" w:type="dxa"/>
              <w:bottom w:w="60" w:type="dxa"/>
              <w:right w:w="80" w:type="dxa"/>
            </w:tcMar>
          </w:tcPr>
          <w:p w14:paraId="3AA97DCB" w14:textId="77777777" w:rsidR="00253979" w:rsidRPr="000370A9" w:rsidRDefault="000370A9" w:rsidP="000370A9">
            <w:pPr>
              <w:spacing w:line="360" w:lineRule="auto"/>
              <w:rPr>
                <w:sz w:val="24"/>
                <w:szCs w:val="24"/>
              </w:rPr>
            </w:pPr>
            <w:r>
              <w:rPr>
                <w:rFonts w:eastAsia="Calibri"/>
                <w:sz w:val="24"/>
                <w:szCs w:val="24"/>
              </w:rPr>
              <w:t>Human Capital Theory / Capability Approach</w:t>
            </w:r>
          </w:p>
        </w:tc>
        <w:tc>
          <w:tcPr>
            <w:tcW w:w="950" w:type="dxa"/>
            <w:tcMar>
              <w:top w:w="60" w:type="dxa"/>
              <w:left w:w="80" w:type="dxa"/>
              <w:bottom w:w="60" w:type="dxa"/>
              <w:right w:w="80" w:type="dxa"/>
            </w:tcMar>
          </w:tcPr>
          <w:p w14:paraId="134B9EA1" w14:textId="77777777" w:rsidR="00253979" w:rsidRPr="000370A9" w:rsidRDefault="000370A9" w:rsidP="000370A9">
            <w:pPr>
              <w:spacing w:line="360" w:lineRule="auto"/>
              <w:rPr>
                <w:sz w:val="24"/>
                <w:szCs w:val="24"/>
              </w:rPr>
            </w:pPr>
            <w:r>
              <w:rPr>
                <w:rFonts w:eastAsia="Calibri"/>
                <w:sz w:val="24"/>
                <w:szCs w:val="24"/>
              </w:rPr>
              <w:t>Mixed methods</w:t>
            </w:r>
          </w:p>
        </w:tc>
        <w:tc>
          <w:tcPr>
            <w:tcW w:w="2700" w:type="dxa"/>
            <w:tcMar>
              <w:top w:w="60" w:type="dxa"/>
              <w:left w:w="80" w:type="dxa"/>
              <w:bottom w:w="60" w:type="dxa"/>
              <w:right w:w="80" w:type="dxa"/>
            </w:tcMar>
          </w:tcPr>
          <w:p w14:paraId="57113DB6" w14:textId="77777777" w:rsidR="00253979" w:rsidRPr="000370A9" w:rsidRDefault="000370A9" w:rsidP="000370A9">
            <w:pPr>
              <w:spacing w:line="360" w:lineRule="auto"/>
              <w:rPr>
                <w:sz w:val="24"/>
                <w:szCs w:val="24"/>
              </w:rPr>
            </w:pPr>
            <w:r>
              <w:rPr>
                <w:rFonts w:eastAsia="Calibri"/>
                <w:sz w:val="24"/>
                <w:szCs w:val="24"/>
              </w:rPr>
              <w:t>Integrating microcredit with mentoring, financial literacy, and entrepreneurship training improves business performance and loan repayment.</w:t>
            </w:r>
          </w:p>
        </w:tc>
        <w:tc>
          <w:tcPr>
            <w:tcW w:w="2400" w:type="dxa"/>
            <w:tcMar>
              <w:top w:w="60" w:type="dxa"/>
              <w:left w:w="80" w:type="dxa"/>
              <w:bottom w:w="60" w:type="dxa"/>
              <w:right w:w="80" w:type="dxa"/>
            </w:tcMar>
          </w:tcPr>
          <w:p w14:paraId="4B7943F0" w14:textId="77777777" w:rsidR="00253979" w:rsidRPr="000370A9" w:rsidRDefault="000370A9" w:rsidP="000370A9">
            <w:pPr>
              <w:spacing w:line="360" w:lineRule="auto"/>
              <w:rPr>
                <w:sz w:val="24"/>
                <w:szCs w:val="24"/>
              </w:rPr>
            </w:pPr>
            <w:r>
              <w:rPr>
                <w:rFonts w:eastAsia="Calibri"/>
                <w:sz w:val="24"/>
                <w:szCs w:val="24"/>
              </w:rPr>
              <w:t>Limited evidence on long-term effectiveness; MFIs often lack capacity to deliver quality BDS.</w:t>
            </w:r>
          </w:p>
        </w:tc>
        <w:tc>
          <w:tcPr>
            <w:tcW w:w="550" w:type="dxa"/>
            <w:tcMar>
              <w:top w:w="60" w:type="dxa"/>
              <w:left w:w="80" w:type="dxa"/>
              <w:bottom w:w="60" w:type="dxa"/>
              <w:right w:w="80" w:type="dxa"/>
            </w:tcMar>
          </w:tcPr>
          <w:p w14:paraId="06301958" w14:textId="77777777" w:rsidR="00253979" w:rsidRPr="000370A9" w:rsidRDefault="000370A9" w:rsidP="000370A9">
            <w:pPr>
              <w:spacing w:line="360" w:lineRule="auto"/>
              <w:rPr>
                <w:sz w:val="24"/>
                <w:szCs w:val="24"/>
              </w:rPr>
            </w:pPr>
            <w:r>
              <w:rPr>
                <w:rFonts w:eastAsia="Calibri"/>
                <w:sz w:val="24"/>
                <w:szCs w:val="24"/>
              </w:rPr>
              <w:t>5/5</w:t>
            </w:r>
          </w:p>
        </w:tc>
        <w:tc>
          <w:tcPr>
            <w:tcW w:w="1150" w:type="dxa"/>
            <w:tcMar>
              <w:top w:w="60" w:type="dxa"/>
              <w:left w:w="80" w:type="dxa"/>
              <w:bottom w:w="60" w:type="dxa"/>
              <w:right w:w="80" w:type="dxa"/>
            </w:tcMar>
          </w:tcPr>
          <w:p w14:paraId="7E48FF8F" w14:textId="77777777" w:rsidR="00253979" w:rsidRPr="000370A9" w:rsidRDefault="000370A9" w:rsidP="000370A9">
            <w:pPr>
              <w:spacing w:line="360" w:lineRule="auto"/>
              <w:rPr>
                <w:sz w:val="24"/>
                <w:szCs w:val="24"/>
              </w:rPr>
            </w:pPr>
            <w:r>
              <w:rPr>
                <w:rFonts w:eastAsia="Calibri"/>
                <w:sz w:val="24"/>
                <w:szCs w:val="24"/>
              </w:rPr>
              <w:t>Financial literacy; mentoring; entrepreneurship training; institutional capacity</w:t>
            </w:r>
          </w:p>
        </w:tc>
        <w:tc>
          <w:tcPr>
            <w:tcW w:w="1150" w:type="dxa"/>
            <w:tcMar>
              <w:top w:w="60" w:type="dxa"/>
              <w:left w:w="80" w:type="dxa"/>
              <w:bottom w:w="60" w:type="dxa"/>
              <w:right w:w="80" w:type="dxa"/>
            </w:tcMar>
          </w:tcPr>
          <w:p w14:paraId="518112CD" w14:textId="77777777" w:rsidR="00253979" w:rsidRPr="000370A9" w:rsidRDefault="000370A9" w:rsidP="000370A9">
            <w:pPr>
              <w:spacing w:line="360" w:lineRule="auto"/>
              <w:rPr>
                <w:sz w:val="24"/>
                <w:szCs w:val="24"/>
              </w:rPr>
            </w:pPr>
            <w:r>
              <w:rPr>
                <w:rFonts w:eastAsia="Calibri"/>
                <w:sz w:val="24"/>
                <w:szCs w:val="24"/>
              </w:rPr>
              <w:t>Integration of financial and non-financial services improves entrepreneurial capability</w:t>
            </w:r>
          </w:p>
        </w:tc>
        <w:tc>
          <w:tcPr>
            <w:tcW w:w="1150" w:type="dxa"/>
            <w:tcMar>
              <w:top w:w="60" w:type="dxa"/>
              <w:left w:w="80" w:type="dxa"/>
              <w:bottom w:w="60" w:type="dxa"/>
              <w:right w:w="80" w:type="dxa"/>
            </w:tcMar>
          </w:tcPr>
          <w:p w14:paraId="5FBB1411" w14:textId="77777777" w:rsidR="00253979" w:rsidRPr="000370A9" w:rsidRDefault="000370A9" w:rsidP="000370A9">
            <w:pPr>
              <w:spacing w:line="360" w:lineRule="auto"/>
              <w:rPr>
                <w:sz w:val="24"/>
                <w:szCs w:val="24"/>
              </w:rPr>
            </w:pPr>
            <w:r>
              <w:rPr>
                <w:rFonts w:eastAsia="Calibri"/>
                <w:sz w:val="24"/>
                <w:szCs w:val="24"/>
              </w:rPr>
              <w:t>Integrated credit-plus services improve entrepreneurship but depend on institutional support</w:t>
            </w:r>
          </w:p>
        </w:tc>
      </w:tr>
      <w:tr w:rsidR="00253979" w:rsidRPr="000370A9" w14:paraId="7963CE42" w14:textId="77777777">
        <w:tc>
          <w:tcPr>
            <w:tcW w:w="450" w:type="dxa"/>
            <w:tcMar>
              <w:top w:w="60" w:type="dxa"/>
              <w:left w:w="80" w:type="dxa"/>
              <w:bottom w:w="60" w:type="dxa"/>
              <w:right w:w="80" w:type="dxa"/>
            </w:tcMar>
          </w:tcPr>
          <w:p w14:paraId="711357B6" w14:textId="77777777" w:rsidR="00253979" w:rsidRPr="000370A9" w:rsidRDefault="000370A9" w:rsidP="000370A9">
            <w:pPr>
              <w:spacing w:line="360" w:lineRule="auto"/>
              <w:rPr>
                <w:sz w:val="24"/>
                <w:szCs w:val="24"/>
              </w:rPr>
            </w:pPr>
            <w:r>
              <w:rPr>
                <w:rFonts w:eastAsia="Calibri"/>
                <w:sz w:val="24"/>
                <w:szCs w:val="24"/>
              </w:rPr>
              <w:lastRenderedPageBreak/>
              <w:t>2</w:t>
            </w:r>
          </w:p>
        </w:tc>
        <w:tc>
          <w:tcPr>
            <w:tcW w:w="1300" w:type="dxa"/>
            <w:tcMar>
              <w:top w:w="60" w:type="dxa"/>
              <w:left w:w="80" w:type="dxa"/>
              <w:bottom w:w="60" w:type="dxa"/>
              <w:right w:w="80" w:type="dxa"/>
            </w:tcMar>
          </w:tcPr>
          <w:p w14:paraId="0E18D2DD" w14:textId="77777777" w:rsidR="00253979" w:rsidRPr="000370A9" w:rsidRDefault="000370A9" w:rsidP="000370A9">
            <w:pPr>
              <w:spacing w:line="360" w:lineRule="auto"/>
              <w:rPr>
                <w:sz w:val="24"/>
                <w:szCs w:val="24"/>
              </w:rPr>
            </w:pPr>
            <w:r>
              <w:rPr>
                <w:rFonts w:eastAsia="Calibri"/>
                <w:sz w:val="24"/>
                <w:szCs w:val="24"/>
              </w:rPr>
              <w:t>Debnath et al. (2019)</w:t>
            </w:r>
          </w:p>
        </w:tc>
        <w:tc>
          <w:tcPr>
            <w:tcW w:w="950" w:type="dxa"/>
            <w:tcMar>
              <w:top w:w="60" w:type="dxa"/>
              <w:left w:w="80" w:type="dxa"/>
              <w:bottom w:w="60" w:type="dxa"/>
              <w:right w:w="80" w:type="dxa"/>
            </w:tcMar>
          </w:tcPr>
          <w:p w14:paraId="695E1192" w14:textId="77777777" w:rsidR="00253979" w:rsidRPr="000370A9" w:rsidRDefault="000370A9" w:rsidP="000370A9">
            <w:pPr>
              <w:spacing w:line="360" w:lineRule="auto"/>
              <w:rPr>
                <w:sz w:val="24"/>
                <w:szCs w:val="24"/>
              </w:rPr>
            </w:pPr>
            <w:r>
              <w:rPr>
                <w:rFonts w:eastAsia="Calibri"/>
                <w:sz w:val="24"/>
                <w:szCs w:val="24"/>
              </w:rPr>
              <w:t>Bangladesh</w:t>
            </w:r>
          </w:p>
        </w:tc>
        <w:tc>
          <w:tcPr>
            <w:tcW w:w="1300" w:type="dxa"/>
            <w:tcMar>
              <w:top w:w="60" w:type="dxa"/>
              <w:left w:w="80" w:type="dxa"/>
              <w:bottom w:w="60" w:type="dxa"/>
              <w:right w:w="80" w:type="dxa"/>
            </w:tcMar>
          </w:tcPr>
          <w:p w14:paraId="58D4EB19" w14:textId="77777777" w:rsidR="00253979" w:rsidRPr="000370A9" w:rsidRDefault="000370A9" w:rsidP="000370A9">
            <w:pPr>
              <w:spacing w:line="360" w:lineRule="auto"/>
              <w:rPr>
                <w:sz w:val="24"/>
                <w:szCs w:val="24"/>
              </w:rPr>
            </w:pPr>
            <w:r>
              <w:rPr>
                <w:rFonts w:eastAsia="Calibri"/>
                <w:sz w:val="24"/>
                <w:szCs w:val="24"/>
              </w:rPr>
              <w:t>Microcredit and women's empowerment</w:t>
            </w:r>
          </w:p>
        </w:tc>
        <w:tc>
          <w:tcPr>
            <w:tcW w:w="1150" w:type="dxa"/>
            <w:tcMar>
              <w:top w:w="60" w:type="dxa"/>
              <w:left w:w="80" w:type="dxa"/>
              <w:bottom w:w="60" w:type="dxa"/>
              <w:right w:w="80" w:type="dxa"/>
            </w:tcMar>
          </w:tcPr>
          <w:p w14:paraId="7B4C0ED9" w14:textId="77777777" w:rsidR="00253979" w:rsidRPr="000370A9" w:rsidRDefault="000370A9" w:rsidP="000370A9">
            <w:pPr>
              <w:spacing w:line="360" w:lineRule="auto"/>
              <w:rPr>
                <w:sz w:val="24"/>
                <w:szCs w:val="24"/>
              </w:rPr>
            </w:pPr>
            <w:r>
              <w:rPr>
                <w:rFonts w:eastAsia="Calibri"/>
                <w:sz w:val="24"/>
                <w:szCs w:val="24"/>
              </w:rPr>
              <w:t>Women's Empowerment Framework</w:t>
            </w:r>
          </w:p>
        </w:tc>
        <w:tc>
          <w:tcPr>
            <w:tcW w:w="950" w:type="dxa"/>
            <w:tcMar>
              <w:top w:w="60" w:type="dxa"/>
              <w:left w:w="80" w:type="dxa"/>
              <w:bottom w:w="60" w:type="dxa"/>
              <w:right w:w="80" w:type="dxa"/>
            </w:tcMar>
          </w:tcPr>
          <w:p w14:paraId="2FE282D5" w14:textId="77777777" w:rsidR="00253979" w:rsidRPr="000370A9" w:rsidRDefault="000370A9" w:rsidP="000370A9">
            <w:pPr>
              <w:spacing w:line="360" w:lineRule="auto"/>
              <w:rPr>
                <w:sz w:val="24"/>
                <w:szCs w:val="24"/>
              </w:rPr>
            </w:pPr>
            <w:r>
              <w:rPr>
                <w:rFonts w:eastAsia="Calibri"/>
                <w:sz w:val="24"/>
                <w:szCs w:val="24"/>
              </w:rPr>
              <w:t>Quantitative survey</w:t>
            </w:r>
          </w:p>
        </w:tc>
        <w:tc>
          <w:tcPr>
            <w:tcW w:w="2700" w:type="dxa"/>
            <w:tcMar>
              <w:top w:w="60" w:type="dxa"/>
              <w:left w:w="80" w:type="dxa"/>
              <w:bottom w:w="60" w:type="dxa"/>
              <w:right w:w="80" w:type="dxa"/>
            </w:tcMar>
          </w:tcPr>
          <w:p w14:paraId="1FC203B7" w14:textId="77777777" w:rsidR="00253979" w:rsidRPr="000370A9" w:rsidRDefault="000370A9" w:rsidP="000370A9">
            <w:pPr>
              <w:spacing w:line="360" w:lineRule="auto"/>
              <w:rPr>
                <w:sz w:val="24"/>
                <w:szCs w:val="24"/>
              </w:rPr>
            </w:pPr>
            <w:r>
              <w:rPr>
                <w:rFonts w:eastAsia="Calibri"/>
                <w:sz w:val="24"/>
                <w:szCs w:val="24"/>
              </w:rPr>
              <w:t>Microcredit improves household decision-making but has limited effects on women's control over income, mobility, and enterprise ownership.</w:t>
            </w:r>
          </w:p>
        </w:tc>
        <w:tc>
          <w:tcPr>
            <w:tcW w:w="2400" w:type="dxa"/>
            <w:tcMar>
              <w:top w:w="60" w:type="dxa"/>
              <w:left w:w="80" w:type="dxa"/>
              <w:bottom w:w="60" w:type="dxa"/>
              <w:right w:w="80" w:type="dxa"/>
            </w:tcMar>
          </w:tcPr>
          <w:p w14:paraId="71155141" w14:textId="77777777" w:rsidR="00253979" w:rsidRPr="000370A9" w:rsidRDefault="000370A9" w:rsidP="000370A9">
            <w:pPr>
              <w:spacing w:line="360" w:lineRule="auto"/>
              <w:rPr>
                <w:sz w:val="24"/>
                <w:szCs w:val="24"/>
              </w:rPr>
            </w:pPr>
            <w:r>
              <w:rPr>
                <w:rFonts w:eastAsia="Calibri"/>
                <w:sz w:val="24"/>
                <w:szCs w:val="24"/>
              </w:rPr>
              <w:t>Few studies examine whether integrating BDS with microcredit enhances women's empowerment and entrepreneurial outcomes.</w:t>
            </w:r>
          </w:p>
        </w:tc>
        <w:tc>
          <w:tcPr>
            <w:tcW w:w="550" w:type="dxa"/>
            <w:tcMar>
              <w:top w:w="60" w:type="dxa"/>
              <w:left w:w="80" w:type="dxa"/>
              <w:bottom w:w="60" w:type="dxa"/>
              <w:right w:w="80" w:type="dxa"/>
            </w:tcMar>
          </w:tcPr>
          <w:p w14:paraId="59DB1948" w14:textId="77777777" w:rsidR="00253979" w:rsidRPr="000370A9" w:rsidRDefault="000370A9" w:rsidP="000370A9">
            <w:pPr>
              <w:spacing w:line="360" w:lineRule="auto"/>
              <w:rPr>
                <w:sz w:val="24"/>
                <w:szCs w:val="24"/>
              </w:rPr>
            </w:pPr>
            <w:r>
              <w:rPr>
                <w:rFonts w:eastAsia="Calibri"/>
                <w:sz w:val="24"/>
                <w:szCs w:val="24"/>
              </w:rPr>
              <w:t>4.5/5</w:t>
            </w:r>
          </w:p>
        </w:tc>
        <w:tc>
          <w:tcPr>
            <w:tcW w:w="1150" w:type="dxa"/>
            <w:tcMar>
              <w:top w:w="60" w:type="dxa"/>
              <w:left w:w="80" w:type="dxa"/>
              <w:bottom w:w="60" w:type="dxa"/>
              <w:right w:w="80" w:type="dxa"/>
            </w:tcMar>
          </w:tcPr>
          <w:p w14:paraId="4565C3EF" w14:textId="77777777" w:rsidR="00253979" w:rsidRPr="000370A9" w:rsidRDefault="000370A9" w:rsidP="000370A9">
            <w:pPr>
              <w:spacing w:line="360" w:lineRule="auto"/>
              <w:rPr>
                <w:sz w:val="24"/>
                <w:szCs w:val="24"/>
              </w:rPr>
            </w:pPr>
            <w:r>
              <w:rPr>
                <w:rFonts w:eastAsia="Calibri"/>
                <w:sz w:val="24"/>
                <w:szCs w:val="24"/>
              </w:rPr>
              <w:t>Household decision-making; gender norms; income control; empowerment</w:t>
            </w:r>
          </w:p>
        </w:tc>
        <w:tc>
          <w:tcPr>
            <w:tcW w:w="1150" w:type="dxa"/>
            <w:tcMar>
              <w:top w:w="60" w:type="dxa"/>
              <w:left w:w="80" w:type="dxa"/>
              <w:bottom w:w="60" w:type="dxa"/>
              <w:right w:w="80" w:type="dxa"/>
            </w:tcMar>
          </w:tcPr>
          <w:p w14:paraId="6C1A8D6D" w14:textId="77777777" w:rsidR="00253979" w:rsidRPr="000370A9" w:rsidRDefault="000370A9" w:rsidP="000370A9">
            <w:pPr>
              <w:spacing w:line="360" w:lineRule="auto"/>
              <w:rPr>
                <w:sz w:val="24"/>
                <w:szCs w:val="24"/>
              </w:rPr>
            </w:pPr>
            <w:r>
              <w:rPr>
                <w:rFonts w:eastAsia="Calibri"/>
                <w:sz w:val="24"/>
                <w:szCs w:val="24"/>
              </w:rPr>
              <w:t>Women's empowerment depends on financial access and capacity-building support</w:t>
            </w:r>
          </w:p>
        </w:tc>
        <w:tc>
          <w:tcPr>
            <w:tcW w:w="1150" w:type="dxa"/>
            <w:tcMar>
              <w:top w:w="60" w:type="dxa"/>
              <w:left w:w="80" w:type="dxa"/>
              <w:bottom w:w="60" w:type="dxa"/>
              <w:right w:w="80" w:type="dxa"/>
            </w:tcMar>
          </w:tcPr>
          <w:p w14:paraId="51B07420" w14:textId="77777777" w:rsidR="00253979" w:rsidRPr="000370A9" w:rsidRDefault="000370A9" w:rsidP="000370A9">
            <w:pPr>
              <w:spacing w:line="360" w:lineRule="auto"/>
              <w:rPr>
                <w:sz w:val="24"/>
                <w:szCs w:val="24"/>
              </w:rPr>
            </w:pPr>
            <w:r>
              <w:rPr>
                <w:rFonts w:eastAsia="Calibri"/>
                <w:sz w:val="24"/>
                <w:szCs w:val="24"/>
              </w:rPr>
              <w:t>Microcredit alone is insufficient for women's economic empowerment</w:t>
            </w:r>
          </w:p>
        </w:tc>
      </w:tr>
      <w:tr w:rsidR="00253979" w:rsidRPr="000370A9" w14:paraId="14AC4F85" w14:textId="77777777">
        <w:tc>
          <w:tcPr>
            <w:tcW w:w="450" w:type="dxa"/>
            <w:tcMar>
              <w:top w:w="60" w:type="dxa"/>
              <w:left w:w="80" w:type="dxa"/>
              <w:bottom w:w="60" w:type="dxa"/>
              <w:right w:w="80" w:type="dxa"/>
            </w:tcMar>
          </w:tcPr>
          <w:p w14:paraId="04ECA3A1" w14:textId="77777777" w:rsidR="00253979" w:rsidRPr="000370A9" w:rsidRDefault="000370A9" w:rsidP="000370A9">
            <w:pPr>
              <w:spacing w:line="360" w:lineRule="auto"/>
              <w:rPr>
                <w:sz w:val="24"/>
                <w:szCs w:val="24"/>
              </w:rPr>
            </w:pPr>
            <w:r>
              <w:rPr>
                <w:rFonts w:eastAsia="Calibri"/>
                <w:sz w:val="24"/>
                <w:szCs w:val="24"/>
              </w:rPr>
              <w:t>3</w:t>
            </w:r>
          </w:p>
        </w:tc>
        <w:tc>
          <w:tcPr>
            <w:tcW w:w="1300" w:type="dxa"/>
            <w:tcMar>
              <w:top w:w="60" w:type="dxa"/>
              <w:left w:w="80" w:type="dxa"/>
              <w:bottom w:w="60" w:type="dxa"/>
              <w:right w:w="80" w:type="dxa"/>
            </w:tcMar>
          </w:tcPr>
          <w:p w14:paraId="054E0F77" w14:textId="77777777" w:rsidR="00253979" w:rsidRPr="000370A9" w:rsidRDefault="000370A9" w:rsidP="000370A9">
            <w:pPr>
              <w:spacing w:line="360" w:lineRule="auto"/>
              <w:rPr>
                <w:sz w:val="24"/>
                <w:szCs w:val="24"/>
              </w:rPr>
            </w:pPr>
            <w:r>
              <w:rPr>
                <w:rFonts w:eastAsia="Calibri"/>
                <w:sz w:val="24"/>
                <w:szCs w:val="24"/>
              </w:rPr>
              <w:t>Goldszmidt et al. (2022)</w:t>
            </w:r>
          </w:p>
        </w:tc>
        <w:tc>
          <w:tcPr>
            <w:tcW w:w="950" w:type="dxa"/>
            <w:tcMar>
              <w:top w:w="60" w:type="dxa"/>
              <w:left w:w="80" w:type="dxa"/>
              <w:bottom w:w="60" w:type="dxa"/>
              <w:right w:w="80" w:type="dxa"/>
            </w:tcMar>
          </w:tcPr>
          <w:p w14:paraId="1EB3EFA5" w14:textId="77777777" w:rsidR="00253979" w:rsidRPr="000370A9" w:rsidRDefault="000370A9" w:rsidP="000370A9">
            <w:pPr>
              <w:spacing w:line="360" w:lineRule="auto"/>
              <w:rPr>
                <w:sz w:val="24"/>
                <w:szCs w:val="24"/>
              </w:rPr>
            </w:pPr>
            <w:r>
              <w:rPr>
                <w:rFonts w:eastAsia="Calibri"/>
                <w:sz w:val="24"/>
                <w:szCs w:val="24"/>
              </w:rPr>
              <w:t>Developing countries</w:t>
            </w:r>
          </w:p>
        </w:tc>
        <w:tc>
          <w:tcPr>
            <w:tcW w:w="1300" w:type="dxa"/>
            <w:tcMar>
              <w:top w:w="60" w:type="dxa"/>
              <w:left w:w="80" w:type="dxa"/>
              <w:bottom w:w="60" w:type="dxa"/>
              <w:right w:w="80" w:type="dxa"/>
            </w:tcMar>
          </w:tcPr>
          <w:p w14:paraId="77FD553E" w14:textId="77777777" w:rsidR="00253979" w:rsidRPr="000370A9" w:rsidRDefault="000370A9" w:rsidP="000370A9">
            <w:pPr>
              <w:spacing w:line="360" w:lineRule="auto"/>
              <w:rPr>
                <w:sz w:val="24"/>
                <w:szCs w:val="24"/>
              </w:rPr>
            </w:pPr>
            <w:r>
              <w:rPr>
                <w:rFonts w:eastAsia="Calibri"/>
                <w:sz w:val="24"/>
                <w:szCs w:val="24"/>
              </w:rPr>
              <w:t>Microcredit and poverty reduction</w:t>
            </w:r>
          </w:p>
        </w:tc>
        <w:tc>
          <w:tcPr>
            <w:tcW w:w="1150" w:type="dxa"/>
            <w:tcMar>
              <w:top w:w="60" w:type="dxa"/>
              <w:left w:w="80" w:type="dxa"/>
              <w:bottom w:w="60" w:type="dxa"/>
              <w:right w:w="80" w:type="dxa"/>
            </w:tcMar>
          </w:tcPr>
          <w:p w14:paraId="4CBC3697" w14:textId="77777777" w:rsidR="00253979" w:rsidRPr="000370A9" w:rsidRDefault="000370A9" w:rsidP="000370A9">
            <w:pPr>
              <w:spacing w:line="360" w:lineRule="auto"/>
              <w:rPr>
                <w:sz w:val="24"/>
                <w:szCs w:val="24"/>
              </w:rPr>
            </w:pPr>
            <w:r>
              <w:rPr>
                <w:rFonts w:eastAsia="Calibri"/>
                <w:sz w:val="24"/>
                <w:szCs w:val="24"/>
              </w:rPr>
              <w:t>Development Economics</w:t>
            </w:r>
          </w:p>
        </w:tc>
        <w:tc>
          <w:tcPr>
            <w:tcW w:w="950" w:type="dxa"/>
            <w:tcMar>
              <w:top w:w="60" w:type="dxa"/>
              <w:left w:w="80" w:type="dxa"/>
              <w:bottom w:w="60" w:type="dxa"/>
              <w:right w:w="80" w:type="dxa"/>
            </w:tcMar>
          </w:tcPr>
          <w:p w14:paraId="6B871D7D" w14:textId="77777777" w:rsidR="00253979" w:rsidRPr="000370A9" w:rsidRDefault="000370A9" w:rsidP="000370A9">
            <w:pPr>
              <w:spacing w:line="360" w:lineRule="auto"/>
              <w:rPr>
                <w:sz w:val="24"/>
                <w:szCs w:val="24"/>
              </w:rPr>
            </w:pPr>
            <w:r>
              <w:rPr>
                <w:rFonts w:eastAsia="Calibri"/>
                <w:sz w:val="24"/>
                <w:szCs w:val="24"/>
              </w:rPr>
              <w:t>Systematic review / meta-analysis</w:t>
            </w:r>
          </w:p>
        </w:tc>
        <w:tc>
          <w:tcPr>
            <w:tcW w:w="2700" w:type="dxa"/>
            <w:tcMar>
              <w:top w:w="60" w:type="dxa"/>
              <w:left w:w="80" w:type="dxa"/>
              <w:bottom w:w="60" w:type="dxa"/>
              <w:right w:w="80" w:type="dxa"/>
            </w:tcMar>
          </w:tcPr>
          <w:p w14:paraId="39832E0F" w14:textId="77777777" w:rsidR="00253979" w:rsidRPr="000370A9" w:rsidRDefault="000370A9" w:rsidP="000370A9">
            <w:pPr>
              <w:spacing w:line="360" w:lineRule="auto"/>
              <w:rPr>
                <w:sz w:val="24"/>
                <w:szCs w:val="24"/>
              </w:rPr>
            </w:pPr>
            <w:r>
              <w:rPr>
                <w:rFonts w:eastAsia="Calibri"/>
                <w:sz w:val="24"/>
                <w:szCs w:val="24"/>
              </w:rPr>
              <w:t xml:space="preserve">Microcredit increases short-term investment but rarely leads to sustained income growth or </w:t>
            </w:r>
            <w:r>
              <w:rPr>
                <w:rFonts w:eastAsia="Calibri"/>
                <w:sz w:val="24"/>
                <w:szCs w:val="24"/>
              </w:rPr>
              <w:lastRenderedPageBreak/>
              <w:t>enterprise formalisation.</w:t>
            </w:r>
          </w:p>
        </w:tc>
        <w:tc>
          <w:tcPr>
            <w:tcW w:w="2400" w:type="dxa"/>
            <w:tcMar>
              <w:top w:w="60" w:type="dxa"/>
              <w:left w:w="80" w:type="dxa"/>
              <w:bottom w:w="60" w:type="dxa"/>
              <w:right w:w="80" w:type="dxa"/>
            </w:tcMar>
          </w:tcPr>
          <w:p w14:paraId="788AD3C8" w14:textId="77777777" w:rsidR="00253979" w:rsidRPr="000370A9" w:rsidRDefault="000370A9" w:rsidP="000370A9">
            <w:pPr>
              <w:spacing w:line="360" w:lineRule="auto"/>
              <w:rPr>
                <w:sz w:val="24"/>
                <w:szCs w:val="24"/>
              </w:rPr>
            </w:pPr>
            <w:r>
              <w:rPr>
                <w:rFonts w:eastAsia="Calibri"/>
                <w:sz w:val="24"/>
                <w:szCs w:val="24"/>
              </w:rPr>
              <w:lastRenderedPageBreak/>
              <w:t xml:space="preserve">More research needed on conditions under which microcredit combined with BDS contributes to sustainable </w:t>
            </w:r>
            <w:r>
              <w:rPr>
                <w:rFonts w:eastAsia="Calibri"/>
                <w:sz w:val="24"/>
                <w:szCs w:val="24"/>
              </w:rPr>
              <w:lastRenderedPageBreak/>
              <w:t>poverty reduction.</w:t>
            </w:r>
          </w:p>
        </w:tc>
        <w:tc>
          <w:tcPr>
            <w:tcW w:w="550" w:type="dxa"/>
            <w:tcMar>
              <w:top w:w="60" w:type="dxa"/>
              <w:left w:w="80" w:type="dxa"/>
              <w:bottom w:w="60" w:type="dxa"/>
              <w:right w:w="80" w:type="dxa"/>
            </w:tcMar>
          </w:tcPr>
          <w:p w14:paraId="00EB93CD" w14:textId="77777777" w:rsidR="00253979" w:rsidRPr="000370A9" w:rsidRDefault="000370A9" w:rsidP="000370A9">
            <w:pPr>
              <w:spacing w:line="360" w:lineRule="auto"/>
              <w:rPr>
                <w:sz w:val="24"/>
                <w:szCs w:val="24"/>
              </w:rPr>
            </w:pPr>
            <w:r>
              <w:rPr>
                <w:rFonts w:eastAsia="Calibri"/>
                <w:sz w:val="24"/>
                <w:szCs w:val="24"/>
              </w:rPr>
              <w:lastRenderedPageBreak/>
              <w:t>5/5</w:t>
            </w:r>
          </w:p>
        </w:tc>
        <w:tc>
          <w:tcPr>
            <w:tcW w:w="1150" w:type="dxa"/>
            <w:tcMar>
              <w:top w:w="60" w:type="dxa"/>
              <w:left w:w="80" w:type="dxa"/>
              <w:bottom w:w="60" w:type="dxa"/>
              <w:right w:w="80" w:type="dxa"/>
            </w:tcMar>
          </w:tcPr>
          <w:p w14:paraId="6891C190" w14:textId="77777777" w:rsidR="00253979" w:rsidRPr="000370A9" w:rsidRDefault="000370A9" w:rsidP="000370A9">
            <w:pPr>
              <w:spacing w:line="360" w:lineRule="auto"/>
              <w:rPr>
                <w:sz w:val="24"/>
                <w:szCs w:val="24"/>
              </w:rPr>
            </w:pPr>
            <w:r>
              <w:rPr>
                <w:rFonts w:eastAsia="Calibri"/>
                <w:sz w:val="24"/>
                <w:szCs w:val="24"/>
              </w:rPr>
              <w:t>Poverty reduction; business sustainability; contextual factors; income growth</w:t>
            </w:r>
          </w:p>
        </w:tc>
        <w:tc>
          <w:tcPr>
            <w:tcW w:w="1150" w:type="dxa"/>
            <w:tcMar>
              <w:top w:w="60" w:type="dxa"/>
              <w:left w:w="80" w:type="dxa"/>
              <w:bottom w:w="60" w:type="dxa"/>
              <w:right w:w="80" w:type="dxa"/>
            </w:tcMar>
          </w:tcPr>
          <w:p w14:paraId="3ABBA3F4" w14:textId="77777777" w:rsidR="00253979" w:rsidRPr="000370A9" w:rsidRDefault="000370A9" w:rsidP="000370A9">
            <w:pPr>
              <w:spacing w:line="360" w:lineRule="auto"/>
              <w:rPr>
                <w:sz w:val="24"/>
                <w:szCs w:val="24"/>
              </w:rPr>
            </w:pPr>
            <w:r>
              <w:rPr>
                <w:rFonts w:eastAsia="Calibri"/>
                <w:sz w:val="24"/>
                <w:szCs w:val="24"/>
              </w:rPr>
              <w:t>Sustainable poverty reduction depends on complementary support and institutional context</w:t>
            </w:r>
          </w:p>
        </w:tc>
        <w:tc>
          <w:tcPr>
            <w:tcW w:w="1150" w:type="dxa"/>
            <w:tcMar>
              <w:top w:w="60" w:type="dxa"/>
              <w:left w:w="80" w:type="dxa"/>
              <w:bottom w:w="60" w:type="dxa"/>
              <w:right w:w="80" w:type="dxa"/>
            </w:tcMar>
          </w:tcPr>
          <w:p w14:paraId="4B8DA97F" w14:textId="77777777" w:rsidR="00253979" w:rsidRPr="000370A9" w:rsidRDefault="000370A9" w:rsidP="000370A9">
            <w:pPr>
              <w:spacing w:line="360" w:lineRule="auto"/>
              <w:rPr>
                <w:sz w:val="24"/>
                <w:szCs w:val="24"/>
              </w:rPr>
            </w:pPr>
            <w:r>
              <w:rPr>
                <w:rFonts w:eastAsia="Calibri"/>
                <w:sz w:val="24"/>
                <w:szCs w:val="24"/>
              </w:rPr>
              <w:t>Credit alone has limited long-term poverty reduction effects</w:t>
            </w:r>
          </w:p>
        </w:tc>
      </w:tr>
      <w:tr w:rsidR="00253979" w:rsidRPr="000370A9" w14:paraId="2C4FF274" w14:textId="77777777">
        <w:tc>
          <w:tcPr>
            <w:tcW w:w="450" w:type="dxa"/>
            <w:tcMar>
              <w:top w:w="60" w:type="dxa"/>
              <w:left w:w="80" w:type="dxa"/>
              <w:bottom w:w="60" w:type="dxa"/>
              <w:right w:w="80" w:type="dxa"/>
            </w:tcMar>
          </w:tcPr>
          <w:p w14:paraId="317367C0" w14:textId="77777777" w:rsidR="00253979" w:rsidRPr="000370A9" w:rsidRDefault="000370A9" w:rsidP="000370A9">
            <w:pPr>
              <w:spacing w:line="360" w:lineRule="auto"/>
              <w:rPr>
                <w:sz w:val="24"/>
                <w:szCs w:val="24"/>
              </w:rPr>
            </w:pPr>
            <w:r>
              <w:rPr>
                <w:rFonts w:eastAsia="Calibri"/>
                <w:sz w:val="24"/>
                <w:szCs w:val="24"/>
              </w:rPr>
              <w:t>4</w:t>
            </w:r>
          </w:p>
        </w:tc>
        <w:tc>
          <w:tcPr>
            <w:tcW w:w="1300" w:type="dxa"/>
            <w:tcMar>
              <w:top w:w="60" w:type="dxa"/>
              <w:left w:w="80" w:type="dxa"/>
              <w:bottom w:w="60" w:type="dxa"/>
              <w:right w:w="80" w:type="dxa"/>
            </w:tcMar>
          </w:tcPr>
          <w:p w14:paraId="336000B3" w14:textId="77777777" w:rsidR="00253979" w:rsidRPr="000370A9" w:rsidRDefault="000370A9" w:rsidP="000370A9">
            <w:pPr>
              <w:spacing w:line="360" w:lineRule="auto"/>
              <w:rPr>
                <w:sz w:val="24"/>
                <w:szCs w:val="24"/>
              </w:rPr>
            </w:pPr>
            <w:r>
              <w:rPr>
                <w:rFonts w:eastAsia="Calibri"/>
                <w:sz w:val="24"/>
                <w:szCs w:val="24"/>
              </w:rPr>
              <w:t>McKague et al. (2017)</w:t>
            </w:r>
          </w:p>
        </w:tc>
        <w:tc>
          <w:tcPr>
            <w:tcW w:w="950" w:type="dxa"/>
            <w:tcMar>
              <w:top w:w="60" w:type="dxa"/>
              <w:left w:w="80" w:type="dxa"/>
              <w:bottom w:w="60" w:type="dxa"/>
              <w:right w:w="80" w:type="dxa"/>
            </w:tcMar>
          </w:tcPr>
          <w:p w14:paraId="0507A59A" w14:textId="77777777" w:rsidR="00253979" w:rsidRPr="000370A9" w:rsidRDefault="000370A9" w:rsidP="000370A9">
            <w:pPr>
              <w:spacing w:line="360" w:lineRule="auto"/>
              <w:rPr>
                <w:sz w:val="24"/>
                <w:szCs w:val="24"/>
              </w:rPr>
            </w:pPr>
            <w:r>
              <w:rPr>
                <w:rFonts w:eastAsia="Calibri"/>
                <w:sz w:val="24"/>
                <w:szCs w:val="24"/>
              </w:rPr>
              <w:t>Developing countries</w:t>
            </w:r>
          </w:p>
        </w:tc>
        <w:tc>
          <w:tcPr>
            <w:tcW w:w="1300" w:type="dxa"/>
            <w:tcMar>
              <w:top w:w="60" w:type="dxa"/>
              <w:left w:w="80" w:type="dxa"/>
              <w:bottom w:w="60" w:type="dxa"/>
              <w:right w:w="80" w:type="dxa"/>
            </w:tcMar>
          </w:tcPr>
          <w:p w14:paraId="1168BEDE" w14:textId="77777777" w:rsidR="00253979" w:rsidRPr="000370A9" w:rsidRDefault="000370A9" w:rsidP="000370A9">
            <w:pPr>
              <w:spacing w:line="360" w:lineRule="auto"/>
              <w:rPr>
                <w:sz w:val="24"/>
                <w:szCs w:val="24"/>
              </w:rPr>
            </w:pPr>
            <w:r>
              <w:rPr>
                <w:rFonts w:eastAsia="Calibri"/>
                <w:sz w:val="24"/>
                <w:szCs w:val="24"/>
              </w:rPr>
              <w:t>BDS and rural entrepreneurship</w:t>
            </w:r>
          </w:p>
        </w:tc>
        <w:tc>
          <w:tcPr>
            <w:tcW w:w="1150" w:type="dxa"/>
            <w:tcMar>
              <w:top w:w="60" w:type="dxa"/>
              <w:left w:w="80" w:type="dxa"/>
              <w:bottom w:w="60" w:type="dxa"/>
              <w:right w:w="80" w:type="dxa"/>
            </w:tcMar>
          </w:tcPr>
          <w:p w14:paraId="7A6F0DC8" w14:textId="77777777" w:rsidR="00253979" w:rsidRPr="000370A9" w:rsidRDefault="000370A9" w:rsidP="000370A9">
            <w:pPr>
              <w:spacing w:line="360" w:lineRule="auto"/>
              <w:rPr>
                <w:sz w:val="24"/>
                <w:szCs w:val="24"/>
              </w:rPr>
            </w:pPr>
            <w:r>
              <w:rPr>
                <w:rFonts w:eastAsia="Calibri"/>
                <w:sz w:val="24"/>
                <w:szCs w:val="24"/>
              </w:rPr>
              <w:t>Institutional Theory</w:t>
            </w:r>
          </w:p>
        </w:tc>
        <w:tc>
          <w:tcPr>
            <w:tcW w:w="950" w:type="dxa"/>
            <w:tcMar>
              <w:top w:w="60" w:type="dxa"/>
              <w:left w:w="80" w:type="dxa"/>
              <w:bottom w:w="60" w:type="dxa"/>
              <w:right w:w="80" w:type="dxa"/>
            </w:tcMar>
          </w:tcPr>
          <w:p w14:paraId="1170A845" w14:textId="77777777" w:rsidR="00253979" w:rsidRPr="000370A9" w:rsidRDefault="000370A9" w:rsidP="000370A9">
            <w:pPr>
              <w:spacing w:line="360" w:lineRule="auto"/>
              <w:rPr>
                <w:sz w:val="24"/>
                <w:szCs w:val="24"/>
              </w:rPr>
            </w:pPr>
            <w:r>
              <w:rPr>
                <w:rFonts w:eastAsia="Calibri"/>
                <w:sz w:val="24"/>
                <w:szCs w:val="24"/>
              </w:rPr>
              <w:t>Case study</w:t>
            </w:r>
          </w:p>
        </w:tc>
        <w:tc>
          <w:tcPr>
            <w:tcW w:w="2700" w:type="dxa"/>
            <w:tcMar>
              <w:top w:w="60" w:type="dxa"/>
              <w:left w:w="80" w:type="dxa"/>
              <w:bottom w:w="60" w:type="dxa"/>
              <w:right w:w="80" w:type="dxa"/>
            </w:tcMar>
          </w:tcPr>
          <w:p w14:paraId="29F42739" w14:textId="77777777" w:rsidR="00253979" w:rsidRPr="000370A9" w:rsidRDefault="000370A9" w:rsidP="000370A9">
            <w:pPr>
              <w:spacing w:line="360" w:lineRule="auto"/>
              <w:rPr>
                <w:sz w:val="24"/>
                <w:szCs w:val="24"/>
              </w:rPr>
            </w:pPr>
            <w:r>
              <w:rPr>
                <w:rFonts w:eastAsia="Calibri"/>
                <w:sz w:val="24"/>
                <w:szCs w:val="24"/>
              </w:rPr>
              <w:t>Social microfranchising combines finance, business support, and market linkages to strengthen rural enterprises.</w:t>
            </w:r>
          </w:p>
        </w:tc>
        <w:tc>
          <w:tcPr>
            <w:tcW w:w="2400" w:type="dxa"/>
            <w:tcMar>
              <w:top w:w="60" w:type="dxa"/>
              <w:left w:w="80" w:type="dxa"/>
              <w:bottom w:w="60" w:type="dxa"/>
              <w:right w:w="80" w:type="dxa"/>
            </w:tcMar>
          </w:tcPr>
          <w:p w14:paraId="16918C7A" w14:textId="77777777" w:rsidR="00253979" w:rsidRPr="000370A9" w:rsidRDefault="000370A9" w:rsidP="000370A9">
            <w:pPr>
              <w:spacing w:line="360" w:lineRule="auto"/>
              <w:rPr>
                <w:sz w:val="24"/>
                <w:szCs w:val="24"/>
              </w:rPr>
            </w:pPr>
            <w:r>
              <w:rPr>
                <w:rFonts w:eastAsia="Calibri"/>
                <w:sz w:val="24"/>
                <w:szCs w:val="24"/>
              </w:rPr>
              <w:t>Limited longitudinal evidence on the sustainability of integrated BDS and finance models.</w:t>
            </w:r>
          </w:p>
        </w:tc>
        <w:tc>
          <w:tcPr>
            <w:tcW w:w="550" w:type="dxa"/>
            <w:tcMar>
              <w:top w:w="60" w:type="dxa"/>
              <w:left w:w="80" w:type="dxa"/>
              <w:bottom w:w="60" w:type="dxa"/>
              <w:right w:w="80" w:type="dxa"/>
            </w:tcMar>
          </w:tcPr>
          <w:p w14:paraId="68C6E4D5" w14:textId="77777777" w:rsidR="00253979" w:rsidRPr="000370A9" w:rsidRDefault="000370A9" w:rsidP="000370A9">
            <w:pPr>
              <w:spacing w:line="360" w:lineRule="auto"/>
              <w:rPr>
                <w:sz w:val="24"/>
                <w:szCs w:val="24"/>
              </w:rPr>
            </w:pPr>
            <w:r>
              <w:rPr>
                <w:rFonts w:eastAsia="Calibri"/>
                <w:sz w:val="24"/>
                <w:szCs w:val="24"/>
              </w:rPr>
              <w:t>4/5</w:t>
            </w:r>
          </w:p>
        </w:tc>
        <w:tc>
          <w:tcPr>
            <w:tcW w:w="1150" w:type="dxa"/>
            <w:tcMar>
              <w:top w:w="60" w:type="dxa"/>
              <w:left w:w="80" w:type="dxa"/>
              <w:bottom w:w="60" w:type="dxa"/>
              <w:right w:w="80" w:type="dxa"/>
            </w:tcMar>
          </w:tcPr>
          <w:p w14:paraId="3145A848" w14:textId="77777777" w:rsidR="00253979" w:rsidRPr="000370A9" w:rsidRDefault="000370A9" w:rsidP="000370A9">
            <w:pPr>
              <w:spacing w:line="360" w:lineRule="auto"/>
              <w:rPr>
                <w:sz w:val="24"/>
                <w:szCs w:val="24"/>
              </w:rPr>
            </w:pPr>
            <w:r>
              <w:rPr>
                <w:rFonts w:eastAsia="Calibri"/>
                <w:sz w:val="24"/>
                <w:szCs w:val="24"/>
              </w:rPr>
              <w:t>Market linkages; institutional barriers; business support</w:t>
            </w:r>
          </w:p>
        </w:tc>
        <w:tc>
          <w:tcPr>
            <w:tcW w:w="1150" w:type="dxa"/>
            <w:tcMar>
              <w:top w:w="60" w:type="dxa"/>
              <w:left w:w="80" w:type="dxa"/>
              <w:bottom w:w="60" w:type="dxa"/>
              <w:right w:w="80" w:type="dxa"/>
            </w:tcMar>
          </w:tcPr>
          <w:p w14:paraId="58559105" w14:textId="77777777" w:rsidR="00253979" w:rsidRPr="000370A9" w:rsidRDefault="000370A9" w:rsidP="000370A9">
            <w:pPr>
              <w:spacing w:line="360" w:lineRule="auto"/>
              <w:rPr>
                <w:sz w:val="24"/>
                <w:szCs w:val="24"/>
              </w:rPr>
            </w:pPr>
            <w:r>
              <w:rPr>
                <w:rFonts w:eastAsia="Calibri"/>
                <w:sz w:val="24"/>
                <w:szCs w:val="24"/>
              </w:rPr>
              <w:t>Institutional support strengthens rural entrepreneurship</w:t>
            </w:r>
          </w:p>
        </w:tc>
        <w:tc>
          <w:tcPr>
            <w:tcW w:w="1150" w:type="dxa"/>
            <w:tcMar>
              <w:top w:w="60" w:type="dxa"/>
              <w:left w:w="80" w:type="dxa"/>
              <w:bottom w:w="60" w:type="dxa"/>
              <w:right w:w="80" w:type="dxa"/>
            </w:tcMar>
          </w:tcPr>
          <w:p w14:paraId="65A955DD" w14:textId="77777777" w:rsidR="00253979" w:rsidRPr="000370A9" w:rsidRDefault="000370A9" w:rsidP="000370A9">
            <w:pPr>
              <w:spacing w:line="360" w:lineRule="auto"/>
              <w:rPr>
                <w:sz w:val="24"/>
                <w:szCs w:val="24"/>
              </w:rPr>
            </w:pPr>
            <w:r>
              <w:rPr>
                <w:rFonts w:eastAsia="Calibri"/>
                <w:sz w:val="24"/>
                <w:szCs w:val="24"/>
              </w:rPr>
              <w:t>BDS addresses institutional barriers and supports enterprise sustainability</w:t>
            </w:r>
          </w:p>
        </w:tc>
      </w:tr>
      <w:tr w:rsidR="00253979" w:rsidRPr="000370A9" w14:paraId="747067F8" w14:textId="77777777">
        <w:tc>
          <w:tcPr>
            <w:tcW w:w="450" w:type="dxa"/>
            <w:tcMar>
              <w:top w:w="60" w:type="dxa"/>
              <w:left w:w="80" w:type="dxa"/>
              <w:bottom w:w="60" w:type="dxa"/>
              <w:right w:w="80" w:type="dxa"/>
            </w:tcMar>
          </w:tcPr>
          <w:p w14:paraId="12150696" w14:textId="77777777" w:rsidR="00253979" w:rsidRPr="000370A9" w:rsidRDefault="000370A9" w:rsidP="000370A9">
            <w:pPr>
              <w:spacing w:line="360" w:lineRule="auto"/>
              <w:rPr>
                <w:sz w:val="24"/>
                <w:szCs w:val="24"/>
              </w:rPr>
            </w:pPr>
            <w:r>
              <w:rPr>
                <w:rFonts w:eastAsia="Calibri"/>
                <w:sz w:val="24"/>
                <w:szCs w:val="24"/>
              </w:rPr>
              <w:t>5</w:t>
            </w:r>
          </w:p>
        </w:tc>
        <w:tc>
          <w:tcPr>
            <w:tcW w:w="1300" w:type="dxa"/>
            <w:tcMar>
              <w:top w:w="60" w:type="dxa"/>
              <w:left w:w="80" w:type="dxa"/>
              <w:bottom w:w="60" w:type="dxa"/>
              <w:right w:w="80" w:type="dxa"/>
            </w:tcMar>
          </w:tcPr>
          <w:p w14:paraId="4BAA760B" w14:textId="77777777" w:rsidR="00253979" w:rsidRPr="000370A9" w:rsidRDefault="000370A9" w:rsidP="000370A9">
            <w:pPr>
              <w:spacing w:line="360" w:lineRule="auto"/>
              <w:rPr>
                <w:sz w:val="24"/>
                <w:szCs w:val="24"/>
              </w:rPr>
            </w:pPr>
            <w:r>
              <w:rPr>
                <w:rFonts w:eastAsia="Calibri"/>
                <w:sz w:val="24"/>
                <w:szCs w:val="24"/>
              </w:rPr>
              <w:t>Khanam et al. (2018)</w:t>
            </w:r>
          </w:p>
        </w:tc>
        <w:tc>
          <w:tcPr>
            <w:tcW w:w="950" w:type="dxa"/>
            <w:tcMar>
              <w:top w:w="60" w:type="dxa"/>
              <w:left w:w="80" w:type="dxa"/>
              <w:bottom w:w="60" w:type="dxa"/>
              <w:right w:w="80" w:type="dxa"/>
            </w:tcMar>
          </w:tcPr>
          <w:p w14:paraId="657F5DC2" w14:textId="77777777" w:rsidR="00253979" w:rsidRPr="000370A9" w:rsidRDefault="000370A9" w:rsidP="000370A9">
            <w:pPr>
              <w:spacing w:line="360" w:lineRule="auto"/>
              <w:rPr>
                <w:sz w:val="24"/>
                <w:szCs w:val="24"/>
              </w:rPr>
            </w:pPr>
            <w:r>
              <w:rPr>
                <w:rFonts w:eastAsia="Calibri"/>
                <w:sz w:val="24"/>
                <w:szCs w:val="24"/>
              </w:rPr>
              <w:t>Bangladesh</w:t>
            </w:r>
          </w:p>
        </w:tc>
        <w:tc>
          <w:tcPr>
            <w:tcW w:w="1300" w:type="dxa"/>
            <w:tcMar>
              <w:top w:w="60" w:type="dxa"/>
              <w:left w:w="80" w:type="dxa"/>
              <w:bottom w:w="60" w:type="dxa"/>
              <w:right w:w="80" w:type="dxa"/>
            </w:tcMar>
          </w:tcPr>
          <w:p w14:paraId="623CCC8B" w14:textId="77777777" w:rsidR="00253979" w:rsidRPr="000370A9" w:rsidRDefault="000370A9" w:rsidP="000370A9">
            <w:pPr>
              <w:spacing w:line="360" w:lineRule="auto"/>
              <w:rPr>
                <w:sz w:val="24"/>
                <w:szCs w:val="24"/>
              </w:rPr>
            </w:pPr>
            <w:r>
              <w:rPr>
                <w:rFonts w:eastAsia="Calibri"/>
                <w:sz w:val="24"/>
                <w:szCs w:val="24"/>
              </w:rPr>
              <w:t>Microcredit, BDS, and rural entrepreneurship</w:t>
            </w:r>
          </w:p>
        </w:tc>
        <w:tc>
          <w:tcPr>
            <w:tcW w:w="1150" w:type="dxa"/>
            <w:tcMar>
              <w:top w:w="60" w:type="dxa"/>
              <w:left w:w="80" w:type="dxa"/>
              <w:bottom w:w="60" w:type="dxa"/>
              <w:right w:w="80" w:type="dxa"/>
            </w:tcMar>
          </w:tcPr>
          <w:p w14:paraId="517FCE02" w14:textId="77777777" w:rsidR="00253979" w:rsidRPr="000370A9" w:rsidRDefault="000370A9" w:rsidP="000370A9">
            <w:pPr>
              <w:spacing w:line="360" w:lineRule="auto"/>
              <w:rPr>
                <w:sz w:val="24"/>
                <w:szCs w:val="24"/>
              </w:rPr>
            </w:pPr>
            <w:r>
              <w:rPr>
                <w:rFonts w:eastAsia="Calibri"/>
                <w:sz w:val="24"/>
                <w:szCs w:val="24"/>
              </w:rPr>
              <w:t>Human Capital Theory</w:t>
            </w:r>
          </w:p>
        </w:tc>
        <w:tc>
          <w:tcPr>
            <w:tcW w:w="950" w:type="dxa"/>
            <w:tcMar>
              <w:top w:w="60" w:type="dxa"/>
              <w:left w:w="80" w:type="dxa"/>
              <w:bottom w:w="60" w:type="dxa"/>
              <w:right w:w="80" w:type="dxa"/>
            </w:tcMar>
          </w:tcPr>
          <w:p w14:paraId="2F0EF094" w14:textId="77777777" w:rsidR="00253979" w:rsidRPr="000370A9" w:rsidRDefault="000370A9" w:rsidP="000370A9">
            <w:pPr>
              <w:spacing w:line="360" w:lineRule="auto"/>
              <w:rPr>
                <w:sz w:val="24"/>
                <w:szCs w:val="24"/>
              </w:rPr>
            </w:pPr>
            <w:r>
              <w:rPr>
                <w:rFonts w:eastAsia="Calibri"/>
                <w:sz w:val="24"/>
                <w:szCs w:val="24"/>
              </w:rPr>
              <w:t>Empirical quantitative study</w:t>
            </w:r>
          </w:p>
        </w:tc>
        <w:tc>
          <w:tcPr>
            <w:tcW w:w="2700" w:type="dxa"/>
            <w:tcMar>
              <w:top w:w="60" w:type="dxa"/>
              <w:left w:w="80" w:type="dxa"/>
              <w:bottom w:w="60" w:type="dxa"/>
              <w:right w:w="80" w:type="dxa"/>
            </w:tcMar>
          </w:tcPr>
          <w:p w14:paraId="6B302D0A" w14:textId="77777777" w:rsidR="00253979" w:rsidRPr="000370A9" w:rsidRDefault="000370A9" w:rsidP="000370A9">
            <w:pPr>
              <w:spacing w:line="360" w:lineRule="auto"/>
              <w:rPr>
                <w:sz w:val="24"/>
                <w:szCs w:val="24"/>
              </w:rPr>
            </w:pPr>
            <w:r>
              <w:rPr>
                <w:rFonts w:eastAsia="Calibri"/>
                <w:sz w:val="24"/>
                <w:szCs w:val="24"/>
              </w:rPr>
              <w:t>Business training improves entrepreneurial skills, business performance, and loan repayment.</w:t>
            </w:r>
          </w:p>
        </w:tc>
        <w:tc>
          <w:tcPr>
            <w:tcW w:w="2400" w:type="dxa"/>
            <w:tcMar>
              <w:top w:w="60" w:type="dxa"/>
              <w:left w:w="80" w:type="dxa"/>
              <w:bottom w:w="60" w:type="dxa"/>
              <w:right w:w="80" w:type="dxa"/>
            </w:tcMar>
          </w:tcPr>
          <w:p w14:paraId="323CB937" w14:textId="77777777" w:rsidR="00253979" w:rsidRPr="000370A9" w:rsidRDefault="000370A9" w:rsidP="000370A9">
            <w:pPr>
              <w:spacing w:line="360" w:lineRule="auto"/>
              <w:rPr>
                <w:sz w:val="24"/>
                <w:szCs w:val="24"/>
              </w:rPr>
            </w:pPr>
            <w:r>
              <w:rPr>
                <w:rFonts w:eastAsia="Calibri"/>
                <w:sz w:val="24"/>
                <w:szCs w:val="24"/>
              </w:rPr>
              <w:t xml:space="preserve">Limited evidence on which BDS components are most effective for women's entrepreneurship and </w:t>
            </w:r>
            <w:r>
              <w:rPr>
                <w:rFonts w:eastAsia="Calibri"/>
                <w:sz w:val="24"/>
                <w:szCs w:val="24"/>
              </w:rPr>
              <w:lastRenderedPageBreak/>
              <w:t>poverty reduction.</w:t>
            </w:r>
          </w:p>
        </w:tc>
        <w:tc>
          <w:tcPr>
            <w:tcW w:w="550" w:type="dxa"/>
            <w:tcMar>
              <w:top w:w="60" w:type="dxa"/>
              <w:left w:w="80" w:type="dxa"/>
              <w:bottom w:w="60" w:type="dxa"/>
              <w:right w:w="80" w:type="dxa"/>
            </w:tcMar>
          </w:tcPr>
          <w:p w14:paraId="5E9A5210" w14:textId="77777777" w:rsidR="00253979" w:rsidRPr="000370A9" w:rsidRDefault="000370A9" w:rsidP="000370A9">
            <w:pPr>
              <w:spacing w:line="360" w:lineRule="auto"/>
              <w:rPr>
                <w:sz w:val="24"/>
                <w:szCs w:val="24"/>
              </w:rPr>
            </w:pPr>
            <w:r>
              <w:rPr>
                <w:rFonts w:eastAsia="Calibri"/>
                <w:sz w:val="24"/>
                <w:szCs w:val="24"/>
              </w:rPr>
              <w:lastRenderedPageBreak/>
              <w:t>4.5/5</w:t>
            </w:r>
          </w:p>
        </w:tc>
        <w:tc>
          <w:tcPr>
            <w:tcW w:w="1150" w:type="dxa"/>
            <w:tcMar>
              <w:top w:w="60" w:type="dxa"/>
              <w:left w:w="80" w:type="dxa"/>
              <w:bottom w:w="60" w:type="dxa"/>
              <w:right w:w="80" w:type="dxa"/>
            </w:tcMar>
          </w:tcPr>
          <w:p w14:paraId="614B1CE8" w14:textId="77777777" w:rsidR="00253979" w:rsidRPr="000370A9" w:rsidRDefault="000370A9" w:rsidP="000370A9">
            <w:pPr>
              <w:spacing w:line="360" w:lineRule="auto"/>
              <w:rPr>
                <w:sz w:val="24"/>
                <w:szCs w:val="24"/>
              </w:rPr>
            </w:pPr>
            <w:r>
              <w:rPr>
                <w:rFonts w:eastAsia="Calibri"/>
                <w:sz w:val="24"/>
                <w:szCs w:val="24"/>
              </w:rPr>
              <w:t>Business training; entrepreneurial skills; financial literacy; market access</w:t>
            </w:r>
          </w:p>
        </w:tc>
        <w:tc>
          <w:tcPr>
            <w:tcW w:w="1150" w:type="dxa"/>
            <w:tcMar>
              <w:top w:w="60" w:type="dxa"/>
              <w:left w:w="80" w:type="dxa"/>
              <w:bottom w:w="60" w:type="dxa"/>
              <w:right w:w="80" w:type="dxa"/>
            </w:tcMar>
          </w:tcPr>
          <w:p w14:paraId="19A0DC1B" w14:textId="77777777" w:rsidR="00253979" w:rsidRPr="000370A9" w:rsidRDefault="000370A9" w:rsidP="000370A9">
            <w:pPr>
              <w:spacing w:line="360" w:lineRule="auto"/>
              <w:rPr>
                <w:sz w:val="24"/>
                <w:szCs w:val="24"/>
              </w:rPr>
            </w:pPr>
            <w:r>
              <w:rPr>
                <w:rFonts w:eastAsia="Calibri"/>
                <w:sz w:val="24"/>
                <w:szCs w:val="24"/>
              </w:rPr>
              <w:t>Different BDS components influence entrepreneurial outcomes differently</w:t>
            </w:r>
          </w:p>
        </w:tc>
        <w:tc>
          <w:tcPr>
            <w:tcW w:w="1150" w:type="dxa"/>
            <w:tcMar>
              <w:top w:w="60" w:type="dxa"/>
              <w:left w:w="80" w:type="dxa"/>
              <w:bottom w:w="60" w:type="dxa"/>
              <w:right w:w="80" w:type="dxa"/>
            </w:tcMar>
          </w:tcPr>
          <w:p w14:paraId="4B28B9E5" w14:textId="77777777" w:rsidR="00253979" w:rsidRPr="000370A9" w:rsidRDefault="000370A9" w:rsidP="000370A9">
            <w:pPr>
              <w:spacing w:line="360" w:lineRule="auto"/>
              <w:rPr>
                <w:sz w:val="24"/>
                <w:szCs w:val="24"/>
              </w:rPr>
            </w:pPr>
            <w:r>
              <w:rPr>
                <w:rFonts w:eastAsia="Calibri"/>
                <w:sz w:val="24"/>
                <w:szCs w:val="24"/>
              </w:rPr>
              <w:t>Effective BDS transforms microcredit into sustainable entrepreneurship</w:t>
            </w:r>
          </w:p>
        </w:tc>
      </w:tr>
      <w:tr w:rsidR="00253979" w:rsidRPr="000370A9" w14:paraId="04D5E747" w14:textId="77777777">
        <w:tc>
          <w:tcPr>
            <w:tcW w:w="450" w:type="dxa"/>
            <w:tcMar>
              <w:top w:w="60" w:type="dxa"/>
              <w:left w:w="80" w:type="dxa"/>
              <w:bottom w:w="60" w:type="dxa"/>
              <w:right w:w="80" w:type="dxa"/>
            </w:tcMar>
          </w:tcPr>
          <w:p w14:paraId="175196DF" w14:textId="77777777" w:rsidR="00253979" w:rsidRPr="000370A9" w:rsidRDefault="000370A9" w:rsidP="000370A9">
            <w:pPr>
              <w:spacing w:line="360" w:lineRule="auto"/>
              <w:rPr>
                <w:sz w:val="24"/>
                <w:szCs w:val="24"/>
              </w:rPr>
            </w:pPr>
            <w:r>
              <w:rPr>
                <w:rFonts w:eastAsia="Calibri"/>
                <w:sz w:val="24"/>
                <w:szCs w:val="24"/>
              </w:rPr>
              <w:t>6</w:t>
            </w:r>
          </w:p>
        </w:tc>
        <w:tc>
          <w:tcPr>
            <w:tcW w:w="1300" w:type="dxa"/>
            <w:tcMar>
              <w:top w:w="60" w:type="dxa"/>
              <w:left w:w="80" w:type="dxa"/>
              <w:bottom w:w="60" w:type="dxa"/>
              <w:right w:w="80" w:type="dxa"/>
            </w:tcMar>
          </w:tcPr>
          <w:p w14:paraId="3015B391" w14:textId="77777777" w:rsidR="00253979" w:rsidRPr="000370A9" w:rsidRDefault="000370A9" w:rsidP="000370A9">
            <w:pPr>
              <w:spacing w:line="360" w:lineRule="auto"/>
              <w:rPr>
                <w:sz w:val="24"/>
                <w:szCs w:val="24"/>
              </w:rPr>
            </w:pPr>
            <w:r>
              <w:rPr>
                <w:rFonts w:eastAsia="Calibri"/>
                <w:sz w:val="24"/>
                <w:szCs w:val="24"/>
              </w:rPr>
              <w:t>Karlan and Valdivia (2011)</w:t>
            </w:r>
          </w:p>
        </w:tc>
        <w:tc>
          <w:tcPr>
            <w:tcW w:w="950" w:type="dxa"/>
            <w:tcMar>
              <w:top w:w="60" w:type="dxa"/>
              <w:left w:w="80" w:type="dxa"/>
              <w:bottom w:w="60" w:type="dxa"/>
              <w:right w:w="80" w:type="dxa"/>
            </w:tcMar>
          </w:tcPr>
          <w:p w14:paraId="4B969140" w14:textId="77777777" w:rsidR="00253979" w:rsidRPr="000370A9" w:rsidRDefault="000370A9" w:rsidP="000370A9">
            <w:pPr>
              <w:spacing w:line="360" w:lineRule="auto"/>
              <w:rPr>
                <w:sz w:val="24"/>
                <w:szCs w:val="24"/>
              </w:rPr>
            </w:pPr>
            <w:r>
              <w:rPr>
                <w:rFonts w:eastAsia="Calibri"/>
                <w:sz w:val="24"/>
                <w:szCs w:val="24"/>
              </w:rPr>
              <w:t>Peru</w:t>
            </w:r>
          </w:p>
        </w:tc>
        <w:tc>
          <w:tcPr>
            <w:tcW w:w="1300" w:type="dxa"/>
            <w:tcMar>
              <w:top w:w="60" w:type="dxa"/>
              <w:left w:w="80" w:type="dxa"/>
              <w:bottom w:w="60" w:type="dxa"/>
              <w:right w:w="80" w:type="dxa"/>
            </w:tcMar>
          </w:tcPr>
          <w:p w14:paraId="6A4F1A57" w14:textId="77777777" w:rsidR="00253979" w:rsidRPr="000370A9" w:rsidRDefault="000370A9" w:rsidP="000370A9">
            <w:pPr>
              <w:spacing w:line="360" w:lineRule="auto"/>
              <w:rPr>
                <w:sz w:val="24"/>
                <w:szCs w:val="24"/>
              </w:rPr>
            </w:pPr>
            <w:r>
              <w:rPr>
                <w:rFonts w:eastAsia="Calibri"/>
                <w:sz w:val="24"/>
                <w:szCs w:val="24"/>
              </w:rPr>
              <w:t>BDS (business training) added to group microfinance lending</w:t>
            </w:r>
          </w:p>
        </w:tc>
        <w:tc>
          <w:tcPr>
            <w:tcW w:w="1150" w:type="dxa"/>
            <w:tcMar>
              <w:top w:w="60" w:type="dxa"/>
              <w:left w:w="80" w:type="dxa"/>
              <w:bottom w:w="60" w:type="dxa"/>
              <w:right w:w="80" w:type="dxa"/>
            </w:tcMar>
          </w:tcPr>
          <w:p w14:paraId="77B2707E" w14:textId="77777777" w:rsidR="00253979" w:rsidRPr="000370A9" w:rsidRDefault="000370A9" w:rsidP="000370A9">
            <w:pPr>
              <w:spacing w:line="360" w:lineRule="auto"/>
              <w:rPr>
                <w:sz w:val="24"/>
                <w:szCs w:val="24"/>
              </w:rPr>
            </w:pPr>
            <w:r>
              <w:rPr>
                <w:rFonts w:eastAsia="Calibri"/>
                <w:sz w:val="24"/>
                <w:szCs w:val="24"/>
              </w:rPr>
              <w:t>Human Capital Theory</w:t>
            </w:r>
          </w:p>
        </w:tc>
        <w:tc>
          <w:tcPr>
            <w:tcW w:w="950" w:type="dxa"/>
            <w:tcMar>
              <w:top w:w="60" w:type="dxa"/>
              <w:left w:w="80" w:type="dxa"/>
              <w:bottom w:w="60" w:type="dxa"/>
              <w:right w:w="80" w:type="dxa"/>
            </w:tcMar>
          </w:tcPr>
          <w:p w14:paraId="13927967" w14:textId="77777777" w:rsidR="00253979" w:rsidRPr="000370A9" w:rsidRDefault="000370A9" w:rsidP="000370A9">
            <w:pPr>
              <w:spacing w:line="360" w:lineRule="auto"/>
              <w:rPr>
                <w:sz w:val="24"/>
                <w:szCs w:val="24"/>
              </w:rPr>
            </w:pPr>
            <w:r>
              <w:rPr>
                <w:rFonts w:eastAsia="Calibri"/>
                <w:sz w:val="24"/>
                <w:szCs w:val="24"/>
              </w:rPr>
              <w:t>Randomised controlled trial</w:t>
            </w:r>
          </w:p>
        </w:tc>
        <w:tc>
          <w:tcPr>
            <w:tcW w:w="2700" w:type="dxa"/>
            <w:tcMar>
              <w:top w:w="60" w:type="dxa"/>
              <w:left w:w="80" w:type="dxa"/>
              <w:bottom w:w="60" w:type="dxa"/>
              <w:right w:w="80" w:type="dxa"/>
            </w:tcMar>
          </w:tcPr>
          <w:p w14:paraId="75481FFC" w14:textId="77777777" w:rsidR="00253979" w:rsidRPr="000370A9" w:rsidRDefault="000370A9" w:rsidP="000370A9">
            <w:pPr>
              <w:spacing w:line="360" w:lineRule="auto"/>
              <w:rPr>
                <w:sz w:val="24"/>
                <w:szCs w:val="24"/>
              </w:rPr>
            </w:pPr>
            <w:r>
              <w:rPr>
                <w:rFonts w:eastAsia="Calibri"/>
                <w:sz w:val="24"/>
                <w:szCs w:val="24"/>
              </w:rPr>
              <w:t>Business training improved business knowledge and practices for female microfinance clients, with modest effects on revenues/profits.</w:t>
            </w:r>
          </w:p>
        </w:tc>
        <w:tc>
          <w:tcPr>
            <w:tcW w:w="2400" w:type="dxa"/>
            <w:tcMar>
              <w:top w:w="60" w:type="dxa"/>
              <w:left w:w="80" w:type="dxa"/>
              <w:bottom w:w="60" w:type="dxa"/>
              <w:right w:w="80" w:type="dxa"/>
            </w:tcMar>
          </w:tcPr>
          <w:p w14:paraId="6AFFEFE5" w14:textId="77777777" w:rsidR="00253979" w:rsidRPr="000370A9" w:rsidRDefault="000370A9" w:rsidP="000370A9">
            <w:pPr>
              <w:spacing w:line="360" w:lineRule="auto"/>
              <w:rPr>
                <w:sz w:val="24"/>
                <w:szCs w:val="24"/>
              </w:rPr>
            </w:pPr>
            <w:r>
              <w:rPr>
                <w:rFonts w:eastAsia="Calibri"/>
                <w:sz w:val="24"/>
                <w:szCs w:val="24"/>
              </w:rPr>
              <w:t>Limited evidence on long-run, rural-specific business growth outcomes when training is bundled with credit.</w:t>
            </w:r>
          </w:p>
        </w:tc>
        <w:tc>
          <w:tcPr>
            <w:tcW w:w="550" w:type="dxa"/>
            <w:tcMar>
              <w:top w:w="60" w:type="dxa"/>
              <w:left w:w="80" w:type="dxa"/>
              <w:bottom w:w="60" w:type="dxa"/>
              <w:right w:w="80" w:type="dxa"/>
            </w:tcMar>
          </w:tcPr>
          <w:p w14:paraId="77A30D03" w14:textId="77777777" w:rsidR="00253979" w:rsidRPr="000370A9" w:rsidRDefault="000370A9" w:rsidP="000370A9">
            <w:pPr>
              <w:spacing w:line="360" w:lineRule="auto"/>
              <w:rPr>
                <w:sz w:val="24"/>
                <w:szCs w:val="24"/>
              </w:rPr>
            </w:pPr>
            <w:r>
              <w:rPr>
                <w:rFonts w:eastAsia="Calibri"/>
                <w:sz w:val="24"/>
                <w:szCs w:val="24"/>
              </w:rPr>
              <w:t>4/5</w:t>
            </w:r>
          </w:p>
        </w:tc>
        <w:tc>
          <w:tcPr>
            <w:tcW w:w="1150" w:type="dxa"/>
            <w:tcMar>
              <w:top w:w="60" w:type="dxa"/>
              <w:left w:w="80" w:type="dxa"/>
              <w:bottom w:w="60" w:type="dxa"/>
              <w:right w:w="80" w:type="dxa"/>
            </w:tcMar>
          </w:tcPr>
          <w:p w14:paraId="453730CA" w14:textId="77777777" w:rsidR="00253979" w:rsidRPr="000370A9" w:rsidRDefault="000370A9" w:rsidP="000370A9">
            <w:pPr>
              <w:spacing w:line="360" w:lineRule="auto"/>
              <w:rPr>
                <w:sz w:val="24"/>
                <w:szCs w:val="24"/>
              </w:rPr>
            </w:pPr>
            <w:r>
              <w:rPr>
                <w:rFonts w:eastAsia="Calibri"/>
                <w:sz w:val="24"/>
                <w:szCs w:val="24"/>
              </w:rPr>
              <w:t>Business training; group lending; knowledge transfer</w:t>
            </w:r>
          </w:p>
        </w:tc>
        <w:tc>
          <w:tcPr>
            <w:tcW w:w="1150" w:type="dxa"/>
            <w:tcMar>
              <w:top w:w="60" w:type="dxa"/>
              <w:left w:w="80" w:type="dxa"/>
              <w:bottom w:w="60" w:type="dxa"/>
              <w:right w:w="80" w:type="dxa"/>
            </w:tcMar>
          </w:tcPr>
          <w:p w14:paraId="7157833B" w14:textId="77777777" w:rsidR="00253979" w:rsidRPr="000370A9" w:rsidRDefault="000370A9" w:rsidP="000370A9">
            <w:pPr>
              <w:spacing w:line="360" w:lineRule="auto"/>
              <w:rPr>
                <w:sz w:val="24"/>
                <w:szCs w:val="24"/>
              </w:rPr>
            </w:pPr>
            <w:r>
              <w:rPr>
                <w:rFonts w:eastAsia="Calibri"/>
                <w:sz w:val="24"/>
                <w:szCs w:val="24"/>
              </w:rPr>
              <w:t>Non-financial training complements group-based credit delivery</w:t>
            </w:r>
          </w:p>
        </w:tc>
        <w:tc>
          <w:tcPr>
            <w:tcW w:w="1150" w:type="dxa"/>
            <w:tcMar>
              <w:top w:w="60" w:type="dxa"/>
              <w:left w:w="80" w:type="dxa"/>
              <w:bottom w:w="60" w:type="dxa"/>
              <w:right w:w="80" w:type="dxa"/>
            </w:tcMar>
          </w:tcPr>
          <w:p w14:paraId="45526412" w14:textId="77777777" w:rsidR="00253979" w:rsidRPr="000370A9" w:rsidRDefault="000370A9" w:rsidP="000370A9">
            <w:pPr>
              <w:spacing w:line="360" w:lineRule="auto"/>
              <w:rPr>
                <w:sz w:val="24"/>
                <w:szCs w:val="24"/>
              </w:rPr>
            </w:pPr>
            <w:r>
              <w:rPr>
                <w:rFonts w:eastAsia="Calibri"/>
                <w:sz w:val="24"/>
                <w:szCs w:val="24"/>
              </w:rPr>
              <w:t>Bundled training improves practices more than revenue in the short run</w:t>
            </w:r>
          </w:p>
        </w:tc>
      </w:tr>
    </w:tbl>
    <w:p w14:paraId="1D162F04" w14:textId="77777777" w:rsidR="00253979" w:rsidRPr="000370A9" w:rsidRDefault="00253979" w:rsidP="000370A9">
      <w:pPr>
        <w:spacing w:line="360" w:lineRule="auto"/>
        <w:rPr>
          <w:sz w:val="24"/>
          <w:szCs w:val="24"/>
        </w:rPr>
        <w:sectPr w:rsidR="00253979" w:rsidRPr="000370A9">
          <w:pgSz w:w="16838" w:h="11906"/>
          <w:pgMar w:top="1080" w:right="720" w:bottom="1080" w:left="720" w:header="708" w:footer="708" w:gutter="0"/>
          <w:cols w:space="720"/>
          <w:docGrid w:linePitch="360"/>
        </w:sectPr>
      </w:pPr>
    </w:p>
    <w:p w14:paraId="771663F9" w14:textId="77777777" w:rsidR="00253979" w:rsidRPr="000370A9" w:rsidRDefault="000370A9" w:rsidP="000370A9">
      <w:pPr>
        <w:pStyle w:val="Heading2"/>
        <w:spacing w:before="280" w:after="160" w:line="360" w:lineRule="auto"/>
        <w:rPr>
          <w:sz w:val="24"/>
          <w:szCs w:val="24"/>
        </w:rPr>
      </w:pPr>
      <w:r>
        <w:rPr>
          <w:rFonts w:eastAsia="Calibri"/>
          <w:b/>
          <w:bCs/>
          <w:sz w:val="24"/>
          <w:szCs w:val="24"/>
        </w:rPr>
        <w:lastRenderedPageBreak/>
        <w:t>2.10 Ethical Considerations</w:t>
      </w:r>
    </w:p>
    <w:p w14:paraId="31063827" w14:textId="77777777" w:rsidR="00253979" w:rsidRPr="000370A9" w:rsidRDefault="000370A9" w:rsidP="000370A9">
      <w:pPr>
        <w:spacing w:after="200" w:line="360" w:lineRule="auto"/>
        <w:jc w:val="both"/>
        <w:rPr>
          <w:sz w:val="24"/>
          <w:szCs w:val="24"/>
        </w:rPr>
      </w:pPr>
      <w:r>
        <w:rPr>
          <w:rFonts w:eastAsia="Calibri"/>
          <w:sz w:val="24"/>
          <w:szCs w:val="24"/>
        </w:rPr>
        <w:t>As this study uses only publicly available, peer-reviewed literature, formal ethical clearance was not required. However, standard ethical principles for secondary research were strictly followed: all sources were interpreted objectively, cited accurately using the Harvard system, and properly referenced to prevent plagiarism.</w:t>
      </w:r>
    </w:p>
    <w:p w14:paraId="56A4EAD6" w14:textId="77777777" w:rsidR="00253979" w:rsidRPr="000370A9" w:rsidRDefault="000370A9" w:rsidP="000370A9">
      <w:pPr>
        <w:pStyle w:val="Heading2"/>
        <w:spacing w:before="280" w:after="160" w:line="360" w:lineRule="auto"/>
        <w:rPr>
          <w:sz w:val="24"/>
          <w:szCs w:val="24"/>
        </w:rPr>
      </w:pPr>
      <w:r>
        <w:rPr>
          <w:rFonts w:eastAsia="Calibri"/>
          <w:b/>
          <w:bCs/>
          <w:sz w:val="24"/>
          <w:szCs w:val="24"/>
        </w:rPr>
        <w:t>2.11 Limitations of the Methodology</w:t>
      </w:r>
    </w:p>
    <w:p w14:paraId="0F06BC6C" w14:textId="7F5DDE14" w:rsidR="00791097" w:rsidRPr="00C274C0" w:rsidRDefault="00791097" w:rsidP="00791097">
      <w:pPr>
        <w:spacing w:after="100" w:line="300" w:lineRule="auto"/>
        <w:rPr>
          <w:sz w:val="24"/>
          <w:szCs w:val="24"/>
        </w:rPr>
      </w:pPr>
      <w:r>
        <w:rPr>
          <w:sz w:val="24"/>
          <w:szCs w:val="24"/>
        </w:rPr>
        <w:t xml:space="preserve">This review only included articles published in English. As a result, some important studies published in other languages may have been excluded. Another limitation is that only open-access, peer-reviewed articles were used, which could affect how comprehensive the review is. In addition, because the review uses qualitative synthesis rather than meta-analysis, it is not able to statistically combine effect sizes across studies. </w:t>
      </w:r>
    </w:p>
    <w:p w14:paraId="72DBA949" w14:textId="3FC659E4" w:rsidR="00253979" w:rsidRPr="000370A9" w:rsidRDefault="000370A9" w:rsidP="00791097">
      <w:pPr>
        <w:spacing w:line="360" w:lineRule="auto"/>
        <w:rPr>
          <w:sz w:val="24"/>
          <w:szCs w:val="24"/>
        </w:rPr>
      </w:pPr>
      <w:r>
        <w:rPr>
          <w:rFonts w:eastAsia="Calibri"/>
          <w:b/>
          <w:bCs/>
          <w:sz w:val="24"/>
          <w:szCs w:val="24"/>
        </w:rPr>
        <w:t>3. Literature Review</w:t>
      </w:r>
    </w:p>
    <w:p w14:paraId="6FFA4ED3" w14:textId="77777777" w:rsidR="00253979" w:rsidRPr="000370A9" w:rsidRDefault="000370A9" w:rsidP="000370A9">
      <w:pPr>
        <w:spacing w:after="200" w:line="360" w:lineRule="auto"/>
        <w:jc w:val="both"/>
        <w:rPr>
          <w:sz w:val="24"/>
          <w:szCs w:val="24"/>
        </w:rPr>
      </w:pPr>
      <w:r>
        <w:rPr>
          <w:rFonts w:eastAsia="Calibri"/>
          <w:sz w:val="24"/>
          <w:szCs w:val="24"/>
        </w:rPr>
        <w:t>This chapter reviews the existing research on microcredit, Business Development Services, small business, rural entrepreneurship, socio-economic growth, and poverty reduction. Its purpose is to synthesise previous studies and the main theories explaining how microcredit and BDS relate to long-term, sustainable rural entrepreneurship. The chapter defines microcredit, rural entrepreneurship, and BDS in practice, and focuses on how they help people start and grow businesses, reduce poverty, and improve socio-economic development. In comparing earlier findings, the chapter does not simply report where researchers disagree; where the evidence allows, it also examines why their conclusions diverge, before setting out the research gap that this study addresses.</w:t>
      </w:r>
    </w:p>
    <w:p w14:paraId="70AEF7D9" w14:textId="77777777" w:rsidR="00253979" w:rsidRPr="000370A9" w:rsidRDefault="000370A9" w:rsidP="000370A9">
      <w:pPr>
        <w:pStyle w:val="Heading2"/>
        <w:spacing w:before="280" w:after="160" w:line="360" w:lineRule="auto"/>
        <w:rPr>
          <w:sz w:val="24"/>
          <w:szCs w:val="24"/>
        </w:rPr>
      </w:pPr>
      <w:r>
        <w:rPr>
          <w:rFonts w:eastAsia="Calibri"/>
          <w:b/>
          <w:bCs/>
          <w:sz w:val="24"/>
          <w:szCs w:val="24"/>
        </w:rPr>
        <w:t>3.1 Microcredit and Rural Entrepreneurship</w:t>
      </w:r>
    </w:p>
    <w:p w14:paraId="03674223" w14:textId="77777777" w:rsidR="00253979" w:rsidRPr="000370A9" w:rsidRDefault="000370A9" w:rsidP="000370A9">
      <w:pPr>
        <w:spacing w:after="200" w:line="360" w:lineRule="auto"/>
        <w:jc w:val="both"/>
        <w:rPr>
          <w:sz w:val="24"/>
          <w:szCs w:val="24"/>
        </w:rPr>
      </w:pPr>
      <w:r>
        <w:rPr>
          <w:rFonts w:eastAsia="Calibri"/>
          <w:sz w:val="24"/>
          <w:szCs w:val="24"/>
        </w:rPr>
        <w:t>Microcredit provides small loans that give people access to financial resources, allowing them to start businesses, increase profits, and expand their enterprises, particularly in developing economies where access to formal finance is limited (Chliova et al., 2015). However, Wickramasinghe and Fernando (2017) find that some low-income borrowers use their loans to cope with household risks rather than for the business investments they were intended for.</w:t>
      </w:r>
    </w:p>
    <w:p w14:paraId="2B60E766" w14:textId="3C429064" w:rsidR="00253979" w:rsidRPr="000370A9" w:rsidRDefault="000370A9" w:rsidP="000370A9">
      <w:pPr>
        <w:spacing w:after="200" w:line="360" w:lineRule="auto"/>
        <w:jc w:val="both"/>
        <w:rPr>
          <w:sz w:val="24"/>
          <w:szCs w:val="24"/>
        </w:rPr>
      </w:pPr>
      <w:r>
        <w:rPr>
          <w:rFonts w:eastAsia="Calibri"/>
          <w:sz w:val="24"/>
          <w:szCs w:val="24"/>
        </w:rPr>
        <w:t xml:space="preserve">These two findings are not necessarily contradictory; they point to different institutional and social conditions rather than to a flaw in microcredit itself. Where borrowers face high household vulnerability, such as illness, seasonal income shocks, or the absence of formal </w:t>
      </w:r>
      <w:r>
        <w:rPr>
          <w:rFonts w:eastAsia="Calibri"/>
          <w:sz w:val="24"/>
          <w:szCs w:val="24"/>
        </w:rPr>
        <w:lastRenderedPageBreak/>
        <w:t>insurance and safety nets, diverting a loan towards consumption smoothing is a rational response to risk rather than misuse of the product (Wickramasinghe and Fernando, 2017; Ault, 2016). By contrast, where lending is paired with more stable household conditions and clearer business intent, as in Prathap and Sreelakshmi's (2021) study of rural women in South India, microcredit is more likely to support economic independence, helping women start businesses, earn their own income, and save for their families' future needs.</w:t>
      </w:r>
      <w:r>
        <w:t xml:space="preserve"> </w:t>
      </w:r>
      <w:r>
        <w:rPr>
          <w:sz w:val="24"/>
          <w:szCs w:val="24"/>
        </w:rPr>
        <w:t>This enables rural entrepreneurs to turn initial business ideas into ongoing operations (Khan and Khan, 2016)</w:t>
      </w:r>
      <w:r>
        <w:rPr>
          <w:rFonts w:eastAsia="Calibri"/>
          <w:sz w:val="24"/>
          <w:szCs w:val="24"/>
        </w:rPr>
        <w:t>. The divergence between these studies therefore appears to reflect differences in household vulnerability and the availability of complementary risk-management mechanisms, rather than a simple contrast between ‘success’ and ‘failure’ cases.</w:t>
      </w:r>
    </w:p>
    <w:p w14:paraId="3F99EDC0" w14:textId="77777777" w:rsidR="00253979" w:rsidRPr="000370A9" w:rsidRDefault="000370A9" w:rsidP="000370A9">
      <w:pPr>
        <w:spacing w:after="200" w:line="360" w:lineRule="auto"/>
        <w:jc w:val="both"/>
        <w:rPr>
          <w:sz w:val="24"/>
          <w:szCs w:val="24"/>
        </w:rPr>
      </w:pPr>
      <w:r>
        <w:rPr>
          <w:rFonts w:eastAsia="Calibri"/>
          <w:sz w:val="24"/>
          <w:szCs w:val="24"/>
        </w:rPr>
        <w:t>A similar pattern of underlying, explainable divergence appears in research on gender. Debnath et al. (2019) find that microcredit alone does not guarantee successful entrepreneurship or women's empowerment in rural Bangladesh. Many women have limited control over the loans they receive because male family members often decide how the money is used, and the pressure of regular repayments can increase women's financial stress and workload. This outcome is better explained by pre-existing intra-household bargaining norms and social structures than by any inherent design fault in microcredit: evidence from the same context shows that microcredit improves women's involvement in household decisions and legal awareness, even as its effect on mobility, income control, and independent purchasing decisions remains limited or mixed (Debnath et al., 2019). In other words, the loan product interacts with, rather than overrides, existing social institutions.</w:t>
      </w:r>
    </w:p>
    <w:p w14:paraId="0F42B359" w14:textId="77777777" w:rsidR="00253979" w:rsidRPr="000370A9" w:rsidRDefault="000370A9" w:rsidP="000370A9">
      <w:pPr>
        <w:spacing w:after="200" w:line="360" w:lineRule="auto"/>
        <w:jc w:val="both"/>
        <w:rPr>
          <w:sz w:val="24"/>
          <w:szCs w:val="24"/>
        </w:rPr>
      </w:pPr>
      <w:r>
        <w:rPr>
          <w:rFonts w:eastAsia="Calibri"/>
          <w:sz w:val="24"/>
          <w:szCs w:val="24"/>
        </w:rPr>
        <w:t>Ashta et al. (2014) further show that poor lending assessments can create serious financial problems. When lending institutions extend loans without properly checking whether borrowers can repay them, vulnerable households can become trapped in cycles of debt, leading to financial hardship, stress, and family conflict. Institutional weaknesses in credit assessment, rather than the concept of microcredit itself, therefore appear to be the more proximate cause of debt-trap outcomes reported elsewhere in the literature.</w:t>
      </w:r>
    </w:p>
    <w:p w14:paraId="0CE71395" w14:textId="44083367" w:rsidR="00253979" w:rsidRPr="000370A9" w:rsidRDefault="00082D5E" w:rsidP="000370A9">
      <w:pPr>
        <w:spacing w:after="200" w:line="360" w:lineRule="auto"/>
        <w:jc w:val="both"/>
        <w:rPr>
          <w:sz w:val="24"/>
          <w:szCs w:val="24"/>
        </w:rPr>
      </w:pPr>
      <w:r>
        <w:rPr>
          <w:sz w:val="24"/>
          <w:szCs w:val="24"/>
        </w:rPr>
        <w:t>Taken together, empirical evidence highlights that while microcredit provides vital financial access to support rural entrepreneurship, its overall effectiveness depends heavily on institutional lending practices and household-level socio-economic contexts at least as much as on the loan itself</w:t>
      </w:r>
      <w:r>
        <w:rPr>
          <w:rFonts w:eastAsia="Calibri"/>
          <w:sz w:val="24"/>
          <w:szCs w:val="24"/>
        </w:rPr>
        <w:t xml:space="preserve">. Financial capital alone is not enough to ensure sustainable business development; entrepreneurial success also depends on business knowledge, management </w:t>
      </w:r>
      <w:r>
        <w:rPr>
          <w:rFonts w:eastAsia="Calibri"/>
          <w:sz w:val="24"/>
          <w:szCs w:val="24"/>
        </w:rPr>
        <w:lastRenderedPageBreak/>
        <w:t>ability, institutional support, and market access (Chliova et al., 2015; Debnath et al., 2019; Dalla Pellegrina et al., 2021).</w:t>
      </w:r>
    </w:p>
    <w:p w14:paraId="17E70217" w14:textId="77777777" w:rsidR="00253979" w:rsidRPr="000370A9" w:rsidRDefault="000370A9" w:rsidP="000370A9">
      <w:pPr>
        <w:pStyle w:val="Heading2"/>
        <w:spacing w:before="280" w:after="160" w:line="360" w:lineRule="auto"/>
        <w:rPr>
          <w:sz w:val="24"/>
          <w:szCs w:val="24"/>
        </w:rPr>
      </w:pPr>
      <w:r>
        <w:rPr>
          <w:rFonts w:eastAsia="Calibri"/>
          <w:b/>
          <w:bCs/>
          <w:sz w:val="24"/>
          <w:szCs w:val="24"/>
        </w:rPr>
        <w:t>3.2 Microcredit, Socio-Economic Growth and Poverty Reduction</w:t>
      </w:r>
    </w:p>
    <w:p w14:paraId="1447E05C" w14:textId="77777777" w:rsidR="00253979" w:rsidRPr="000370A9" w:rsidRDefault="000370A9" w:rsidP="000370A9">
      <w:pPr>
        <w:spacing w:after="200" w:line="360" w:lineRule="auto"/>
        <w:jc w:val="both"/>
        <w:rPr>
          <w:sz w:val="24"/>
          <w:szCs w:val="24"/>
        </w:rPr>
      </w:pPr>
      <w:r>
        <w:rPr>
          <w:rFonts w:eastAsia="Calibri"/>
          <w:sz w:val="24"/>
          <w:szCs w:val="24"/>
        </w:rPr>
        <w:t>Microcredit is widely seen as an effective way to improve financial inclusion, reduce poverty, and help low-income individuals participate in income-generating activities (Ault, 2016; Hani et al., 2024). However, researchers argue that access to credit alone does not guarantee better business performance or higher living standards; the impact of microcredit depends on the economic environment, the characteristics of the borrower, and the support available alongside the loan (Abeysekera, 2020; Fu and Krauss, 2024).</w:t>
      </w:r>
    </w:p>
    <w:p w14:paraId="2476DF26" w14:textId="77777777" w:rsidR="00253979" w:rsidRPr="000370A9" w:rsidRDefault="000370A9" w:rsidP="000370A9">
      <w:pPr>
        <w:spacing w:after="200" w:line="360" w:lineRule="auto"/>
        <w:jc w:val="both"/>
        <w:rPr>
          <w:sz w:val="24"/>
          <w:szCs w:val="24"/>
        </w:rPr>
      </w:pPr>
      <w:r>
        <w:rPr>
          <w:rFonts w:eastAsia="Calibri"/>
          <w:sz w:val="24"/>
          <w:szCs w:val="24"/>
        </w:rPr>
        <w:t>The literature here contains a genuine, and instructive, disagreement about whether microcredit tends to alleviate poverty or, in some settings, trap households in debt. Yin et al. (2023) find that microcredit can create jobs and improve business performance when loans are supported by government subsidies, and Fu and Krauss (2024) similarly report that businesses in strong, active markets are more likely to benefit from access to credit. Set against this, Musah (2025) finds that many small business owners struggle with high interest rates, fixed repayment schedules, limited financial knowledge, and unstable business conditions, so that loan repayments reduce the money available for investment and, in some cases, trap borrowers in a cycle of debt. Goldszmidt et al. (2022) similarly find that although microcredit may increase business investment or household spending in the short term, it rarely leads to lasting improvements in income or helps informal businesses become formal.</w:t>
      </w:r>
    </w:p>
    <w:p w14:paraId="7F5B7158" w14:textId="77777777" w:rsidR="00253979" w:rsidRPr="000370A9" w:rsidRDefault="000370A9" w:rsidP="000370A9">
      <w:pPr>
        <w:spacing w:after="200" w:line="360" w:lineRule="auto"/>
        <w:jc w:val="both"/>
        <w:rPr>
          <w:sz w:val="24"/>
          <w:szCs w:val="24"/>
        </w:rPr>
      </w:pPr>
      <w:r>
        <w:rPr>
          <w:rFonts w:eastAsia="Calibri"/>
          <w:sz w:val="24"/>
          <w:szCs w:val="24"/>
        </w:rPr>
        <w:t>Rather than treating these as simply conflicting results, it is more useful to ask what separates the two sets of studies. The positive findings in Yin et al. (2023) and Fu and Krauss (2024) occur where credit is embedded within a stronger institutional environment, either through government subsidy or an already active local market, so that the loan is only one input among several favourable conditions. The negative or mixed findings in Musah (2025) and Goldszmidt et al. (2022) occur in more typical, unsubsidised microfinance settings, where saturated informal markets, seasonal agricultural risk, and weak complementary institutions leave borrowers exposed to the full cost of repayment without the market conditions needed to translate credit into sustained income growth. The discrepancy therefore appears to reflect institutional and market-level variation rather than an inconsistency in how microcredit itself functions; the same financial product produces different outcomes depending on the institutional weaknesses or strengths, and the social and economic context, surrounding it.</w:t>
      </w:r>
    </w:p>
    <w:p w14:paraId="7218342D" w14:textId="23D2EFBB" w:rsidR="00253979" w:rsidRPr="000370A9" w:rsidRDefault="000370A9" w:rsidP="000370A9">
      <w:pPr>
        <w:spacing w:after="200" w:line="360" w:lineRule="auto"/>
        <w:jc w:val="both"/>
        <w:rPr>
          <w:sz w:val="24"/>
          <w:szCs w:val="24"/>
        </w:rPr>
      </w:pPr>
      <w:r>
        <w:rPr>
          <w:rFonts w:eastAsia="Calibri"/>
          <w:sz w:val="24"/>
          <w:szCs w:val="24"/>
        </w:rPr>
        <w:lastRenderedPageBreak/>
        <w:t xml:space="preserve">Overall, the evidence suggests that the traditional microcredit model has important limits. Simply providing loans is unlikely to produce sustainable business growth or long-term poverty reduction unless borrowers also receive other forms of support, and unless the surrounding market and institutional environment is favourable. Lending institutions should therefore combine credit with financial education, business training, flexible repayment options, and digital financial services, to help borrowers manage and grow their businesses (Lwesya and Mwakalobo, 2023). </w:t>
      </w:r>
      <w:r>
        <w:rPr>
          <w:sz w:val="24"/>
          <w:szCs w:val="24"/>
        </w:rPr>
        <w:t>As noted in Section 1.4, this body of research focuses primarily on household and livelihood sustainability, tracking indicators such as income, spending, and debt burden rather than long-term enterprise survival</w:t>
      </w:r>
      <w:r>
        <w:t>.</w:t>
      </w:r>
    </w:p>
    <w:p w14:paraId="2596A241" w14:textId="77777777" w:rsidR="00253979" w:rsidRPr="000370A9" w:rsidRDefault="000370A9" w:rsidP="000370A9">
      <w:pPr>
        <w:pStyle w:val="Heading2"/>
        <w:spacing w:before="280" w:after="160" w:line="360" w:lineRule="auto"/>
        <w:rPr>
          <w:sz w:val="24"/>
          <w:szCs w:val="24"/>
        </w:rPr>
      </w:pPr>
      <w:r>
        <w:rPr>
          <w:rFonts w:eastAsia="Calibri"/>
          <w:b/>
          <w:bCs/>
          <w:sz w:val="24"/>
          <w:szCs w:val="24"/>
        </w:rPr>
        <w:t>3.3 Business Development Services and Rural Entrepreneurship</w:t>
      </w:r>
    </w:p>
    <w:p w14:paraId="1EDB4D7D" w14:textId="77777777" w:rsidR="00253979" w:rsidRPr="000370A9" w:rsidRDefault="000370A9" w:rsidP="000370A9">
      <w:pPr>
        <w:spacing w:after="200" w:line="360" w:lineRule="auto"/>
        <w:jc w:val="both"/>
        <w:rPr>
          <w:sz w:val="24"/>
          <w:szCs w:val="24"/>
        </w:rPr>
      </w:pPr>
      <w:r>
        <w:rPr>
          <w:rFonts w:eastAsia="Calibri"/>
          <w:sz w:val="24"/>
          <w:szCs w:val="24"/>
        </w:rPr>
        <w:t>The relationship between Business Development Services (BDS) and rural entrepreneurship shows that financial capital alone is rarely enough to achieve sustainable business growth. Some studies argue that access to credit by itself has limited impact on reducing rural poverty, and that financial services need to be paired with non-financial support, such as practical technical training, leadership mentoring, and stronger market and supply-chain links (Kazungu, 2023; McKague et al., 2017; Sievers and Vandenberg, 2007).</w:t>
      </w:r>
    </w:p>
    <w:p w14:paraId="5E387EE3" w14:textId="77777777" w:rsidR="00253979" w:rsidRPr="000370A9" w:rsidRDefault="000370A9" w:rsidP="000370A9">
      <w:pPr>
        <w:spacing w:after="200" w:line="360" w:lineRule="auto"/>
        <w:jc w:val="both"/>
        <w:rPr>
          <w:sz w:val="24"/>
          <w:szCs w:val="24"/>
        </w:rPr>
      </w:pPr>
      <w:r>
        <w:rPr>
          <w:rFonts w:eastAsia="Calibri"/>
          <w:sz w:val="24"/>
          <w:szCs w:val="24"/>
        </w:rPr>
        <w:t>One approach that reflects this combined model is social microfranchising (Kistruck et al., 2011). In rural areas where markets are underdeveloped and public institutions are weak, social microfranchising helps fill these institutional gaps by giving entrepreneurs proven business models, ongoing support, and market connections. This helps necessity-driven entrepreneurs build and sustain viable businesses despite difficult local conditions (McKague et al., 2017).</w:t>
      </w:r>
    </w:p>
    <w:p w14:paraId="3868B96F" w14:textId="77777777" w:rsidR="00253979" w:rsidRPr="000370A9" w:rsidRDefault="000370A9" w:rsidP="000370A9">
      <w:pPr>
        <w:spacing w:after="200" w:line="360" w:lineRule="auto"/>
        <w:jc w:val="both"/>
        <w:rPr>
          <w:sz w:val="24"/>
          <w:szCs w:val="24"/>
        </w:rPr>
      </w:pPr>
      <w:r>
        <w:rPr>
          <w:rFonts w:eastAsia="Calibri"/>
          <w:sz w:val="24"/>
          <w:szCs w:val="24"/>
        </w:rPr>
        <w:t>Although the value of combining financial and non-financial support is widely recognised, putting it into practice remains difficult. Delivering credit and training together often creates a heavy administrative burden for local service providers, while offering them separately can leave clients with fragmented and poorly coordinated services (Sievers and Vandenberg, 2007). General networking and training programmes also often fail to reach marginalised groups, because they do not properly address differences in language, literacy, and social exclusion (Kazungu, 2023).</w:t>
      </w:r>
    </w:p>
    <w:p w14:paraId="249EB18A" w14:textId="7ED23D6C" w:rsidR="00253979" w:rsidRPr="000370A9" w:rsidRDefault="00560D58" w:rsidP="000370A9">
      <w:pPr>
        <w:spacing w:after="200" w:line="360" w:lineRule="auto"/>
        <w:jc w:val="both"/>
        <w:rPr>
          <w:sz w:val="24"/>
          <w:szCs w:val="24"/>
        </w:rPr>
      </w:pPr>
      <w:r>
        <w:rPr>
          <w:sz w:val="24"/>
          <w:szCs w:val="24"/>
        </w:rPr>
        <w:t xml:space="preserve">Current research also faces a key limitation, as most studies focus on urban settings rather than rural contexts. For instance, traditional classroom-based training models often prove unsuitable for remote or mountainous regions, where high transport costs diminish the practical value of </w:t>
      </w:r>
      <w:r>
        <w:rPr>
          <w:sz w:val="24"/>
          <w:szCs w:val="24"/>
        </w:rPr>
        <w:lastRenderedPageBreak/>
        <w:t>such support (Pangriya, 2023)</w:t>
      </w:r>
      <w:r>
        <w:t>.</w:t>
      </w:r>
      <w:r>
        <w:rPr>
          <w:rFonts w:eastAsia="Calibri"/>
          <w:sz w:val="24"/>
          <w:szCs w:val="24"/>
        </w:rPr>
        <w:t xml:space="preserve"> Most studies also rely on short-term evidence and give little attention to long-term outcomes, such as business sustainability and household asset accumulation (Suzuki and Igei, 2017). Together, these studies show that Business Development Services strengthen entrepreneurial ability by improving knowledge, management skills, and market access, primarily supporting business-level rather than household-level sustainability as defined in Section 1.4, though implementation challenges and contextual differences continue to affect their long-term effectiveness (Kazungu, 2023; Suzuki and Igei, 2017).</w:t>
      </w:r>
    </w:p>
    <w:p w14:paraId="770DC948" w14:textId="77777777" w:rsidR="00253979" w:rsidRPr="000370A9" w:rsidRDefault="000370A9" w:rsidP="000370A9">
      <w:pPr>
        <w:pStyle w:val="Heading2"/>
        <w:spacing w:before="280" w:after="160" w:line="360" w:lineRule="auto"/>
        <w:rPr>
          <w:sz w:val="24"/>
          <w:szCs w:val="24"/>
        </w:rPr>
      </w:pPr>
      <w:r>
        <w:rPr>
          <w:rFonts w:eastAsia="Calibri"/>
          <w:b/>
          <w:bCs/>
          <w:sz w:val="24"/>
          <w:szCs w:val="24"/>
        </w:rPr>
        <w:t>3.4 Microcredit Combined with BDS and Rural Self-Employment</w:t>
      </w:r>
    </w:p>
    <w:p w14:paraId="66EFBA4D" w14:textId="77777777" w:rsidR="00253979" w:rsidRPr="000370A9" w:rsidRDefault="000370A9" w:rsidP="000370A9">
      <w:pPr>
        <w:spacing w:after="200" w:line="360" w:lineRule="auto"/>
        <w:jc w:val="both"/>
        <w:rPr>
          <w:sz w:val="24"/>
          <w:szCs w:val="24"/>
        </w:rPr>
      </w:pPr>
      <w:r>
        <w:rPr>
          <w:rFonts w:eastAsia="Calibri"/>
          <w:sz w:val="24"/>
          <w:szCs w:val="24"/>
        </w:rPr>
        <w:t>Combining microcredit with non-financial Business Development Services is increasingly seen as a more effective way to support rural entrepreneurship than credit alone (Lensink et al., 2018; Karlan and Valdivia, 2011). Access to finance is important for starting a business, but financial capital by itself is often not enough to enable sustainable business growth among low-income entrepreneurs, particularly women in resource-limited rural areas (Abeysekera, 2020; Bernard, Low and Khin, 2016; Khanam et al., 2018). Many borrowers lack the business knowledge, technical skills, and market connections needed to turn loans into profitable enterprises. In this context, financial literacy, entrepreneurship training, vocational skills development, and market linkage programmes become important for strengthening borrowers' ability to manage and grow their businesses.</w:t>
      </w:r>
    </w:p>
    <w:p w14:paraId="15CB1296" w14:textId="2153116C" w:rsidR="00253979" w:rsidRPr="000370A9" w:rsidRDefault="00560D58" w:rsidP="000370A9">
      <w:pPr>
        <w:spacing w:after="200" w:line="360" w:lineRule="auto"/>
        <w:jc w:val="both"/>
        <w:rPr>
          <w:sz w:val="24"/>
          <w:szCs w:val="24"/>
        </w:rPr>
      </w:pPr>
      <w:r>
        <w:rPr>
          <w:sz w:val="24"/>
          <w:szCs w:val="24"/>
        </w:rPr>
        <w:t>To address these capability gaps, MFIs often implement a ‘credit-plus’ model that pairs financial loans with targeted business support</w:t>
      </w:r>
      <w:r>
        <w:t xml:space="preserve"> </w:t>
      </w:r>
      <w:r>
        <w:rPr>
          <w:rFonts w:eastAsia="Calibri"/>
          <w:sz w:val="24"/>
          <w:szCs w:val="24"/>
        </w:rPr>
        <w:t>through individual mentoring, group-based training, and regular meetings during joint liability lending sessions (Abeysekera, 2020; Bernard, Low and Khin, 2016). These group meetings offer a practical, low-cost way to deliver training while also supporting peer learning and accountability. Research shows that this combined approach can improve business performance through higher sales, higher profits, and stronger entrepreneurial abilities. At the institutional level, MFIs also benefit from better loan repayment, higher client retention, and a larger savings base, suggesting that financial and non-financial services can create value for both sides (Abeysekera, 2020; Bernard, Low and Khin, 2016; Khanam et al., 2018).</w:t>
      </w:r>
    </w:p>
    <w:p w14:paraId="2A94CC93" w14:textId="77777777" w:rsidR="00253979" w:rsidRPr="000370A9" w:rsidRDefault="000370A9" w:rsidP="000370A9">
      <w:pPr>
        <w:spacing w:after="200" w:line="360" w:lineRule="auto"/>
        <w:jc w:val="both"/>
        <w:rPr>
          <w:sz w:val="24"/>
          <w:szCs w:val="24"/>
        </w:rPr>
      </w:pPr>
      <w:r>
        <w:rPr>
          <w:rFonts w:eastAsia="Calibri"/>
          <w:sz w:val="24"/>
          <w:szCs w:val="24"/>
        </w:rPr>
        <w:t xml:space="preserve">However, the credit-plus approach does not always work equally well everywhere. While many studies report positive outcomes, these benefits often depend on the quality, relevance, and consistency of the support provided. In practice, many MFIs struggle to deliver effective BDS </w:t>
      </w:r>
      <w:r>
        <w:rPr>
          <w:rFonts w:eastAsia="Calibri"/>
          <w:sz w:val="24"/>
          <w:szCs w:val="24"/>
        </w:rPr>
        <w:lastRenderedPageBreak/>
        <w:t>because of limited institutional capacity, poor staff training, weak monitoring and evaluation systems, and financial constraints (Abeysekera, 2020; Khanam et al., 2018). High interest rates and strict weekly repayments can also work against the businesses they aim to help, since borrowers must focus on making immediate payments instead of investing in long-term growth. Simply combining BDS with microcredit does not guarantee long-term business success; the outcome depends on how well these services are designed and matched to the real needs of rural entrepreneurs. Overall, the literature suggests that combining microcredit with Business Development Services offers greater potential for sustainable entrepreneurship, on both the business and household metrics set out in Section 1.4, than financial services alone. However, evidence remains scattered on which combinations of services produce the greatest long-term impact on rural entrepreneurship, and this is an area that needs further research (Abeysekera, 2020; Bernard, Low and Khin, 2016; Khanam et al., 2018).</w:t>
      </w:r>
    </w:p>
    <w:p w14:paraId="2978F334" w14:textId="77777777" w:rsidR="00253979" w:rsidRPr="000370A9" w:rsidRDefault="000370A9" w:rsidP="000370A9">
      <w:pPr>
        <w:pStyle w:val="Heading2"/>
        <w:spacing w:before="280" w:after="160" w:line="360" w:lineRule="auto"/>
        <w:rPr>
          <w:sz w:val="24"/>
          <w:szCs w:val="24"/>
        </w:rPr>
      </w:pPr>
      <w:r>
        <w:rPr>
          <w:rFonts w:eastAsia="Calibri"/>
          <w:b/>
          <w:bCs/>
          <w:sz w:val="24"/>
          <w:szCs w:val="24"/>
        </w:rPr>
        <w:t>3.5 Synthesis of the Literature and Research Gap</w:t>
      </w:r>
    </w:p>
    <w:p w14:paraId="2016D687" w14:textId="77777777" w:rsidR="00253979" w:rsidRPr="000370A9" w:rsidRDefault="000370A9" w:rsidP="000370A9">
      <w:pPr>
        <w:spacing w:after="200" w:line="360" w:lineRule="auto"/>
        <w:jc w:val="both"/>
        <w:rPr>
          <w:sz w:val="24"/>
          <w:szCs w:val="24"/>
        </w:rPr>
      </w:pPr>
      <w:r>
        <w:rPr>
          <w:rFonts w:eastAsia="Calibri"/>
          <w:sz w:val="24"/>
          <w:szCs w:val="24"/>
        </w:rPr>
        <w:t>The literature shows that microcredit has become an important financial tool for promoting entrepreneurship, financial inclusion, and poverty reduction among low-income populations. Access to collateral-free loans allows rural households to set up small businesses, earn income, and improve their livelihoods (Ault, 2016; Hani et al., 2024). Even so, evidence consistently shows that access to finance alone does not guarantee successful entrepreneurial outcomes. Many borrowers still experience business failure because of poor management skills, weak financial literacy, limited market access, limited business networks, and difficult institutional environments (Debnath et al., 2019; Goldszmidt et al., 2022).</w:t>
      </w:r>
    </w:p>
    <w:p w14:paraId="2730BB35" w14:textId="77777777" w:rsidR="00253979" w:rsidRPr="000370A9" w:rsidRDefault="000370A9" w:rsidP="000370A9">
      <w:pPr>
        <w:spacing w:after="200" w:line="360" w:lineRule="auto"/>
        <w:jc w:val="both"/>
        <w:rPr>
          <w:sz w:val="24"/>
          <w:szCs w:val="24"/>
        </w:rPr>
      </w:pPr>
      <w:r>
        <w:rPr>
          <w:rFonts w:eastAsia="Calibri"/>
          <w:sz w:val="24"/>
          <w:szCs w:val="24"/>
        </w:rPr>
        <w:t>The literature also shows that Business Development Services (BDS), including entrepreneurship training, mentoring, technical assistance, financial literacy programmes, and market linkage support, strengthen entrepreneurs' abilities and improve business performance. Studies suggest that entrepreneurs who receive both financial and non-financial support generally achieve better business outcomes than those who receive credit alone (Abeysekera, 2020; Khanam et al., 2018; McKague et al., 2017). However, the effectiveness of these combined approaches varies widely, depending on institutional capacity, programme quality, local market conditions, and the socio-economic characteristics of borrowers.</w:t>
      </w:r>
    </w:p>
    <w:p w14:paraId="138AA2A5" w14:textId="58FDE9D2" w:rsidR="00253979" w:rsidRPr="000370A9" w:rsidRDefault="00560D58" w:rsidP="000370A9">
      <w:pPr>
        <w:spacing w:after="200" w:line="360" w:lineRule="auto"/>
        <w:jc w:val="both"/>
        <w:rPr>
          <w:sz w:val="24"/>
          <w:szCs w:val="24"/>
        </w:rPr>
      </w:pPr>
      <w:r>
        <w:rPr>
          <w:sz w:val="24"/>
          <w:szCs w:val="24"/>
        </w:rPr>
        <w:t>When looking at the two outcome metrics defined in Section 1.4, current research focuses more consistently on business-level sustainability</w:t>
      </w:r>
      <w:r>
        <w:rPr>
          <w:rFonts w:eastAsia="Calibri"/>
          <w:sz w:val="24"/>
          <w:szCs w:val="24"/>
        </w:rPr>
        <w:t xml:space="preserve">, evidenced through revenue, profitability, and enterprise survival, than to household-level poverty alleviation, evidenced through durable </w:t>
      </w:r>
      <w:r>
        <w:rPr>
          <w:rFonts w:eastAsia="Calibri"/>
          <w:sz w:val="24"/>
          <w:szCs w:val="24"/>
        </w:rPr>
        <w:lastRenderedPageBreak/>
        <w:t>income, assets, and resilience. Few studies measure both metrics within the same sample, which makes it difficult to establish whether business-level gains from combined microcredit-BDS programmes reliably translate into household-level poverty reduction, or whether the two outcomes can diverge.</w:t>
      </w:r>
    </w:p>
    <w:p w14:paraId="488E44DF" w14:textId="77777777" w:rsidR="00253979" w:rsidRPr="000370A9" w:rsidRDefault="000370A9" w:rsidP="000370A9">
      <w:pPr>
        <w:spacing w:after="200" w:line="360" w:lineRule="auto"/>
        <w:jc w:val="both"/>
        <w:rPr>
          <w:sz w:val="24"/>
          <w:szCs w:val="24"/>
        </w:rPr>
      </w:pPr>
      <w:r>
        <w:rPr>
          <w:rFonts w:eastAsia="Calibri"/>
          <w:sz w:val="24"/>
          <w:szCs w:val="24"/>
        </w:rPr>
        <w:t>Although earlier studies have examined microcredit, Business Development Services, poverty reduction, and entrepreneurship on their own, few studies have systematically examined how microcredit and Business Development Services interact to promote sustainable rural entrepreneurship. Most research assesses either financial services or non-financial services separately, and little attention has been given to how combining financial resources with entrepreneurial capabilities contributes to long-term business sustainability. Much of the existing evidence also focuses on short-term outcomes, such as loan repayment, business start-up, or income generation, with less attention to sustainable business growth, enterprise resilience, and long-term livelihood improvement. These gaps point to an important limitation in the current literature.</w:t>
      </w:r>
    </w:p>
    <w:p w14:paraId="14F4E9F1" w14:textId="77777777" w:rsidR="00253979" w:rsidRPr="000370A9" w:rsidRDefault="000370A9" w:rsidP="000370A9">
      <w:pPr>
        <w:spacing w:after="200" w:line="360" w:lineRule="auto"/>
        <w:jc w:val="both"/>
        <w:rPr>
          <w:sz w:val="24"/>
          <w:szCs w:val="24"/>
        </w:rPr>
      </w:pPr>
      <w:r>
        <w:rPr>
          <w:rFonts w:eastAsia="Calibri"/>
          <w:sz w:val="24"/>
          <w:szCs w:val="24"/>
        </w:rPr>
        <w:t>This study therefore aims to address this gap by bringing together existing evidence on the combined role of microcredit and Business Development Services in promoting sustainable rural entrepreneurship and income-generating activities, through a systematic literature review.</w:t>
      </w:r>
    </w:p>
    <w:p w14:paraId="12BF8E9B" w14:textId="77777777" w:rsidR="00253979" w:rsidRPr="000370A9" w:rsidRDefault="000370A9" w:rsidP="000370A9">
      <w:pPr>
        <w:pStyle w:val="Heading2"/>
        <w:spacing w:before="280" w:after="160" w:line="360" w:lineRule="auto"/>
        <w:rPr>
          <w:sz w:val="24"/>
          <w:szCs w:val="24"/>
        </w:rPr>
      </w:pPr>
      <w:r>
        <w:rPr>
          <w:rFonts w:eastAsia="Calibri"/>
          <w:b/>
          <w:bCs/>
          <w:sz w:val="24"/>
          <w:szCs w:val="24"/>
        </w:rPr>
        <w:t>3.6 Theoretical Foundation</w:t>
      </w:r>
    </w:p>
    <w:p w14:paraId="59CE91CB" w14:textId="77777777" w:rsidR="00253979" w:rsidRPr="000370A9" w:rsidRDefault="000370A9" w:rsidP="000370A9">
      <w:pPr>
        <w:pStyle w:val="Heading3"/>
        <w:spacing w:before="220" w:after="140" w:line="360" w:lineRule="auto"/>
      </w:pPr>
      <w:r>
        <w:rPr>
          <w:rFonts w:eastAsia="Calibri"/>
          <w:b/>
          <w:bCs/>
          <w:i/>
          <w:iCs/>
        </w:rPr>
        <w:t>3.6.1 Financial Inclusion Theory</w:t>
      </w:r>
    </w:p>
    <w:p w14:paraId="05E93699" w14:textId="77777777" w:rsidR="008A7F2C" w:rsidRPr="008A7F2C" w:rsidRDefault="008A7F2C" w:rsidP="000370A9">
      <w:pPr>
        <w:spacing w:after="200" w:line="360" w:lineRule="auto"/>
        <w:jc w:val="both"/>
        <w:rPr>
          <w:sz w:val="24"/>
          <w:szCs w:val="24"/>
        </w:rPr>
      </w:pPr>
      <w:r>
        <w:rPr>
          <w:sz w:val="24"/>
          <w:szCs w:val="24"/>
        </w:rPr>
        <w:t>Financial Inclusion Theory focuses on how access to financial services—such as credit, savings, insurance, and payments—helps individuals and small businesses contribute to economic development (Ozili, 2022). According to this perspective, low-income households often remain poor because formal banks reject them due to irregular income, geographical isolation, limited financial history, or a lack of collateral (Ozili, 2022).</w:t>
      </w:r>
    </w:p>
    <w:p w14:paraId="31E4813E" w14:textId="77777777" w:rsidR="00B85ECE" w:rsidRPr="00B85ECE" w:rsidRDefault="008A7F2C" w:rsidP="000370A9">
      <w:pPr>
        <w:spacing w:after="200" w:line="360" w:lineRule="auto"/>
        <w:jc w:val="both"/>
        <w:rPr>
          <w:sz w:val="24"/>
          <w:szCs w:val="24"/>
        </w:rPr>
      </w:pPr>
      <w:r>
        <w:rPr>
          <w:sz w:val="24"/>
          <w:szCs w:val="24"/>
        </w:rPr>
        <w:t>In rural areas, microcredit offers collateral-free loans that help individuals set up and keep small businesses running (Ozili, 2022; Jalil, 2021). This credit allows owners to buy equipment, cover operational costs, and grow household income (Gyimah et al., 2024). Financial Inclusion Theory therefore explains why wider credit access supports entrepreneurship and reduces poverty (Ozili, 2022; Jalil, 2021), directly aligning with the household and livelihood metrics in Section 1.4.</w:t>
      </w:r>
    </w:p>
    <w:p w14:paraId="61946C71" w14:textId="1314E9A5" w:rsidR="00253979" w:rsidRPr="0023220B" w:rsidRDefault="0023220B" w:rsidP="000370A9">
      <w:pPr>
        <w:spacing w:after="200" w:line="360" w:lineRule="auto"/>
        <w:jc w:val="both"/>
        <w:rPr>
          <w:sz w:val="24"/>
          <w:szCs w:val="24"/>
        </w:rPr>
      </w:pPr>
      <w:r>
        <w:rPr>
          <w:sz w:val="24"/>
          <w:szCs w:val="24"/>
        </w:rPr>
        <w:lastRenderedPageBreak/>
        <w:t>However, the theory also acknowledges that credit alone does not guarantee business success (Ozili, 2022). Borrowers still need to manage their funds effectively and adapt to shifting market conditions. If entrepreneurs lack basic management skills or institutional backing, credit delivers limited value. The theory thus supports the view that microcredit is an essential starting point, though business support remains vital to keep rural enterprises operating over time.</w:t>
      </w:r>
    </w:p>
    <w:p w14:paraId="161116CD" w14:textId="77777777" w:rsidR="00253979" w:rsidRPr="000370A9" w:rsidRDefault="000370A9" w:rsidP="000370A9">
      <w:pPr>
        <w:pStyle w:val="Heading3"/>
        <w:spacing w:before="220" w:after="140" w:line="360" w:lineRule="auto"/>
      </w:pPr>
      <w:r>
        <w:rPr>
          <w:rFonts w:eastAsia="Calibri"/>
          <w:b/>
          <w:bCs/>
          <w:i/>
          <w:iCs/>
        </w:rPr>
        <w:t>3.6.2 Resource-Based View (RBV) Theory</w:t>
      </w:r>
    </w:p>
    <w:p w14:paraId="4D87A42E" w14:textId="77777777" w:rsidR="0023220B" w:rsidRPr="0023220B" w:rsidRDefault="0023220B" w:rsidP="000370A9">
      <w:pPr>
        <w:spacing w:after="200" w:line="360" w:lineRule="auto"/>
        <w:jc w:val="both"/>
        <w:rPr>
          <w:sz w:val="24"/>
          <w:szCs w:val="24"/>
        </w:rPr>
      </w:pPr>
      <w:r>
        <w:rPr>
          <w:sz w:val="24"/>
          <w:szCs w:val="24"/>
        </w:rPr>
        <w:t>The Resource-Based View (RBV) suggests that businesses gain a long-term advantage when they hold resources that are valuable, rare, and hard for others to copy or replace (Wernerfelt, 1984; Barney, 1991). These resources include physical assets like funding, as well as skills, experience, management ability, and business networks (Barney, 1991).</w:t>
      </w:r>
    </w:p>
    <w:p w14:paraId="5C0E22AD" w14:textId="77777777" w:rsidR="0023220B" w:rsidRPr="0023220B" w:rsidRDefault="0023220B" w:rsidP="000370A9">
      <w:pPr>
        <w:spacing w:after="200" w:line="360" w:lineRule="auto"/>
        <w:jc w:val="both"/>
        <w:rPr>
          <w:sz w:val="24"/>
          <w:szCs w:val="24"/>
        </w:rPr>
      </w:pPr>
      <w:r>
        <w:rPr>
          <w:sz w:val="24"/>
          <w:szCs w:val="24"/>
        </w:rPr>
        <w:t>In this research, microcredit provides the funding needed to establish and maintain small enterprises. However, RBV suggests that money alone does not ensure long-term business performance. Entrepreneurs also require intangible assets—such as skills and experience—to manage that capital effectively (Lopes, Ferreira and Farinha, 2021)</w:t>
      </w:r>
    </w:p>
    <w:p w14:paraId="332DE7AE" w14:textId="77777777" w:rsidR="00643676" w:rsidRPr="00643676" w:rsidRDefault="0023220B" w:rsidP="000370A9">
      <w:pPr>
        <w:spacing w:after="200" w:line="360" w:lineRule="auto"/>
        <w:jc w:val="both"/>
        <w:rPr>
          <w:sz w:val="24"/>
          <w:szCs w:val="24"/>
        </w:rPr>
      </w:pPr>
      <w:r>
        <w:rPr>
          <w:sz w:val="24"/>
          <w:szCs w:val="24"/>
        </w:rPr>
        <w:t>Business Development Services supply these non-financial assets through training, mentoring, technical guidance, and market support. By building management skills and fostering decision-making, these services help entrepreneurs run their businesses more effectively. RBV therefore shows why combining microcredit with capacity-building support leads to stronger business outcomes than providing credit on its own (Lopes, Ferreira and Farinha, 2021), directly connecting to the business-level metrics outlined in Section 1.4</w:t>
      </w:r>
    </w:p>
    <w:p w14:paraId="1BDA1A08" w14:textId="745670AF" w:rsidR="00253979" w:rsidRPr="000370A9" w:rsidRDefault="000370A9" w:rsidP="000370A9">
      <w:pPr>
        <w:spacing w:after="200" w:line="360" w:lineRule="auto"/>
        <w:jc w:val="both"/>
        <w:rPr>
          <w:sz w:val="24"/>
          <w:szCs w:val="24"/>
        </w:rPr>
      </w:pPr>
      <w:r>
        <w:rPr>
          <w:rFonts w:eastAsia="Calibri"/>
          <w:sz w:val="24"/>
          <w:szCs w:val="24"/>
        </w:rPr>
        <w:t>RBV therefore provides a theoretical explanation for the complementary relationship between microcredit and Business Development Services in promoting sustainable rural entrepreneurship (Lopes, Ferreira and Farinha, 2021).</w:t>
      </w:r>
    </w:p>
    <w:p w14:paraId="192562BA" w14:textId="77777777" w:rsidR="00253979" w:rsidRPr="000370A9" w:rsidRDefault="000370A9" w:rsidP="000370A9">
      <w:pPr>
        <w:pStyle w:val="Heading3"/>
        <w:spacing w:before="220" w:after="140" w:line="360" w:lineRule="auto"/>
      </w:pPr>
      <w:r>
        <w:rPr>
          <w:rFonts w:eastAsia="Calibri"/>
          <w:b/>
          <w:bCs/>
          <w:i/>
          <w:iCs/>
        </w:rPr>
        <w:t>3.6.3 Integration of the Theories</w:t>
      </w:r>
    </w:p>
    <w:p w14:paraId="4119129D" w14:textId="77777777" w:rsidR="00643676" w:rsidRPr="00643676" w:rsidRDefault="00643676" w:rsidP="00643676">
      <w:pPr>
        <w:pStyle w:val="NormalWeb"/>
        <w:spacing w:line="360" w:lineRule="auto"/>
      </w:pPr>
      <w:r>
        <w:t xml:space="preserve">Together, Financial Inclusion Theory and the Resource-Based View provide a comprehensive lens for understanding rural entrepreneurship (Ozili, 2022; Barney, 1991). Financial Inclusion Theory explains how microcredit removes financial barriers, enabling individuals to pursue self-employment and improve household-level well-being (Ozili, 2022; Jalil, 2021). The Resource-Based View complements this by showing that financial capital must be paired </w:t>
      </w:r>
      <w:r>
        <w:lastRenderedPageBreak/>
        <w:t>with core business capabilities for enterprises to remain viable over time (Barney, 1991; Lopes, Ferreira and Farinha, 2021).</w:t>
      </w:r>
    </w:p>
    <w:p w14:paraId="79EBF510" w14:textId="77777777" w:rsidR="00643676" w:rsidRPr="00643676" w:rsidRDefault="00643676" w:rsidP="00643676">
      <w:pPr>
        <w:pStyle w:val="NormalWeb"/>
        <w:spacing w:line="360" w:lineRule="auto"/>
      </w:pPr>
      <w:r>
        <w:t>Combined, these perspectives indicate that achieving sustainability across both household and business metrics depends on pairing financial resources with skill development (Ozili, 2022; Lopes, Ferreira and Farinha, 2021). While microcredit supplies the capital needed to set up an enterprise, Business Development Services build the practical skills and knowledge required to maintain operations (Jalil, 2021; Lopes, Ferreira and Farinha, 2021). Jointly, these theories form a clear framework for investigating how integrated financial and non-financial support fosters rural enterprise sustainability (Ozili, 2022; Lopes, Ferreira and Farinha, 2021).</w:t>
      </w:r>
    </w:p>
    <w:p w14:paraId="38DDC17F" w14:textId="6CB65BD2" w:rsidR="00253979" w:rsidRDefault="000370A9" w:rsidP="000370A9">
      <w:pPr>
        <w:pStyle w:val="Heading2"/>
        <w:spacing w:before="280" w:after="160" w:line="360" w:lineRule="auto"/>
        <w:rPr>
          <w:rFonts w:eastAsia="Calibri"/>
          <w:b/>
          <w:bCs/>
          <w:sz w:val="24"/>
          <w:szCs w:val="24"/>
        </w:rPr>
      </w:pPr>
      <w:r>
        <w:rPr>
          <w:rFonts w:eastAsia="Calibri"/>
          <w:b/>
          <w:bCs/>
          <w:sz w:val="24"/>
          <w:szCs w:val="24"/>
        </w:rPr>
        <w:t>3.7 Conceptual Framework</w:t>
      </w:r>
    </w:p>
    <w:p w14:paraId="2AED75F6" w14:textId="6F004250" w:rsidR="00643676" w:rsidRPr="000370A9" w:rsidRDefault="00643676" w:rsidP="000370A9">
      <w:pPr>
        <w:pStyle w:val="Heading2"/>
        <w:spacing w:before="280" w:after="160" w:line="360" w:lineRule="auto"/>
        <w:rPr>
          <w:sz w:val="24"/>
          <w:szCs w:val="24"/>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Based on the systematic literature review and the insights from Financial Inclusion Theory and the Resource-Based View (RBV), this study suggests that rural enterprise sustainability relies on combining financial and non-financial support. Financial Inclusion Theory illustrates how microcredit enables excluded individuals to establish small businesses. Complementing this, the Resource-Based View demonstrates how Business Development Services build essential management capabilities, helping owners utilize credit effectively. Together, these theories indicate that joint access to microcredit and Business Development Services enhances entrepreneurial capability, ultimately supporting business survival, income growth, and broader community development</w:t>
      </w:r>
      <w:r>
        <w:t>.</w:t>
      </w:r>
    </w:p>
    <w:p w14:paraId="0D989091" w14:textId="77777777" w:rsidR="00253979" w:rsidRPr="000370A9" w:rsidRDefault="000370A9" w:rsidP="000370A9">
      <w:pPr>
        <w:spacing w:before="200" w:after="200" w:line="360" w:lineRule="auto"/>
        <w:jc w:val="center"/>
        <w:rPr>
          <w:sz w:val="24"/>
          <w:szCs w:val="24"/>
        </w:rPr>
      </w:pPr>
      <w:r>
        <w:rPr>
          <w:noProof/>
          <w:sz w:val="24"/>
          <w:szCs w:val="24"/>
        </w:rPr>
        <w:lastRenderedPageBreak/>
        <w:drawing>
          <wp:inline distT="0" distB="0" distL="0" distR="0" wp14:anchorId="6340A192" wp14:editId="32D7BCDD">
            <wp:extent cx="3619500" cy="5975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3619500" cy="5975350"/>
                    </a:xfrm>
                    <a:prstGeom prst="rect">
                      <a:avLst/>
                    </a:prstGeom>
                  </pic:spPr>
                </pic:pic>
              </a:graphicData>
            </a:graphic>
          </wp:inline>
        </w:drawing>
      </w:r>
    </w:p>
    <w:p w14:paraId="30EEB2EA" w14:textId="77777777" w:rsidR="00253979" w:rsidRPr="000370A9" w:rsidRDefault="000370A9" w:rsidP="000370A9">
      <w:pPr>
        <w:spacing w:after="200" w:line="360" w:lineRule="auto"/>
        <w:jc w:val="both"/>
        <w:rPr>
          <w:sz w:val="24"/>
          <w:szCs w:val="24"/>
        </w:rPr>
      </w:pPr>
      <w:r>
        <w:rPr>
          <w:rFonts w:eastAsia="Calibri"/>
          <w:sz w:val="24"/>
          <w:szCs w:val="24"/>
        </w:rPr>
        <w:t xml:space="preserve">The conceptual framework proposes that microcredit improves financial inclusion by giving rural entrepreneurs access to financial resources. However, sustainable entrepreneurship cannot be achieved through finance alone. Business Development Services, including entrepreneurship training, mentoring, financial literacy, and market linkage support, build entrepreneurs' knowledge, skills, and management capabilities. Following the Resource-Based View, these capabilities are valuable organisational resources that improve business performance. As a result, providing microcredit and BDS together strengthens entrepreneurial capability, which leads to sustainable rural entrepreneurship through business growth, income generation, job creation, poverty reduction, and improved livelihoods. The framework also recognises that external factors, such as government policy, infrastructure, and market </w:t>
      </w:r>
      <w:r>
        <w:rPr>
          <w:rFonts w:eastAsia="Calibri"/>
          <w:sz w:val="24"/>
          <w:szCs w:val="24"/>
        </w:rPr>
        <w:lastRenderedPageBreak/>
        <w:t>conditions, may influence these relationships. As set out in Section 1.5, this framework is intended to travel beyond the page: reframed as a four-dimension scorecard covering access, capability-building, market linkage, and institutional context, it offers NGOs and policymakers a practical audit tool for assessing whether a rural enterprise programme is designed to deliver both business-level and household-level sustainability, rather than one at the expense of the other.</w:t>
      </w:r>
    </w:p>
    <w:p w14:paraId="5052833D" w14:textId="77777777" w:rsidR="00253979" w:rsidRPr="000370A9" w:rsidRDefault="000370A9" w:rsidP="000370A9">
      <w:pPr>
        <w:pStyle w:val="Heading2"/>
        <w:spacing w:before="280" w:after="160" w:line="360" w:lineRule="auto"/>
        <w:rPr>
          <w:sz w:val="24"/>
          <w:szCs w:val="24"/>
        </w:rPr>
      </w:pPr>
      <w:r>
        <w:rPr>
          <w:rFonts w:eastAsia="Calibri"/>
          <w:b/>
          <w:bCs/>
          <w:sz w:val="24"/>
          <w:szCs w:val="24"/>
        </w:rPr>
        <w:t>3.8 Chapter Summary</w:t>
      </w:r>
    </w:p>
    <w:p w14:paraId="088198E6" w14:textId="77777777" w:rsidR="00253979" w:rsidRPr="000370A9" w:rsidRDefault="000370A9" w:rsidP="000370A9">
      <w:pPr>
        <w:spacing w:after="200" w:line="360" w:lineRule="auto"/>
        <w:jc w:val="both"/>
        <w:rPr>
          <w:sz w:val="24"/>
          <w:szCs w:val="24"/>
        </w:rPr>
      </w:pPr>
      <w:r>
        <w:rPr>
          <w:rFonts w:eastAsia="Calibri"/>
          <w:sz w:val="24"/>
          <w:szCs w:val="24"/>
        </w:rPr>
        <w:t>This chapter reviewed the existing literature on microcredit, Business Development Services (BDS), rural entrepreneurship, and income-generating activities. The review showed that while microcredit improves financial inclusion by providing access to capital, financial support alone is not enough to achieve sustainable entrepreneurial success on either the business or the household metric set out in Section 1.4. Business Development Services complement microcredit by building entrepreneurs' knowledge, skills, financial literacy, and market access, which improves business performance and sustainability. Where the literature disagrees, for example on whether microcredit alleviates poverty or entrenches debt, the disagreement is best explained by variation in institutional lending practices and local market and social context, rather than by an inherent property of microcredit itself. The chapter also discussed Financial Inclusion Theory and the Resource-Based View (RBV) as the theoretical foundations of this study, and showed how the two theories map onto the household-level and business-level sustainability metrics respectively. Based on the research gap identified, a conceptual framework was developed to explain the relationships between microcredit, Business Development Services, entrepreneurial capability, and sustainable rural entrepreneurship, with a proposed practical application as an audit tool for NGOs and a design reference for policymakers. Together with the systematic methodology set out in the previous chapter, this framework provides the analytical foundation on which the study's findings and conclusions are built.</w:t>
      </w:r>
    </w:p>
    <w:p w14:paraId="6ED36BF2" w14:textId="77777777" w:rsidR="00253979" w:rsidRPr="000370A9" w:rsidRDefault="000370A9" w:rsidP="000370A9">
      <w:pPr>
        <w:spacing w:line="360" w:lineRule="auto"/>
        <w:rPr>
          <w:sz w:val="24"/>
          <w:szCs w:val="24"/>
        </w:rPr>
      </w:pPr>
      <w:r>
        <w:rPr>
          <w:sz w:val="24"/>
          <w:szCs w:val="24"/>
        </w:rPr>
        <w:br w:type="page"/>
      </w:r>
    </w:p>
    <w:p w14:paraId="3FE10C30" w14:textId="77777777" w:rsidR="00253979" w:rsidRPr="000370A9" w:rsidRDefault="000370A9" w:rsidP="000370A9">
      <w:pPr>
        <w:pStyle w:val="Heading1"/>
        <w:spacing w:before="360" w:after="200" w:line="360" w:lineRule="auto"/>
        <w:rPr>
          <w:sz w:val="24"/>
          <w:szCs w:val="24"/>
        </w:rPr>
      </w:pPr>
      <w:r>
        <w:rPr>
          <w:rFonts w:eastAsia="Calibri"/>
          <w:b/>
          <w:bCs/>
          <w:sz w:val="24"/>
          <w:szCs w:val="24"/>
        </w:rPr>
        <w:lastRenderedPageBreak/>
        <w:t>Reference Lists</w:t>
      </w:r>
    </w:p>
    <w:p w14:paraId="379D6F38"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Abeysekera, R. (2020) 'Co-production in BDS: The evidence from the Sri Lankan microfinance sector', </w:t>
      </w:r>
      <w:r>
        <w:rPr>
          <w:color w:val="1F1F1F"/>
          <w:bdr w:val="none" w:sz="0" w:space="0" w:color="auto" w:frame="1"/>
        </w:rPr>
        <w:t>Financial Markets, Institutions and Risks</w:t>
      </w:r>
      <w:r>
        <w:rPr>
          <w:color w:val="1F1F1F"/>
        </w:rPr>
        <w:t>, 4(3), pp. 63–71.</w:t>
      </w:r>
    </w:p>
    <w:p w14:paraId="2DC092C2" w14:textId="77777777" w:rsidR="00624BD6" w:rsidRPr="00624BD6" w:rsidRDefault="00624BD6" w:rsidP="00624BD6">
      <w:pPr>
        <w:pStyle w:val="NormalWeb"/>
        <w:numPr>
          <w:ilvl w:val="0"/>
          <w:numId w:val="4"/>
        </w:numPr>
        <w:spacing w:after="0" w:afterAutospacing="0" w:line="360" w:lineRule="auto"/>
        <w:rPr>
          <w:color w:val="1F1F1F"/>
        </w:rPr>
      </w:pPr>
      <w:r>
        <w:rPr>
          <w:color w:val="1F1F1F"/>
        </w:rPr>
        <w:t>Amdemich</w:t>
      </w:r>
      <w:r>
        <w:rPr>
          <w:rStyle w:val="citation-165"/>
          <w:color w:val="1F1F1F"/>
          <w:bdr w:val="none" w:sz="0" w:space="0" w:color="auto" w:frame="1"/>
        </w:rPr>
        <w:t>ael, H.L. (2025) 'Effects of behaviour-based entrepreneurship training and business development services on micro and small enterprises growth and performance: a case study on the Entrepreneurship Development Inst</w:t>
      </w:r>
      <w:r>
        <w:rPr>
          <w:color w:val="1F1F1F"/>
        </w:rPr>
        <w:t xml:space="preserve">itute (EDI) Ethiopia', </w:t>
      </w:r>
      <w:r>
        <w:rPr>
          <w:color w:val="1F1F1F"/>
          <w:bdr w:val="none" w:sz="0" w:space="0" w:color="auto" w:frame="1"/>
        </w:rPr>
        <w:t>Journal of Innovation and Entrepreneurship</w:t>
      </w:r>
      <w:r>
        <w:rPr>
          <w:color w:val="1F1F1F"/>
        </w:rPr>
        <w:t xml:space="preserve">, 14(1), pp. 1–24. </w:t>
      </w:r>
    </w:p>
    <w:p w14:paraId="4FCAE708"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Ashta, A., Khan, S. and Otto, R. (2014) 'Microcredit and household debt dynamics in developing economies', </w:t>
      </w:r>
      <w:r>
        <w:rPr>
          <w:color w:val="1F1F1F"/>
          <w:bdr w:val="none" w:sz="0" w:space="0" w:color="auto" w:frame="1"/>
        </w:rPr>
        <w:t>Journal of Development Studies</w:t>
      </w:r>
      <w:r>
        <w:rPr>
          <w:color w:val="1F1F1F"/>
        </w:rPr>
        <w:t>, 50(4), pp. 512–526.</w:t>
      </w:r>
    </w:p>
    <w:p w14:paraId="360DED7B"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Ault, J.K. (2016) 'Institutional environment and microfinance performance: A cross-country study', </w:t>
      </w:r>
      <w:r>
        <w:rPr>
          <w:color w:val="1F1F1F"/>
          <w:bdr w:val="none" w:sz="0" w:space="0" w:color="auto" w:frame="1"/>
        </w:rPr>
        <w:t>Journal of International Business Studies</w:t>
      </w:r>
      <w:r>
        <w:rPr>
          <w:color w:val="1F1F1F"/>
        </w:rPr>
        <w:t>, 47(8), pp. 910–935.</w:t>
      </w:r>
    </w:p>
    <w:p w14:paraId="4F5C5DC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Bandiera, O., Buehren, N., Burgess, R., Goldstein, M., Heal, J., Rasul, I. and Sulaiman, M. (2020) 'Women's empowerment in action: Evidence from a randomized control trial in Africa', </w:t>
      </w:r>
      <w:r>
        <w:rPr>
          <w:color w:val="1F1F1F"/>
          <w:bdr w:val="none" w:sz="0" w:space="0" w:color="auto" w:frame="1"/>
        </w:rPr>
        <w:t>American Economic Journal: Applied Economics</w:t>
      </w:r>
      <w:r>
        <w:rPr>
          <w:color w:val="1F1F1F"/>
        </w:rPr>
        <w:t>, 12(1), pp. 210–259.</w:t>
      </w:r>
    </w:p>
    <w:p w14:paraId="1A000001"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Barney, J. (1991) 'Firm resources and sustained competitive advantage', </w:t>
      </w:r>
      <w:r>
        <w:rPr>
          <w:color w:val="1F1F1F"/>
          <w:bdr w:val="none" w:sz="0" w:space="0" w:color="auto" w:frame="1"/>
        </w:rPr>
        <w:t>Journal of Management</w:t>
      </w:r>
      <w:r>
        <w:rPr>
          <w:color w:val="1F1F1F"/>
        </w:rPr>
        <w:t>, 17(1), pp. 99–120.</w:t>
      </w:r>
    </w:p>
    <w:p w14:paraId="1A000002"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Bernard, K., Low, L.T.K. and Khin, A.A. (2016) 'Entrepreneurial success through microfinance services among women entrepreneurs in Sri Lanka: a pilot study and overview of the findings', </w:t>
      </w:r>
      <w:r>
        <w:rPr>
          <w:color w:val="1F1F1F"/>
          <w:bdr w:val="none" w:sz="0" w:space="0" w:color="auto" w:frame="1"/>
        </w:rPr>
        <w:t>International Journal of Economics and Financial Issues</w:t>
      </w:r>
      <w:r>
        <w:rPr>
          <w:color w:val="1F1F1F"/>
        </w:rPr>
        <w:t>, 6(3), pp. 1144–1150.</w:t>
      </w:r>
    </w:p>
    <w:p w14:paraId="258669D2"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Charfeddine, L. and Zaouali, S. (2022) 'The effects of financial inclusion and the business environment in spurring the creation of early-stage firms and supporting established firms', </w:t>
      </w:r>
      <w:r>
        <w:rPr>
          <w:color w:val="1F1F1F"/>
          <w:bdr w:val="none" w:sz="0" w:space="0" w:color="auto" w:frame="1"/>
        </w:rPr>
        <w:t>Journal of Business Research</w:t>
      </w:r>
      <w:r>
        <w:rPr>
          <w:color w:val="1F1F1F"/>
        </w:rPr>
        <w:t>, 143, pp. 1–15.</w:t>
      </w:r>
    </w:p>
    <w:p w14:paraId="30965E8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Chliova, M., Brinckmann, J. and Rosenbusch, N. (2015) 'Is microfinance a panacea? A meta-analytic investigation of its impact in developing countries', </w:t>
      </w:r>
      <w:r>
        <w:rPr>
          <w:color w:val="1F1F1F"/>
          <w:bdr w:val="none" w:sz="0" w:space="0" w:color="auto" w:frame="1"/>
        </w:rPr>
        <w:t>Journal of Business Venturing</w:t>
      </w:r>
      <w:r>
        <w:rPr>
          <w:color w:val="1F1F1F"/>
        </w:rPr>
        <w:t>, 30(3), pp. 467–487.</w:t>
      </w:r>
    </w:p>
    <w:p w14:paraId="13B62915"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Cho, Y., Robalino, D. and Watson, S. (2016) 'Supporting self-employment and micro-enterprises in developing countries', </w:t>
      </w:r>
      <w:r>
        <w:rPr>
          <w:color w:val="1F1F1F"/>
          <w:bdr w:val="none" w:sz="0" w:space="0" w:color="auto" w:frame="1"/>
        </w:rPr>
        <w:t>World Development</w:t>
      </w:r>
      <w:r>
        <w:rPr>
          <w:color w:val="1F1F1F"/>
        </w:rPr>
        <w:t>, 86, pp. 1–15.</w:t>
      </w:r>
    </w:p>
    <w:p w14:paraId="4E52C6A5"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Dalla Pellegrina, L., Di Maio, G., Landoni, P. and Rusinà, E. (2021) 'Money management and entrepreneurial training in microfinance: impact on beneficiaries and institutions', </w:t>
      </w:r>
      <w:r>
        <w:rPr>
          <w:color w:val="1F1F1F"/>
          <w:bdr w:val="none" w:sz="0" w:space="0" w:color="auto" w:frame="1"/>
        </w:rPr>
        <w:t>Economia Politica</w:t>
      </w:r>
      <w:r>
        <w:rPr>
          <w:color w:val="1F1F1F"/>
        </w:rPr>
        <w:t>, 38(3), pp. 1049–1078.</w:t>
      </w:r>
    </w:p>
    <w:p w14:paraId="589B94BC" w14:textId="77777777" w:rsidR="00624BD6" w:rsidRPr="00624BD6" w:rsidRDefault="00624BD6" w:rsidP="00624BD6">
      <w:pPr>
        <w:pStyle w:val="NormalWeb"/>
        <w:numPr>
          <w:ilvl w:val="0"/>
          <w:numId w:val="4"/>
        </w:numPr>
        <w:spacing w:after="0" w:afterAutospacing="0" w:line="360" w:lineRule="auto"/>
        <w:rPr>
          <w:color w:val="1F1F1F"/>
        </w:rPr>
      </w:pPr>
      <w:r>
        <w:rPr>
          <w:color w:val="1F1F1F"/>
        </w:rPr>
        <w:lastRenderedPageBreak/>
        <w:t xml:space="preserve">Debnath, D., Rahman, M. and Islam, S. (2019) 'Microcredit, household decision making, and women's empowerment in rural Bangladesh', </w:t>
      </w:r>
      <w:r>
        <w:rPr>
          <w:color w:val="1F1F1F"/>
          <w:bdr w:val="none" w:sz="0" w:space="0" w:color="auto" w:frame="1"/>
        </w:rPr>
        <w:t>Development in Practice</w:t>
      </w:r>
      <w:r>
        <w:rPr>
          <w:color w:val="1F1F1F"/>
        </w:rPr>
        <w:t>, 29(4), pp. 488–500.</w:t>
      </w:r>
    </w:p>
    <w:p w14:paraId="63A5E69B"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Duvendack, M. and Mader, P. (2019) 'Impact of financial inclusion in low- and middle-income countries: A systematic review of reviews', </w:t>
      </w:r>
      <w:r>
        <w:rPr>
          <w:color w:val="1F1F1F"/>
          <w:bdr w:val="none" w:sz="0" w:space="0" w:color="auto" w:frame="1"/>
        </w:rPr>
        <w:t>Campbell Systematic Reviews</w:t>
      </w:r>
      <w:r>
        <w:rPr>
          <w:color w:val="1F1F1F"/>
        </w:rPr>
        <w:t>, 15(1-2), e1012.</w:t>
      </w:r>
    </w:p>
    <w:p w14:paraId="6E8CC13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Fu, J. and Krauss, A. (2024) 'Preparing fertile ground: how does the quality of business environments affect MSE growth?', </w:t>
      </w:r>
      <w:r>
        <w:rPr>
          <w:color w:val="1F1F1F"/>
          <w:bdr w:val="none" w:sz="0" w:space="0" w:color="auto" w:frame="1"/>
        </w:rPr>
        <w:t>Small Business Economics</w:t>
      </w:r>
      <w:r>
        <w:rPr>
          <w:color w:val="1F1F1F"/>
        </w:rPr>
        <w:t>, 63(1), pp. 51–78.</w:t>
      </w:r>
    </w:p>
    <w:p w14:paraId="28DE47CF"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Goldszmidt, R., Rotondaro, R. and Silva, L. (2022) 'The long-term impact of microcredit on low-income microenterprises', </w:t>
      </w:r>
      <w:r>
        <w:rPr>
          <w:color w:val="1F1F1F"/>
          <w:bdr w:val="none" w:sz="0" w:space="0" w:color="auto" w:frame="1"/>
        </w:rPr>
        <w:t>World Development</w:t>
      </w:r>
      <w:r>
        <w:rPr>
          <w:color w:val="1F1F1F"/>
        </w:rPr>
        <w:t>, 151, p. 105750.</w:t>
      </w:r>
    </w:p>
    <w:p w14:paraId="72759368"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Gyimah, P., Owusu-Afriyie, R. and Lussier, R.N. (2024) 'Advancing Rural Entrepreneurship: Does Microfinancing Matter?', </w:t>
      </w:r>
      <w:r>
        <w:rPr>
          <w:color w:val="1F1F1F"/>
          <w:bdr w:val="none" w:sz="0" w:space="0" w:color="auto" w:frame="1"/>
        </w:rPr>
        <w:t>Journal of Developmental Entrepreneurship</w:t>
      </w:r>
      <w:r>
        <w:rPr>
          <w:color w:val="1F1F1F"/>
        </w:rPr>
        <w:t>, 29(1), p. 117667.</w:t>
      </w:r>
    </w:p>
    <w:p w14:paraId="23A4FA5D"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Hani, N., Al-Habib, M. and Saffar, A. (2024) 'Integrated microfinance and business support for rural enterprise sustainability', </w:t>
      </w:r>
      <w:r>
        <w:rPr>
          <w:color w:val="1F1F1F"/>
          <w:bdr w:val="none" w:sz="0" w:space="0" w:color="auto" w:frame="1"/>
        </w:rPr>
        <w:t>Journal of Rural Studies</w:t>
      </w:r>
      <w:r>
        <w:rPr>
          <w:color w:val="1F1F1F"/>
        </w:rPr>
        <w:t>, 105, p. 103120.</w:t>
      </w:r>
    </w:p>
    <w:p w14:paraId="0B2585C0"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Hartarska, V., Parmeter, C.F. and Mersland, R. (2025) 'Combined financial and non-financial support in microfinance: Evidence on long-term enterprise sustainability', </w:t>
      </w:r>
      <w:r>
        <w:rPr>
          <w:color w:val="1F1F1F"/>
          <w:bdr w:val="none" w:sz="0" w:space="0" w:color="auto" w:frame="1"/>
        </w:rPr>
        <w:t>Journal of Banking &amp; Finance</w:t>
      </w:r>
      <w:r>
        <w:rPr>
          <w:color w:val="1F1F1F"/>
        </w:rPr>
        <w:t>, 158, p. 107012.</w:t>
      </w:r>
    </w:p>
    <w:p w14:paraId="1A000003"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Jalil, M.F. (2021) 'Microfinance towards micro-enterprises development in rural Malaysia through digital finance', </w:t>
      </w:r>
      <w:r>
        <w:rPr>
          <w:color w:val="1F1F1F"/>
          <w:bdr w:val="none" w:sz="0" w:space="0" w:color="auto" w:frame="1"/>
        </w:rPr>
        <w:t>Discover Sustainability</w:t>
      </w:r>
      <w:r>
        <w:rPr>
          <w:color w:val="1F1F1F"/>
        </w:rPr>
        <w:t>, 2(1), p. 55.</w:t>
      </w:r>
    </w:p>
    <w:p w14:paraId="3988C090"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Karlan, D. and Valdivia, M. (2011) 'Teaching entrepreneurship: Impact of business training on microcredit clients and institutions', </w:t>
      </w:r>
      <w:r>
        <w:rPr>
          <w:color w:val="1F1F1F"/>
          <w:bdr w:val="none" w:sz="0" w:space="0" w:color="auto" w:frame="1"/>
        </w:rPr>
        <w:t>Review of Economics and Statistics</w:t>
      </w:r>
      <w:r>
        <w:rPr>
          <w:color w:val="1F1F1F"/>
        </w:rPr>
        <w:t>, 93(2), pp. 510–527.</w:t>
      </w:r>
    </w:p>
    <w:p w14:paraId="4E50156D"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Kazungu, I. (2023) 'Business Development Services and Participation of Rural-Based Micro Enterprises in Export Markets: Exploring the Heterogeneity of the Tanzanian Handicrafts Industry', </w:t>
      </w:r>
      <w:r>
        <w:rPr>
          <w:color w:val="1F1F1F"/>
          <w:bdr w:val="none" w:sz="0" w:space="0" w:color="auto" w:frame="1"/>
        </w:rPr>
        <w:t>SAGE Open</w:t>
      </w:r>
      <w:r>
        <w:rPr>
          <w:color w:val="1F1F1F"/>
        </w:rPr>
        <w:t>, 13(4), pp. 1–14.</w:t>
      </w:r>
    </w:p>
    <w:p w14:paraId="7152CA84"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Khan, S. and Khan, M.A. (2016) 'Microcredit and rural women entrepreneurship: A pathway to economic independence', </w:t>
      </w:r>
      <w:r>
        <w:rPr>
          <w:color w:val="1F1F1F"/>
          <w:bdr w:val="none" w:sz="0" w:space="0" w:color="auto" w:frame="1"/>
        </w:rPr>
        <w:t>Journal of Rural and Community Development</w:t>
      </w:r>
      <w:r>
        <w:rPr>
          <w:color w:val="1F1F1F"/>
        </w:rPr>
        <w:t>, 11(2), pp. 45–60.</w:t>
      </w:r>
    </w:p>
    <w:p w14:paraId="1A000004"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Kistruck, G.M., Webb, J.W., Sutter, C.J. and Ireland, R.D. (2011) 'Microfranchising in base-of-the-pyramid markets: institutional challenges and adaptations to the franchise model', </w:t>
      </w:r>
      <w:r>
        <w:rPr>
          <w:color w:val="1F1F1F"/>
          <w:bdr w:val="none" w:sz="0" w:space="0" w:color="auto" w:frame="1"/>
        </w:rPr>
        <w:t>Entrepreneurship Theory and Practice</w:t>
      </w:r>
      <w:r>
        <w:rPr>
          <w:color w:val="1F1F1F"/>
        </w:rPr>
        <w:t>, 35(3), pp. 503–531.</w:t>
      </w:r>
    </w:p>
    <w:p w14:paraId="10301494" w14:textId="77777777" w:rsidR="00624BD6" w:rsidRPr="00624BD6" w:rsidRDefault="00624BD6" w:rsidP="00624BD6">
      <w:pPr>
        <w:pStyle w:val="NormalWeb"/>
        <w:numPr>
          <w:ilvl w:val="0"/>
          <w:numId w:val="4"/>
        </w:numPr>
        <w:spacing w:after="0" w:afterAutospacing="0" w:line="360" w:lineRule="auto"/>
        <w:rPr>
          <w:color w:val="1F1F1F"/>
        </w:rPr>
      </w:pPr>
      <w:r>
        <w:rPr>
          <w:color w:val="1F1F1F"/>
        </w:rPr>
        <w:lastRenderedPageBreak/>
        <w:t xml:space="preserve">Lensink, R., Mersland, R., Vu, N.T.H. and Zamore, S. (2018) 'Do business training programs improve business outcomes for microfinance clients? Results from a meta-analysis', </w:t>
      </w:r>
      <w:r>
        <w:rPr>
          <w:color w:val="1F1F1F"/>
          <w:bdr w:val="none" w:sz="0" w:space="0" w:color="auto" w:frame="1"/>
        </w:rPr>
        <w:t>Journal of Development Studies</w:t>
      </w:r>
      <w:r>
        <w:rPr>
          <w:color w:val="1F1F1F"/>
        </w:rPr>
        <w:t>, 54(8), pp. 1323–1341.</w:t>
      </w:r>
    </w:p>
    <w:p w14:paraId="1A000005"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Lopes, J., Ferreira, J.J. and Farinha, L. (2021) 'Entrepreneurship and the resource-based view: what is the linkage? A bibliometric approach', </w:t>
      </w:r>
      <w:r>
        <w:rPr>
          <w:color w:val="1F1F1F"/>
          <w:bdr w:val="none" w:sz="0" w:space="0" w:color="auto" w:frame="1"/>
        </w:rPr>
        <w:t>International Journal of Entrepreneurial Venturing</w:t>
      </w:r>
      <w:r>
        <w:rPr>
          <w:color w:val="1F1F1F"/>
        </w:rPr>
        <w:t>, 13(2), pp. 137–164.</w:t>
      </w:r>
    </w:p>
    <w:p w14:paraId="1F92378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Lwesya, F. and Mwakalobo, A.B.S. (2023) 'Frontiers in microfinance research for small and medium enterprises (SMEs) and microfinance institutions (MFIs): a bibliometric analysis', </w:t>
      </w:r>
      <w:r>
        <w:rPr>
          <w:color w:val="1F1F1F"/>
          <w:bdr w:val="none" w:sz="0" w:space="0" w:color="auto" w:frame="1"/>
        </w:rPr>
        <w:t>Future Business Journal</w:t>
      </w:r>
      <w:r>
        <w:rPr>
          <w:color w:val="1F1F1F"/>
        </w:rPr>
        <w:t>, 9(1), p. 32.</w:t>
      </w:r>
    </w:p>
    <w:p w14:paraId="4768EDA4"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McKague, K., Wong, J. and Siddiquee, N. (2017) 'Social franchising as rural entrepreneurial ecosystem development', </w:t>
      </w:r>
      <w:r>
        <w:rPr>
          <w:color w:val="1F1F1F"/>
          <w:bdr w:val="none" w:sz="0" w:space="0" w:color="auto" w:frame="1"/>
        </w:rPr>
        <w:t>The International Journal of Entrepreneurship and Innovation</w:t>
      </w:r>
      <w:r>
        <w:rPr>
          <w:color w:val="1F1F1F"/>
        </w:rPr>
        <w:t>, 18(1), pp. 47–56.</w:t>
      </w:r>
    </w:p>
    <w:p w14:paraId="1F717DE1"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Musah, I. (2025) 'Microcredit as a catalyst for microbusiness growth: a myth or reality; a case of Asante-Akim Central Municipality, Ghana', </w:t>
      </w:r>
      <w:r>
        <w:rPr>
          <w:color w:val="1F1F1F"/>
          <w:bdr w:val="none" w:sz="0" w:space="0" w:color="auto" w:frame="1"/>
        </w:rPr>
        <w:t>Future Business Journal</w:t>
      </w:r>
      <w:r>
        <w:rPr>
          <w:color w:val="1F1F1F"/>
        </w:rPr>
        <w:t>, 11(1), p. 426.</w:t>
      </w:r>
    </w:p>
    <w:p w14:paraId="5FF6D749"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Ogujiuba, K.K., Mncayi, P. and Stiegler, N. (2023) 'Financial inclusion and micro-enterprise growth in developing nations: Assessing interactive effects of non-financial support', </w:t>
      </w:r>
      <w:r>
        <w:rPr>
          <w:color w:val="1F1F1F"/>
          <w:bdr w:val="none" w:sz="0" w:space="0" w:color="auto" w:frame="1"/>
        </w:rPr>
        <w:t>African Development Review</w:t>
      </w:r>
      <w:r>
        <w:rPr>
          <w:color w:val="1F1F1F"/>
        </w:rPr>
        <w:t>, 35(2), pp. 180–194.</w:t>
      </w:r>
    </w:p>
    <w:p w14:paraId="1BADEE5A"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Ozili, P.K. (2022) 'Financial inclusion and sustainable development: an empirical association', </w:t>
      </w:r>
      <w:r>
        <w:rPr>
          <w:color w:val="1F1F1F"/>
          <w:bdr w:val="none" w:sz="0" w:space="0" w:color="auto" w:frame="1"/>
        </w:rPr>
        <w:t>Journal of Money and Business</w:t>
      </w:r>
      <w:r>
        <w:rPr>
          <w:color w:val="1F1F1F"/>
        </w:rPr>
        <w:t>, 2(2</w:t>
      </w:r>
      <w:r>
        <w:rPr>
          <w:rStyle w:val="citation-164"/>
          <w:color w:val="1F1F1F"/>
          <w:bdr w:val="none" w:sz="0" w:space="0" w:color="auto" w:frame="1"/>
        </w:rPr>
        <w:t>), pp. 180–198.</w:t>
      </w:r>
      <w:r>
        <w:rPr>
          <w:color w:val="1F1F1F"/>
        </w:rPr>
        <w:t xml:space="preserve"> </w:t>
      </w:r>
    </w:p>
    <w:p w14:paraId="7A9DBC92" w14:textId="77777777" w:rsidR="00624BD6" w:rsidRPr="00624BD6" w:rsidRDefault="00624BD6" w:rsidP="00624BD6">
      <w:pPr>
        <w:pStyle w:val="NormalWeb"/>
        <w:numPr>
          <w:ilvl w:val="0"/>
          <w:numId w:val="4"/>
        </w:numPr>
        <w:spacing w:after="0" w:afterAutospacing="0" w:line="360" w:lineRule="auto"/>
        <w:rPr>
          <w:color w:val="1F1F1F"/>
        </w:rPr>
      </w:pPr>
      <w:r>
        <w:rPr>
          <w:rStyle w:val="citation-163"/>
          <w:color w:val="1F1F1F"/>
          <w:bdr w:val="none" w:sz="0" w:space="0" w:color="auto" w:frame="1"/>
        </w:rPr>
        <w:t>Page, M.J., McKenzie, J.E., Bossuyt, P.M., Boutron, I., Hoffmann, T.C., Mulrow, C.D., Shamseer, L., Tetzlaff, J.M., Akl, E.A., Brennan, S.E. and Chou, R. (2021) 'The PRISMA 2020 statement: an updated guideline for reporting syst</w:t>
      </w:r>
      <w:r>
        <w:rPr>
          <w:color w:val="1F1F1F"/>
        </w:rPr>
        <w:t xml:space="preserve">ematic reviews', </w:t>
      </w:r>
      <w:r>
        <w:rPr>
          <w:color w:val="1F1F1F"/>
          <w:bdr w:val="none" w:sz="0" w:space="0" w:color="auto" w:frame="1"/>
        </w:rPr>
        <w:t>BMJ</w:t>
      </w:r>
      <w:r>
        <w:rPr>
          <w:color w:val="1F1F1F"/>
        </w:rPr>
        <w:t xml:space="preserve">, 372, p. n71. </w:t>
      </w:r>
    </w:p>
    <w:p w14:paraId="105830F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Pangriya, R. (2023) 'An Explorative Study on Problems and Challenges of Rural Entrepreneurs in Hilly Rural Areas', </w:t>
      </w:r>
      <w:r>
        <w:rPr>
          <w:color w:val="1F1F1F"/>
          <w:bdr w:val="none" w:sz="0" w:space="0" w:color="auto" w:frame="1"/>
        </w:rPr>
        <w:t>Asia-Pacific Journal of Management Research and Innovation</w:t>
      </w:r>
      <w:r>
        <w:rPr>
          <w:color w:val="1F1F1F"/>
        </w:rPr>
        <w:t>, 18(3-4), pp. 163–175.</w:t>
      </w:r>
    </w:p>
    <w:p w14:paraId="225C2EC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Parray, S.A., Bhat, M.A. and Rather, A.A. (2024) 'Microfinance, business development services and rural entrepreneurship: A systematic review', </w:t>
      </w:r>
      <w:r>
        <w:rPr>
          <w:color w:val="1F1F1F"/>
          <w:bdr w:val="none" w:sz="0" w:space="0" w:color="auto" w:frame="1"/>
        </w:rPr>
        <w:t>International Journal of Social Economics</w:t>
      </w:r>
      <w:r>
        <w:rPr>
          <w:color w:val="1F1F1F"/>
        </w:rPr>
        <w:t>, 51(3), pp. 341–358.</w:t>
      </w:r>
    </w:p>
    <w:p w14:paraId="457C66F5"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Prathap, B.N. and Sreelakshmi, C.C. (2021) 'Microcredit and rural women empowerment: Evidence from South India', </w:t>
      </w:r>
      <w:r>
        <w:rPr>
          <w:bdr w:val="none" w:sz="0" w:space="0" w:color="auto" w:frame="1"/>
        </w:rPr>
        <w:t>Journal of Social and Economic Development</w:t>
      </w:r>
      <w:r>
        <w:t>, 23(2), pp. 210–228.</w:t>
      </w:r>
    </w:p>
    <w:p w14:paraId="5086A1D7" w14:textId="77777777" w:rsidR="00624BD6" w:rsidRPr="00624BD6" w:rsidRDefault="00624BD6" w:rsidP="00624BD6">
      <w:pPr>
        <w:pStyle w:val="NormalWeb"/>
        <w:numPr>
          <w:ilvl w:val="0"/>
          <w:numId w:val="4"/>
        </w:numPr>
        <w:spacing w:after="0" w:afterAutospacing="0" w:line="360" w:lineRule="auto"/>
        <w:rPr>
          <w:color w:val="1F1F1F"/>
        </w:rPr>
      </w:pPr>
      <w:r>
        <w:rPr>
          <w:color w:val="1F1F1F"/>
        </w:rPr>
        <w:lastRenderedPageBreak/>
        <w:t xml:space="preserve">Shepherd, D.A. and Williams, T.A. (2019) 'Spontaneous venture creation in the aftermath of adversity: Building resilience through entrepreneurship', </w:t>
      </w:r>
      <w:r>
        <w:rPr>
          <w:color w:val="1F1F1F"/>
          <w:bdr w:val="none" w:sz="0" w:space="0" w:color="auto" w:frame="1"/>
        </w:rPr>
        <w:t>Journal of Business Venturing</w:t>
      </w:r>
      <w:r>
        <w:rPr>
          <w:color w:val="1F1F1F"/>
        </w:rPr>
        <w:t>, 34(2), pp. 290–312.</w:t>
      </w:r>
    </w:p>
    <w:p w14:paraId="57FB90F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Sievers, M. and Vandenberg, P. (2007) 'Synergies through linkages: Who benefits from linking finance and business development services?', </w:t>
      </w:r>
      <w:r>
        <w:rPr>
          <w:color w:val="1F1F1F"/>
          <w:bdr w:val="none" w:sz="0" w:space="0" w:color="auto" w:frame="1"/>
        </w:rPr>
        <w:t>Enterprise Development and Microfinance</w:t>
      </w:r>
      <w:r>
        <w:rPr>
          <w:color w:val="1F1F1F"/>
        </w:rPr>
        <w:t>, 18(1), pp. 21–38.</w:t>
      </w:r>
    </w:p>
    <w:p w14:paraId="1A000006"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Suzuki, A. and Igei, K. (2017) 'Can efficient provision of business development services bring better results for SMEs? Evidence from a networking project in Thailand', </w:t>
      </w:r>
      <w:r>
        <w:rPr>
          <w:color w:val="1F1F1F"/>
          <w:bdr w:val="none" w:sz="0" w:space="0" w:color="auto" w:frame="1"/>
        </w:rPr>
        <w:t>JICA Research Institute Working Paper</w:t>
      </w:r>
      <w:r>
        <w:rPr>
          <w:color w:val="1F1F1F"/>
        </w:rPr>
        <w:t>, No. 147.</w:t>
      </w:r>
    </w:p>
    <w:p w14:paraId="68F54818"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Tulika, T. and Ram, P. (2025) 'Integrated microfinance-plus interventions for rural business survival: An empirical assessment', </w:t>
      </w:r>
      <w:r>
        <w:rPr>
          <w:color w:val="1F1F1F"/>
          <w:bdr w:val="none" w:sz="0" w:space="0" w:color="auto" w:frame="1"/>
        </w:rPr>
        <w:t>Journal of Developmental Entrepreneurship</w:t>
      </w:r>
      <w:r>
        <w:rPr>
          <w:color w:val="1F1F1F"/>
        </w:rPr>
        <w:t>, 30(1), p. 125004.</w:t>
      </w:r>
    </w:p>
    <w:p w14:paraId="1A000007"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Wernerfelt, B. (1984) 'A resource-based view of the firm', </w:t>
      </w:r>
      <w:r>
        <w:rPr>
          <w:color w:val="1F1F1F"/>
          <w:bdr w:val="none" w:sz="0" w:space="0" w:color="auto" w:frame="1"/>
        </w:rPr>
        <w:t>Strategic Management Journal</w:t>
      </w:r>
      <w:r>
        <w:rPr>
          <w:color w:val="1F1F1F"/>
        </w:rPr>
        <w:t>, 5(2), pp. 171–180.</w:t>
      </w:r>
    </w:p>
    <w:p w14:paraId="24DB9DE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Wickramasinghe, V. and Fernando, D. (2017) 'Use of microcredit for household income and consumption smoothing by low-income communities', </w:t>
      </w:r>
      <w:r>
        <w:rPr>
          <w:color w:val="1F1F1F"/>
          <w:bdr w:val="none" w:sz="0" w:space="0" w:color="auto" w:frame="1"/>
        </w:rPr>
        <w:t>International Journal of Consumer Studies</w:t>
      </w:r>
      <w:r>
        <w:rPr>
          <w:color w:val="1F1F1F"/>
        </w:rPr>
        <w:t>, 41(6), pp. 647–658.</w:t>
      </w:r>
    </w:p>
    <w:p w14:paraId="18468BCE" w14:textId="77777777" w:rsidR="00624BD6" w:rsidRPr="00624BD6" w:rsidRDefault="00624BD6" w:rsidP="00624BD6">
      <w:pPr>
        <w:pStyle w:val="NormalWeb"/>
        <w:numPr>
          <w:ilvl w:val="0"/>
          <w:numId w:val="4"/>
        </w:numPr>
        <w:spacing w:after="0" w:afterAutospacing="0" w:line="360" w:lineRule="auto"/>
        <w:rPr>
          <w:color w:val="1F1F1F"/>
        </w:rPr>
      </w:pPr>
      <w:r>
        <w:rPr>
          <w:color w:val="1F1F1F"/>
        </w:rPr>
        <w:t xml:space="preserve">Yin, Z., Zhang, L. and Xu, Y. (2023) 'Government subsidies, microcredit, and firm performance in rural markets', </w:t>
      </w:r>
      <w:r>
        <w:rPr>
          <w:color w:val="1F1F1F"/>
          <w:bdr w:val="none" w:sz="0" w:space="0" w:color="auto" w:frame="1"/>
        </w:rPr>
        <w:t>World Development</w:t>
      </w:r>
      <w:r>
        <w:rPr>
          <w:color w:val="1F1F1F"/>
        </w:rPr>
        <w:t>, 162, p. 106120.</w:t>
      </w:r>
    </w:p>
    <w:p w14:paraId="656E173B" w14:textId="77777777" w:rsidR="00253979" w:rsidRPr="00624BD6" w:rsidRDefault="00253979" w:rsidP="00624BD6">
      <w:pPr>
        <w:spacing w:after="160" w:line="360" w:lineRule="auto"/>
        <w:ind w:left="360" w:hanging="360"/>
        <w:jc w:val="both"/>
        <w:rPr>
          <w:sz w:val="24"/>
          <w:szCs w:val="24"/>
        </w:rPr>
      </w:pPr>
    </w:p>
    <w:p w14:paraId="4B7E1184" w14:textId="77777777" w:rsidR="00A428CB" w:rsidRDefault="00A428CB">
      <w:pPr>
        <w:sectPr w:rsidR="00A428CB">
          <w:pgSz w:w="11906" w:h="16838"/>
          <w:pgMar w:top="1440" w:right="1440" w:bottom="1440" w:left="1440" w:header="708" w:footer="708" w:gutter="0"/>
          <w:cols w:space="720"/>
          <w:docGrid w:linePitch="360"/>
        </w:sectPr>
      </w:pPr>
    </w:p>
    <w:p w14:paraId="3E72E20D" w14:textId="77777777" w:rsidR="00A428CB" w:rsidRDefault="00C80D20">
      <w:pPr>
        <w:pStyle w:val="Heading1"/>
      </w:pPr>
      <w:r>
        <w:lastRenderedPageBreak/>
        <w:t>Appendix: Annotated Bibliography</w:t>
      </w:r>
    </w:p>
    <w:p w14:paraId="5856D22E" w14:textId="77777777" w:rsidR="00A428CB" w:rsidRPr="00C8546C" w:rsidRDefault="00C80D20">
      <w:pPr>
        <w:jc w:val="center"/>
        <w:rPr>
          <w:iCs/>
        </w:rPr>
      </w:pPr>
      <w:r w:rsidRPr="00C8546C">
        <w:rPr>
          <w:iCs/>
        </w:rPr>
        <w:t>The Role of Microcredit and Business Development Services in Supporting Rural Income-Generating Activities and Sustainable Rural Entrepreneurship in Developing Countries</w:t>
      </w:r>
    </w:p>
    <w:tbl>
      <w:tblPr>
        <w:tblW w:w="0" w:type="auto"/>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4A0" w:firstRow="1" w:lastRow="0" w:firstColumn="1" w:lastColumn="0" w:noHBand="0" w:noVBand="1"/>
      </w:tblPr>
      <w:tblGrid>
        <w:gridCol w:w="504"/>
        <w:gridCol w:w="2736"/>
        <w:gridCol w:w="1080"/>
        <w:gridCol w:w="1512"/>
        <w:gridCol w:w="1512"/>
        <w:gridCol w:w="1224"/>
        <w:gridCol w:w="2088"/>
        <w:gridCol w:w="2088"/>
        <w:gridCol w:w="1872"/>
      </w:tblGrid>
      <w:tr w:rsidR="00A428CB" w14:paraId="441405BA" w14:textId="77777777">
        <w:tc>
          <w:tcPr>
            <w:tcW w:w="504" w:type="dxa"/>
            <w:shd w:val="clear" w:color="auto" w:fill="D9E2F3"/>
          </w:tcPr>
          <w:p w14:paraId="15CA172A" w14:textId="77777777" w:rsidR="00A428CB" w:rsidRDefault="00C80D20">
            <w:r>
              <w:rPr>
                <w:b/>
                <w:sz w:val="17"/>
              </w:rPr>
              <w:t>No.</w:t>
            </w:r>
          </w:p>
        </w:tc>
        <w:tc>
          <w:tcPr>
            <w:tcW w:w="2736" w:type="dxa"/>
            <w:shd w:val="clear" w:color="auto" w:fill="D9E2F3"/>
          </w:tcPr>
          <w:p w14:paraId="04E761AE" w14:textId="77777777" w:rsidR="00A428CB" w:rsidRDefault="00C80D20">
            <w:r>
              <w:rPr>
                <w:b/>
                <w:sz w:val="17"/>
              </w:rPr>
              <w:t>Author (Year) — Harvard Citation</w:t>
            </w:r>
          </w:p>
        </w:tc>
        <w:tc>
          <w:tcPr>
            <w:tcW w:w="1080" w:type="dxa"/>
            <w:shd w:val="clear" w:color="auto" w:fill="D9E2F3"/>
          </w:tcPr>
          <w:p w14:paraId="3B9B0543" w14:textId="77777777" w:rsidR="00A428CB" w:rsidRDefault="00C80D20">
            <w:r>
              <w:rPr>
                <w:b/>
                <w:sz w:val="17"/>
              </w:rPr>
              <w:t>Country</w:t>
            </w:r>
          </w:p>
        </w:tc>
        <w:tc>
          <w:tcPr>
            <w:tcW w:w="1512" w:type="dxa"/>
            <w:shd w:val="clear" w:color="auto" w:fill="D9E2F3"/>
          </w:tcPr>
          <w:p w14:paraId="4525A5E5" w14:textId="77777777" w:rsidR="00A428CB" w:rsidRDefault="00C80D20">
            <w:r>
              <w:rPr>
                <w:b/>
                <w:sz w:val="17"/>
              </w:rPr>
              <w:t>Concept</w:t>
            </w:r>
          </w:p>
        </w:tc>
        <w:tc>
          <w:tcPr>
            <w:tcW w:w="1512" w:type="dxa"/>
            <w:shd w:val="clear" w:color="auto" w:fill="D9E2F3"/>
          </w:tcPr>
          <w:p w14:paraId="505A11C4" w14:textId="77777777" w:rsidR="00A428CB" w:rsidRDefault="00C80D20">
            <w:r>
              <w:rPr>
                <w:b/>
                <w:sz w:val="17"/>
              </w:rPr>
              <w:t>Theoretical Lens</w:t>
            </w:r>
          </w:p>
        </w:tc>
        <w:tc>
          <w:tcPr>
            <w:tcW w:w="1224" w:type="dxa"/>
            <w:shd w:val="clear" w:color="auto" w:fill="D9E2F3"/>
          </w:tcPr>
          <w:p w14:paraId="2A68624C" w14:textId="77777777" w:rsidR="00A428CB" w:rsidRDefault="00C80D20">
            <w:r>
              <w:rPr>
                <w:b/>
                <w:sz w:val="17"/>
              </w:rPr>
              <w:t>Method</w:t>
            </w:r>
          </w:p>
        </w:tc>
        <w:tc>
          <w:tcPr>
            <w:tcW w:w="2088" w:type="dxa"/>
            <w:shd w:val="clear" w:color="auto" w:fill="D9E2F3"/>
          </w:tcPr>
          <w:p w14:paraId="018FCC23" w14:textId="77777777" w:rsidR="00A428CB" w:rsidRDefault="00C80D20">
            <w:r>
              <w:rPr>
                <w:b/>
                <w:sz w:val="17"/>
              </w:rPr>
              <w:t>Key Findings</w:t>
            </w:r>
          </w:p>
        </w:tc>
        <w:tc>
          <w:tcPr>
            <w:tcW w:w="2088" w:type="dxa"/>
            <w:shd w:val="clear" w:color="auto" w:fill="D9E2F3"/>
          </w:tcPr>
          <w:p w14:paraId="04971BFB" w14:textId="77777777" w:rsidR="00A428CB" w:rsidRDefault="00C80D20">
            <w:r>
              <w:rPr>
                <w:b/>
                <w:sz w:val="17"/>
              </w:rPr>
              <w:t>Research Gap</w:t>
            </w:r>
          </w:p>
        </w:tc>
        <w:tc>
          <w:tcPr>
            <w:tcW w:w="1872" w:type="dxa"/>
            <w:shd w:val="clear" w:color="auto" w:fill="D9E2F3"/>
          </w:tcPr>
          <w:p w14:paraId="341927AE" w14:textId="77777777" w:rsidR="00A428CB" w:rsidRDefault="00C80D20">
            <w:r>
              <w:rPr>
                <w:b/>
                <w:sz w:val="17"/>
              </w:rPr>
              <w:t>Contribution to This Study</w:t>
            </w:r>
          </w:p>
        </w:tc>
      </w:tr>
      <w:tr w:rsidR="00A428CB" w14:paraId="6EEEEE76" w14:textId="77777777">
        <w:tc>
          <w:tcPr>
            <w:tcW w:w="504" w:type="dxa"/>
          </w:tcPr>
          <w:p w14:paraId="4F2C7E02" w14:textId="77777777" w:rsidR="00A428CB" w:rsidRDefault="00C80D20">
            <w:r>
              <w:rPr>
                <w:b/>
                <w:sz w:val="16"/>
              </w:rPr>
              <w:t>1</w:t>
            </w:r>
          </w:p>
        </w:tc>
        <w:tc>
          <w:tcPr>
            <w:tcW w:w="2736" w:type="dxa"/>
          </w:tcPr>
          <w:p w14:paraId="78EAF52E" w14:textId="77777777" w:rsidR="00A428CB" w:rsidRDefault="00C80D20">
            <w:r>
              <w:rPr>
                <w:sz w:val="16"/>
              </w:rPr>
              <w:t>Abeysekera, R. (2020) 'Co-production in BDS: The evidence from the Sri Lankan microfinance sector', Financial Markets, Institutions and Risks, 4(3), pp. 63–71.</w:t>
            </w:r>
          </w:p>
        </w:tc>
        <w:tc>
          <w:tcPr>
            <w:tcW w:w="1080" w:type="dxa"/>
          </w:tcPr>
          <w:p w14:paraId="68CCD979" w14:textId="77777777" w:rsidR="00A428CB" w:rsidRDefault="00C80D20">
            <w:r>
              <w:rPr>
                <w:sz w:val="16"/>
              </w:rPr>
              <w:t>Sri Lanka</w:t>
            </w:r>
          </w:p>
        </w:tc>
        <w:tc>
          <w:tcPr>
            <w:tcW w:w="1512" w:type="dxa"/>
          </w:tcPr>
          <w:p w14:paraId="15BFE93A" w14:textId="77777777" w:rsidR="00A428CB" w:rsidRDefault="00C80D20">
            <w:r>
              <w:rPr>
                <w:sz w:val="16"/>
              </w:rPr>
              <w:t>Microcredit + BDS (credit-plus model)</w:t>
            </w:r>
          </w:p>
        </w:tc>
        <w:tc>
          <w:tcPr>
            <w:tcW w:w="1512" w:type="dxa"/>
          </w:tcPr>
          <w:p w14:paraId="7E63099E" w14:textId="77777777" w:rsidR="00A428CB" w:rsidRDefault="00C80D20">
            <w:r>
              <w:rPr>
                <w:sz w:val="16"/>
              </w:rPr>
              <w:t>Human Capital Theory / Capability Approach</w:t>
            </w:r>
          </w:p>
        </w:tc>
        <w:tc>
          <w:tcPr>
            <w:tcW w:w="1224" w:type="dxa"/>
          </w:tcPr>
          <w:p w14:paraId="3874F167" w14:textId="77777777" w:rsidR="00A428CB" w:rsidRDefault="00C80D20">
            <w:r>
              <w:rPr>
                <w:sz w:val="16"/>
              </w:rPr>
              <w:t>Mixed methods</w:t>
            </w:r>
          </w:p>
        </w:tc>
        <w:tc>
          <w:tcPr>
            <w:tcW w:w="2088" w:type="dxa"/>
          </w:tcPr>
          <w:p w14:paraId="795DD1C2" w14:textId="77777777" w:rsidR="00A428CB" w:rsidRDefault="00C80D20">
            <w:r>
              <w:rPr>
                <w:sz w:val="16"/>
              </w:rPr>
              <w:t>Integrating microcredit with mentoring, financial literacy and entrepreneurship training improves business performance and loan repayment.</w:t>
            </w:r>
          </w:p>
        </w:tc>
        <w:tc>
          <w:tcPr>
            <w:tcW w:w="2088" w:type="dxa"/>
          </w:tcPr>
          <w:p w14:paraId="1F44FB69" w14:textId="77777777" w:rsidR="00A428CB" w:rsidRDefault="00C80D20">
            <w:r>
              <w:rPr>
                <w:sz w:val="16"/>
              </w:rPr>
              <w:t>Limited evidence on long-term effectiveness; MFIs often lack capacity to deliver quality BDS.</w:t>
            </w:r>
          </w:p>
        </w:tc>
        <w:tc>
          <w:tcPr>
            <w:tcW w:w="1872" w:type="dxa"/>
          </w:tcPr>
          <w:p w14:paraId="346DAF68" w14:textId="77777777" w:rsidR="00A428CB" w:rsidRDefault="00C80D20">
            <w:r>
              <w:rPr>
                <w:sz w:val="16"/>
              </w:rPr>
              <w:t>Core empirical basis for the 'credit-plus' model used throughout the study.</w:t>
            </w:r>
          </w:p>
        </w:tc>
      </w:tr>
      <w:tr w:rsidR="00A428CB" w14:paraId="5AF8AA32" w14:textId="77777777">
        <w:tc>
          <w:tcPr>
            <w:tcW w:w="504" w:type="dxa"/>
          </w:tcPr>
          <w:p w14:paraId="5F3F2238" w14:textId="77777777" w:rsidR="00A428CB" w:rsidRDefault="00C80D20">
            <w:r>
              <w:rPr>
                <w:b/>
                <w:sz w:val="16"/>
              </w:rPr>
              <w:t>2</w:t>
            </w:r>
          </w:p>
        </w:tc>
        <w:tc>
          <w:tcPr>
            <w:tcW w:w="2736" w:type="dxa"/>
          </w:tcPr>
          <w:p w14:paraId="1410BA34" w14:textId="77777777" w:rsidR="00A428CB" w:rsidRDefault="00C80D20">
            <w:r>
              <w:rPr>
                <w:sz w:val="16"/>
              </w:rPr>
              <w:t>Amdemichael, H.L. (2025) 'Effects of behaviour-based entrepreneurship training and business development services on micro and small enterprises growth and performance: a case study on the Entrepreneurship Development Institute (EDI) Ethiopia', Journal of Innovation and Entrepreneurship, 14(1), pp. 1–24.</w:t>
            </w:r>
          </w:p>
        </w:tc>
        <w:tc>
          <w:tcPr>
            <w:tcW w:w="1080" w:type="dxa"/>
          </w:tcPr>
          <w:p w14:paraId="60C41A08" w14:textId="77777777" w:rsidR="00A428CB" w:rsidRDefault="00C80D20">
            <w:r>
              <w:rPr>
                <w:sz w:val="16"/>
              </w:rPr>
              <w:t>Ethiopia</w:t>
            </w:r>
          </w:p>
        </w:tc>
        <w:tc>
          <w:tcPr>
            <w:tcW w:w="1512" w:type="dxa"/>
          </w:tcPr>
          <w:p w14:paraId="5E278723" w14:textId="77777777" w:rsidR="00A428CB" w:rsidRDefault="00C80D20">
            <w:r>
              <w:rPr>
                <w:sz w:val="16"/>
              </w:rPr>
              <w:t>Behaviour-based entrepreneurship training and BDS</w:t>
            </w:r>
          </w:p>
        </w:tc>
        <w:tc>
          <w:tcPr>
            <w:tcW w:w="1512" w:type="dxa"/>
          </w:tcPr>
          <w:p w14:paraId="2D782893" w14:textId="77777777" w:rsidR="00A428CB" w:rsidRDefault="00C80D20">
            <w:r>
              <w:rPr>
                <w:sz w:val="16"/>
              </w:rPr>
              <w:t>Behavioural/competency-based training perspective</w:t>
            </w:r>
          </w:p>
        </w:tc>
        <w:tc>
          <w:tcPr>
            <w:tcW w:w="1224" w:type="dxa"/>
          </w:tcPr>
          <w:p w14:paraId="75B96797" w14:textId="77777777" w:rsidR="00A428CB" w:rsidRDefault="00C80D20">
            <w:r>
              <w:rPr>
                <w:sz w:val="16"/>
              </w:rPr>
              <w:t>Quantitative (descriptive statistics, regression)</w:t>
            </w:r>
          </w:p>
        </w:tc>
        <w:tc>
          <w:tcPr>
            <w:tcW w:w="2088" w:type="dxa"/>
          </w:tcPr>
          <w:p w14:paraId="64C8040A" w14:textId="77777777" w:rsidR="00A428CB" w:rsidRDefault="00C80D20">
            <w:r>
              <w:rPr>
                <w:sz w:val="16"/>
              </w:rPr>
              <w:t>Behaviour-based training and BDS interventions significantly improve MSE growth, performance and competencies.</w:t>
            </w:r>
          </w:p>
        </w:tc>
        <w:tc>
          <w:tcPr>
            <w:tcW w:w="2088" w:type="dxa"/>
          </w:tcPr>
          <w:p w14:paraId="684FDAF5" w14:textId="77777777" w:rsidR="00A428CB" w:rsidRDefault="00C80D20">
            <w:r>
              <w:rPr>
                <w:sz w:val="16"/>
              </w:rPr>
              <w:t>Examines BDS in isolation, without testing interaction with microcredit access.</w:t>
            </w:r>
          </w:p>
        </w:tc>
        <w:tc>
          <w:tcPr>
            <w:tcW w:w="1872" w:type="dxa"/>
          </w:tcPr>
          <w:p w14:paraId="5A8FD559" w14:textId="77777777" w:rsidR="00A428CB" w:rsidRDefault="00C80D20">
            <w:r>
              <w:rPr>
                <w:sz w:val="16"/>
              </w:rPr>
              <w:t>Illustrates the 'BDS-only' strand of the literature and the fragmented treatment of credit and training.</w:t>
            </w:r>
          </w:p>
        </w:tc>
      </w:tr>
      <w:tr w:rsidR="00A428CB" w14:paraId="6CCE0A36" w14:textId="77777777">
        <w:tc>
          <w:tcPr>
            <w:tcW w:w="504" w:type="dxa"/>
          </w:tcPr>
          <w:p w14:paraId="10A62B77" w14:textId="77777777" w:rsidR="00A428CB" w:rsidRDefault="00C80D20">
            <w:r>
              <w:rPr>
                <w:b/>
                <w:sz w:val="16"/>
              </w:rPr>
              <w:t>3</w:t>
            </w:r>
          </w:p>
        </w:tc>
        <w:tc>
          <w:tcPr>
            <w:tcW w:w="2736" w:type="dxa"/>
          </w:tcPr>
          <w:p w14:paraId="51DE2BE7" w14:textId="77777777" w:rsidR="00A428CB" w:rsidRDefault="00C80D20">
            <w:r>
              <w:rPr>
                <w:sz w:val="16"/>
              </w:rPr>
              <w:t>Ashta, A., Khan, S. and Otto, R. (2014) 'Microcredit and household debt dynamics in developing economies', Journal of Development Studies, 50(4), pp. 512–526.</w:t>
            </w:r>
          </w:p>
        </w:tc>
        <w:tc>
          <w:tcPr>
            <w:tcW w:w="1080" w:type="dxa"/>
          </w:tcPr>
          <w:p w14:paraId="5347152F" w14:textId="77777777" w:rsidR="00A428CB" w:rsidRDefault="00C80D20">
            <w:r>
              <w:rPr>
                <w:sz w:val="16"/>
              </w:rPr>
              <w:t>Developing economies (cross-country)</w:t>
            </w:r>
          </w:p>
        </w:tc>
        <w:tc>
          <w:tcPr>
            <w:tcW w:w="1512" w:type="dxa"/>
          </w:tcPr>
          <w:p w14:paraId="690484DD" w14:textId="77777777" w:rsidR="00A428CB" w:rsidRDefault="00C80D20">
            <w:r>
              <w:rPr>
                <w:sz w:val="16"/>
              </w:rPr>
              <w:t>Microcredit and household debt dynamics</w:t>
            </w:r>
          </w:p>
        </w:tc>
        <w:tc>
          <w:tcPr>
            <w:tcW w:w="1512" w:type="dxa"/>
          </w:tcPr>
          <w:p w14:paraId="6D69F57D" w14:textId="77777777" w:rsidR="00A428CB" w:rsidRDefault="00C80D20">
            <w:r>
              <w:rPr>
                <w:sz w:val="16"/>
              </w:rPr>
              <w:t>Institutional / credit-risk perspective</w:t>
            </w:r>
          </w:p>
        </w:tc>
        <w:tc>
          <w:tcPr>
            <w:tcW w:w="1224" w:type="dxa"/>
          </w:tcPr>
          <w:p w14:paraId="14FBA922" w14:textId="77777777" w:rsidR="00A428CB" w:rsidRDefault="00C80D20">
            <w:r>
              <w:rPr>
                <w:sz w:val="16"/>
              </w:rPr>
              <w:t>Analytical/empirical review of lending practice</w:t>
            </w:r>
          </w:p>
        </w:tc>
        <w:tc>
          <w:tcPr>
            <w:tcW w:w="2088" w:type="dxa"/>
          </w:tcPr>
          <w:p w14:paraId="15944669" w14:textId="77777777" w:rsidR="00A428CB" w:rsidRDefault="00C80D20">
            <w:r>
              <w:rPr>
                <w:sz w:val="16"/>
              </w:rPr>
              <w:t>Weak lending assessment practices can trap vulnerable households in cycles of debt.</w:t>
            </w:r>
          </w:p>
        </w:tc>
        <w:tc>
          <w:tcPr>
            <w:tcW w:w="2088" w:type="dxa"/>
          </w:tcPr>
          <w:p w14:paraId="745DE170" w14:textId="77777777" w:rsidR="00A428CB" w:rsidRDefault="00C80D20">
            <w:r>
              <w:rPr>
                <w:sz w:val="16"/>
              </w:rPr>
              <w:t>Limited attention to how better screening or complementary support could offset debt-trap risk.</w:t>
            </w:r>
          </w:p>
        </w:tc>
        <w:tc>
          <w:tcPr>
            <w:tcW w:w="1872" w:type="dxa"/>
          </w:tcPr>
          <w:p w14:paraId="509E87D6" w14:textId="77777777" w:rsidR="00A428CB" w:rsidRDefault="00C80D20">
            <w:r>
              <w:rPr>
                <w:sz w:val="16"/>
              </w:rPr>
              <w:t>Supports the argument that institutional weaknesses, not microcredit itself, drive negative outcomes.</w:t>
            </w:r>
          </w:p>
        </w:tc>
      </w:tr>
      <w:tr w:rsidR="00A428CB" w14:paraId="3EDEA15B" w14:textId="77777777">
        <w:tc>
          <w:tcPr>
            <w:tcW w:w="504" w:type="dxa"/>
          </w:tcPr>
          <w:p w14:paraId="376AA1EB" w14:textId="77777777" w:rsidR="00A428CB" w:rsidRDefault="00C80D20">
            <w:r>
              <w:rPr>
                <w:b/>
                <w:sz w:val="16"/>
              </w:rPr>
              <w:t>4</w:t>
            </w:r>
          </w:p>
        </w:tc>
        <w:tc>
          <w:tcPr>
            <w:tcW w:w="2736" w:type="dxa"/>
          </w:tcPr>
          <w:p w14:paraId="10D28838" w14:textId="77777777" w:rsidR="00A428CB" w:rsidRDefault="00C80D20">
            <w:r>
              <w:rPr>
                <w:sz w:val="16"/>
              </w:rPr>
              <w:t>Ault, J.K. (2016) 'Institutional environment and microfinance performance: A cross-country study', Journal of International Business Studies, 47(8), pp. 910–935.</w:t>
            </w:r>
          </w:p>
        </w:tc>
        <w:tc>
          <w:tcPr>
            <w:tcW w:w="1080" w:type="dxa"/>
          </w:tcPr>
          <w:p w14:paraId="77C089A2" w14:textId="77777777" w:rsidR="00A428CB" w:rsidRDefault="00C80D20">
            <w:r>
              <w:rPr>
                <w:sz w:val="16"/>
              </w:rPr>
              <w:t>Cross-country (developing countries)</w:t>
            </w:r>
          </w:p>
        </w:tc>
        <w:tc>
          <w:tcPr>
            <w:tcW w:w="1512" w:type="dxa"/>
          </w:tcPr>
          <w:p w14:paraId="306CFC05" w14:textId="77777777" w:rsidR="00A428CB" w:rsidRDefault="00C80D20">
            <w:r>
              <w:rPr>
                <w:sz w:val="16"/>
              </w:rPr>
              <w:t>Institutional environment and microfinance performance</w:t>
            </w:r>
          </w:p>
        </w:tc>
        <w:tc>
          <w:tcPr>
            <w:tcW w:w="1512" w:type="dxa"/>
          </w:tcPr>
          <w:p w14:paraId="600D2282" w14:textId="77777777" w:rsidR="00A428CB" w:rsidRDefault="00C80D20">
            <w:r>
              <w:rPr>
                <w:sz w:val="16"/>
              </w:rPr>
              <w:t>Institutional Theory</w:t>
            </w:r>
          </w:p>
        </w:tc>
        <w:tc>
          <w:tcPr>
            <w:tcW w:w="1224" w:type="dxa"/>
          </w:tcPr>
          <w:p w14:paraId="72F1B522" w14:textId="77777777" w:rsidR="00A428CB" w:rsidRDefault="00C80D20">
            <w:r>
              <w:rPr>
                <w:sz w:val="16"/>
              </w:rPr>
              <w:t>Quantitative cross-country study</w:t>
            </w:r>
          </w:p>
        </w:tc>
        <w:tc>
          <w:tcPr>
            <w:tcW w:w="2088" w:type="dxa"/>
          </w:tcPr>
          <w:p w14:paraId="3DBEC65F" w14:textId="77777777" w:rsidR="00A428CB" w:rsidRDefault="00C80D20">
            <w:r>
              <w:rPr>
                <w:sz w:val="16"/>
              </w:rPr>
              <w:t>The institutional environment shapes microfinance performance and outreach to the poor.</w:t>
            </w:r>
          </w:p>
        </w:tc>
        <w:tc>
          <w:tcPr>
            <w:tcW w:w="2088" w:type="dxa"/>
          </w:tcPr>
          <w:p w14:paraId="5ACD0F70" w14:textId="77777777" w:rsidR="00A428CB" w:rsidRDefault="00C80D20">
            <w:r>
              <w:rPr>
                <w:sz w:val="16"/>
              </w:rPr>
              <w:t>Rural-specific institutional constraints interacting with BDS are not the study's focus.</w:t>
            </w:r>
          </w:p>
        </w:tc>
        <w:tc>
          <w:tcPr>
            <w:tcW w:w="1872" w:type="dxa"/>
          </w:tcPr>
          <w:p w14:paraId="07D62F3B" w14:textId="77777777" w:rsidR="00A428CB" w:rsidRDefault="00C80D20">
            <w:r>
              <w:rPr>
                <w:sz w:val="16"/>
              </w:rPr>
              <w:t>Provides institutional and definitional grounding for the study's background and 'rural areas' definition.</w:t>
            </w:r>
          </w:p>
        </w:tc>
      </w:tr>
      <w:tr w:rsidR="00A428CB" w14:paraId="1D7DA55A" w14:textId="77777777">
        <w:tc>
          <w:tcPr>
            <w:tcW w:w="504" w:type="dxa"/>
          </w:tcPr>
          <w:p w14:paraId="7DE0FF5D" w14:textId="77777777" w:rsidR="00A428CB" w:rsidRDefault="00C80D20">
            <w:r>
              <w:rPr>
                <w:b/>
                <w:sz w:val="16"/>
              </w:rPr>
              <w:t>5</w:t>
            </w:r>
          </w:p>
        </w:tc>
        <w:tc>
          <w:tcPr>
            <w:tcW w:w="2736" w:type="dxa"/>
          </w:tcPr>
          <w:p w14:paraId="3BB194C9" w14:textId="77777777" w:rsidR="00A428CB" w:rsidRDefault="00C80D20">
            <w:r>
              <w:rPr>
                <w:sz w:val="16"/>
              </w:rPr>
              <w:t>Bandiera, O., Buehren, N., Burgess, R., Goldstein, M., Heal, J., Rasul, I. and Sulaiman, M. (2020) 'Women's empowerment in action: Evidence from a randomized control trial in Africa', American Economic Journal: Applied Economics, 12(1), pp. 210–259.</w:t>
            </w:r>
          </w:p>
        </w:tc>
        <w:tc>
          <w:tcPr>
            <w:tcW w:w="1080" w:type="dxa"/>
          </w:tcPr>
          <w:p w14:paraId="26A5C28E" w14:textId="77777777" w:rsidR="00A428CB" w:rsidRDefault="00C80D20">
            <w:r>
              <w:rPr>
                <w:sz w:val="16"/>
              </w:rPr>
              <w:t>Sub-Saharan Africa</w:t>
            </w:r>
          </w:p>
        </w:tc>
        <w:tc>
          <w:tcPr>
            <w:tcW w:w="1512" w:type="dxa"/>
          </w:tcPr>
          <w:p w14:paraId="40258BC4" w14:textId="77777777" w:rsidR="00A428CB" w:rsidRDefault="00C80D20">
            <w:r>
              <w:rPr>
                <w:sz w:val="16"/>
              </w:rPr>
              <w:t>Women's empowerment and skills training</w:t>
            </w:r>
          </w:p>
        </w:tc>
        <w:tc>
          <w:tcPr>
            <w:tcW w:w="1512" w:type="dxa"/>
          </w:tcPr>
          <w:p w14:paraId="7B6FB14C" w14:textId="77777777" w:rsidR="00A428CB" w:rsidRDefault="00C80D20">
            <w:r>
              <w:rPr>
                <w:sz w:val="16"/>
              </w:rPr>
              <w:t>Women's Empowerment Framework</w:t>
            </w:r>
          </w:p>
        </w:tc>
        <w:tc>
          <w:tcPr>
            <w:tcW w:w="1224" w:type="dxa"/>
          </w:tcPr>
          <w:p w14:paraId="06F19B50" w14:textId="77777777" w:rsidR="00A428CB" w:rsidRDefault="00C80D20">
            <w:r>
              <w:rPr>
                <w:sz w:val="16"/>
              </w:rPr>
              <w:t>Randomised controlled trial</w:t>
            </w:r>
          </w:p>
        </w:tc>
        <w:tc>
          <w:tcPr>
            <w:tcW w:w="2088" w:type="dxa"/>
          </w:tcPr>
          <w:p w14:paraId="7DDFF259" w14:textId="77777777" w:rsidR="00A428CB" w:rsidRDefault="00C80D20">
            <w:r>
              <w:rPr>
                <w:sz w:val="16"/>
              </w:rPr>
              <w:t>Combined vocational and life-skills training improves young women's economic and social empowerment.</w:t>
            </w:r>
          </w:p>
        </w:tc>
        <w:tc>
          <w:tcPr>
            <w:tcW w:w="2088" w:type="dxa"/>
          </w:tcPr>
          <w:p w14:paraId="13613992" w14:textId="77777777" w:rsidR="00A428CB" w:rsidRDefault="00C80D20">
            <w:r>
              <w:rPr>
                <w:sz w:val="16"/>
              </w:rPr>
              <w:t>Does not test the intervention alongside access to credit.</w:t>
            </w:r>
          </w:p>
        </w:tc>
        <w:tc>
          <w:tcPr>
            <w:tcW w:w="1872" w:type="dxa"/>
          </w:tcPr>
          <w:p w14:paraId="13EA459F" w14:textId="77777777" w:rsidR="00A428CB" w:rsidRDefault="00C80D20">
            <w:r>
              <w:rPr>
                <w:sz w:val="16"/>
              </w:rPr>
              <w:t>RCT evidence that non-financial skill-building alone can improve outcomes, motivating a joint credit+BDS test.</w:t>
            </w:r>
          </w:p>
        </w:tc>
      </w:tr>
      <w:tr w:rsidR="00A428CB" w14:paraId="6640E4D2" w14:textId="77777777">
        <w:tc>
          <w:tcPr>
            <w:tcW w:w="504" w:type="dxa"/>
          </w:tcPr>
          <w:p w14:paraId="783D3732" w14:textId="77777777" w:rsidR="00A428CB" w:rsidRDefault="00C80D20">
            <w:r>
              <w:rPr>
                <w:b/>
                <w:sz w:val="16"/>
              </w:rPr>
              <w:t>6</w:t>
            </w:r>
          </w:p>
        </w:tc>
        <w:tc>
          <w:tcPr>
            <w:tcW w:w="2736" w:type="dxa"/>
          </w:tcPr>
          <w:p w14:paraId="5F7B80A2" w14:textId="77777777" w:rsidR="00A428CB" w:rsidRDefault="00C80D20">
            <w:r>
              <w:rPr>
                <w:sz w:val="16"/>
              </w:rPr>
              <w:t>Charfeddine, L. and Zaouali, S. (2022) 'The effects of financial inclusion and the business environment in spurring the creation of early-stage firms and supporting established firms', Journal of Business Research, 143, pp. 1–15.</w:t>
            </w:r>
          </w:p>
        </w:tc>
        <w:tc>
          <w:tcPr>
            <w:tcW w:w="1080" w:type="dxa"/>
          </w:tcPr>
          <w:p w14:paraId="2002B047" w14:textId="77777777" w:rsidR="00A428CB" w:rsidRDefault="00C80D20">
            <w:r>
              <w:rPr>
                <w:sz w:val="16"/>
              </w:rPr>
              <w:t>Cross-country panel</w:t>
            </w:r>
          </w:p>
        </w:tc>
        <w:tc>
          <w:tcPr>
            <w:tcW w:w="1512" w:type="dxa"/>
          </w:tcPr>
          <w:p w14:paraId="22315D13" w14:textId="77777777" w:rsidR="00A428CB" w:rsidRDefault="00C80D20">
            <w:r>
              <w:rPr>
                <w:sz w:val="16"/>
              </w:rPr>
              <w:t>Financial inclusion and enterprise creation</w:t>
            </w:r>
          </w:p>
        </w:tc>
        <w:tc>
          <w:tcPr>
            <w:tcW w:w="1512" w:type="dxa"/>
          </w:tcPr>
          <w:p w14:paraId="5ACC6E1A" w14:textId="77777777" w:rsidR="00A428CB" w:rsidRDefault="00C80D20">
            <w:r>
              <w:rPr>
                <w:sz w:val="16"/>
              </w:rPr>
              <w:t>Financial Inclusion Theory</w:t>
            </w:r>
          </w:p>
        </w:tc>
        <w:tc>
          <w:tcPr>
            <w:tcW w:w="1224" w:type="dxa"/>
          </w:tcPr>
          <w:p w14:paraId="6FA8D13B" w14:textId="77777777" w:rsidR="00A428CB" w:rsidRDefault="00C80D20">
            <w:r>
              <w:rPr>
                <w:sz w:val="16"/>
              </w:rPr>
              <w:t>Quantitative panel/econometric analysis</w:t>
            </w:r>
          </w:p>
        </w:tc>
        <w:tc>
          <w:tcPr>
            <w:tcW w:w="2088" w:type="dxa"/>
          </w:tcPr>
          <w:p w14:paraId="3A6FB2F4" w14:textId="77777777" w:rsidR="00A428CB" w:rsidRDefault="00C80D20">
            <w:r>
              <w:rPr>
                <w:sz w:val="16"/>
              </w:rPr>
              <w:t>Financial inclusion and a supportive business environment jointly spur firm creation and survival.</w:t>
            </w:r>
          </w:p>
        </w:tc>
        <w:tc>
          <w:tcPr>
            <w:tcW w:w="2088" w:type="dxa"/>
          </w:tcPr>
          <w:p w14:paraId="6A31117B" w14:textId="77777777" w:rsidR="00A428CB" w:rsidRDefault="00C80D20">
            <w:r>
              <w:rPr>
                <w:sz w:val="16"/>
              </w:rPr>
              <w:t>Macro/country-level analysis; does not examine rural micro-enterprises or BDS.</w:t>
            </w:r>
          </w:p>
        </w:tc>
        <w:tc>
          <w:tcPr>
            <w:tcW w:w="1872" w:type="dxa"/>
          </w:tcPr>
          <w:p w14:paraId="77788987" w14:textId="77777777" w:rsidR="00A428CB" w:rsidRDefault="00C80D20">
            <w:r>
              <w:rPr>
                <w:sz w:val="16"/>
              </w:rPr>
              <w:t>Macro-level evidence for the Financial Inclusion Theory link used in Section 3.6.1.</w:t>
            </w:r>
          </w:p>
        </w:tc>
      </w:tr>
      <w:tr w:rsidR="00A428CB" w14:paraId="5EC7E41F" w14:textId="77777777">
        <w:tc>
          <w:tcPr>
            <w:tcW w:w="504" w:type="dxa"/>
          </w:tcPr>
          <w:p w14:paraId="629731F7" w14:textId="77777777" w:rsidR="00A428CB" w:rsidRDefault="00C80D20">
            <w:r>
              <w:rPr>
                <w:b/>
                <w:sz w:val="16"/>
              </w:rPr>
              <w:t>7</w:t>
            </w:r>
          </w:p>
        </w:tc>
        <w:tc>
          <w:tcPr>
            <w:tcW w:w="2736" w:type="dxa"/>
          </w:tcPr>
          <w:p w14:paraId="5D64BD3A" w14:textId="77777777" w:rsidR="00A428CB" w:rsidRDefault="00C80D20">
            <w:r>
              <w:rPr>
                <w:sz w:val="16"/>
              </w:rPr>
              <w:t>Chliova, M., Brinckmann, J. and Rosenbusch, N. (2015) 'Is microfinance a panacea? A meta-analytic investigation of its impact in developing countries', Journal of Business Venturing, 30(3), pp. 467–487.</w:t>
            </w:r>
          </w:p>
        </w:tc>
        <w:tc>
          <w:tcPr>
            <w:tcW w:w="1080" w:type="dxa"/>
          </w:tcPr>
          <w:p w14:paraId="7CBC3481" w14:textId="77777777" w:rsidR="00A428CB" w:rsidRDefault="00C80D20">
            <w:r>
              <w:rPr>
                <w:sz w:val="16"/>
              </w:rPr>
              <w:t>Developing countries (multi-country)</w:t>
            </w:r>
          </w:p>
        </w:tc>
        <w:tc>
          <w:tcPr>
            <w:tcW w:w="1512" w:type="dxa"/>
          </w:tcPr>
          <w:p w14:paraId="5B374248" w14:textId="77777777" w:rsidR="00A428CB" w:rsidRDefault="00C80D20">
            <w:r>
              <w:rPr>
                <w:sz w:val="16"/>
              </w:rPr>
              <w:t>Microfinance impact (meta-analysis)</w:t>
            </w:r>
          </w:p>
        </w:tc>
        <w:tc>
          <w:tcPr>
            <w:tcW w:w="1512" w:type="dxa"/>
          </w:tcPr>
          <w:p w14:paraId="71F6A316" w14:textId="77777777" w:rsidR="00A428CB" w:rsidRDefault="00C80D20">
            <w:r>
              <w:rPr>
                <w:sz w:val="16"/>
              </w:rPr>
              <w:t>Institutional contingency perspective</w:t>
            </w:r>
          </w:p>
        </w:tc>
        <w:tc>
          <w:tcPr>
            <w:tcW w:w="1224" w:type="dxa"/>
          </w:tcPr>
          <w:p w14:paraId="1DDB8884" w14:textId="77777777" w:rsidR="00A428CB" w:rsidRDefault="00C80D20">
            <w:r>
              <w:rPr>
                <w:sz w:val="16"/>
              </w:rPr>
              <w:t>Meta-analysis</w:t>
            </w:r>
          </w:p>
        </w:tc>
        <w:tc>
          <w:tcPr>
            <w:tcW w:w="2088" w:type="dxa"/>
          </w:tcPr>
          <w:p w14:paraId="0A10FDCF" w14:textId="77777777" w:rsidR="00A428CB" w:rsidRDefault="00C80D20">
            <w:r>
              <w:rPr>
                <w:sz w:val="16"/>
              </w:rPr>
              <w:t>Microfinance's impact on venture performance is inconsistent and moderated by institutional/design factors.</w:t>
            </w:r>
          </w:p>
        </w:tc>
        <w:tc>
          <w:tcPr>
            <w:tcW w:w="2088" w:type="dxa"/>
          </w:tcPr>
          <w:p w14:paraId="48E5971C" w14:textId="77777777" w:rsidR="00A428CB" w:rsidRDefault="00C80D20">
            <w:r>
              <w:rPr>
                <w:sz w:val="16"/>
              </w:rPr>
              <w:t>Calls for research into which complementary conditions make microfinance effective.</w:t>
            </w:r>
          </w:p>
        </w:tc>
        <w:tc>
          <w:tcPr>
            <w:tcW w:w="1872" w:type="dxa"/>
          </w:tcPr>
          <w:p w14:paraId="2AE2EDC2" w14:textId="77777777" w:rsidR="00A428CB" w:rsidRDefault="00C80D20">
            <w:r>
              <w:rPr>
                <w:sz w:val="16"/>
              </w:rPr>
              <w:t>Evidence that credit alone is not a 'panacea', motivating the combined microcredit+BDS focus.</w:t>
            </w:r>
          </w:p>
        </w:tc>
      </w:tr>
      <w:tr w:rsidR="00A428CB" w14:paraId="59972DB5" w14:textId="77777777">
        <w:tc>
          <w:tcPr>
            <w:tcW w:w="504" w:type="dxa"/>
          </w:tcPr>
          <w:p w14:paraId="35875F64" w14:textId="77777777" w:rsidR="00A428CB" w:rsidRDefault="00C80D20">
            <w:r>
              <w:rPr>
                <w:b/>
                <w:sz w:val="16"/>
              </w:rPr>
              <w:lastRenderedPageBreak/>
              <w:t>8</w:t>
            </w:r>
          </w:p>
        </w:tc>
        <w:tc>
          <w:tcPr>
            <w:tcW w:w="2736" w:type="dxa"/>
          </w:tcPr>
          <w:p w14:paraId="256348E9" w14:textId="77777777" w:rsidR="00A428CB" w:rsidRDefault="00C80D20">
            <w:r>
              <w:rPr>
                <w:sz w:val="16"/>
              </w:rPr>
              <w:t>Cho, Y., Robalino, D. and Watson, S. (2016) 'Supporting self-employment and micro-enterprises in developing countries', World Development, 86, pp. 1–15.</w:t>
            </w:r>
          </w:p>
        </w:tc>
        <w:tc>
          <w:tcPr>
            <w:tcW w:w="1080" w:type="dxa"/>
          </w:tcPr>
          <w:p w14:paraId="6CF0D45B" w14:textId="77777777" w:rsidR="00A428CB" w:rsidRDefault="00C80D20">
            <w:r>
              <w:rPr>
                <w:sz w:val="16"/>
              </w:rPr>
              <w:t>Developing countries</w:t>
            </w:r>
          </w:p>
        </w:tc>
        <w:tc>
          <w:tcPr>
            <w:tcW w:w="1512" w:type="dxa"/>
          </w:tcPr>
          <w:p w14:paraId="6E0F8C5C" w14:textId="77777777" w:rsidR="00A428CB" w:rsidRDefault="00C80D20">
            <w:r>
              <w:rPr>
                <w:sz w:val="16"/>
              </w:rPr>
              <w:t>Self-employment and BDS</w:t>
            </w:r>
          </w:p>
        </w:tc>
        <w:tc>
          <w:tcPr>
            <w:tcW w:w="1512" w:type="dxa"/>
          </w:tcPr>
          <w:p w14:paraId="65889570" w14:textId="77777777" w:rsidR="00A428CB" w:rsidRDefault="00C80D20">
            <w:r>
              <w:rPr>
                <w:sz w:val="16"/>
              </w:rPr>
              <w:t>Livelihoods / self-employment policy perspective</w:t>
            </w:r>
          </w:p>
        </w:tc>
        <w:tc>
          <w:tcPr>
            <w:tcW w:w="1224" w:type="dxa"/>
          </w:tcPr>
          <w:p w14:paraId="43D9D8CE" w14:textId="77777777" w:rsidR="00A428CB" w:rsidRDefault="00C80D20">
            <w:r>
              <w:rPr>
                <w:sz w:val="16"/>
              </w:rPr>
              <w:t>Policy review/synthesis</w:t>
            </w:r>
          </w:p>
        </w:tc>
        <w:tc>
          <w:tcPr>
            <w:tcW w:w="2088" w:type="dxa"/>
          </w:tcPr>
          <w:p w14:paraId="175F3EFD" w14:textId="77777777" w:rsidR="00A428CB" w:rsidRDefault="00C80D20">
            <w:r>
              <w:rPr>
                <w:sz w:val="16"/>
              </w:rPr>
              <w:t>Self-employment reduces poverty but capital, skills, infrastructure and market barriers limit survival; BDS addresses these barriers.</w:t>
            </w:r>
          </w:p>
        </w:tc>
        <w:tc>
          <w:tcPr>
            <w:tcW w:w="2088" w:type="dxa"/>
          </w:tcPr>
          <w:p w14:paraId="3C0035D2" w14:textId="77777777" w:rsidR="00A428CB" w:rsidRDefault="00C80D20">
            <w:r>
              <w:rPr>
                <w:sz w:val="16"/>
              </w:rPr>
              <w:t>Limited evidence on how BDS should be sequenced or combined with credit.</w:t>
            </w:r>
          </w:p>
        </w:tc>
        <w:tc>
          <w:tcPr>
            <w:tcW w:w="1872" w:type="dxa"/>
          </w:tcPr>
          <w:p w14:paraId="6F1D7ED2" w14:textId="77777777" w:rsidR="00A428CB" w:rsidRDefault="00C80D20">
            <w:r>
              <w:rPr>
                <w:sz w:val="16"/>
              </w:rPr>
              <w:t>Source of the study's working definition of BDS and barriers rural entrepreneurs face.</w:t>
            </w:r>
          </w:p>
        </w:tc>
      </w:tr>
      <w:tr w:rsidR="00A428CB" w14:paraId="2AD031C6" w14:textId="77777777">
        <w:tc>
          <w:tcPr>
            <w:tcW w:w="504" w:type="dxa"/>
          </w:tcPr>
          <w:p w14:paraId="17C1567E" w14:textId="77777777" w:rsidR="00A428CB" w:rsidRDefault="00C80D20">
            <w:r>
              <w:rPr>
                <w:b/>
                <w:sz w:val="16"/>
              </w:rPr>
              <w:t>9</w:t>
            </w:r>
          </w:p>
        </w:tc>
        <w:tc>
          <w:tcPr>
            <w:tcW w:w="2736" w:type="dxa"/>
          </w:tcPr>
          <w:p w14:paraId="6F1FDC2A" w14:textId="77777777" w:rsidR="00A428CB" w:rsidRDefault="00C80D20">
            <w:r>
              <w:rPr>
                <w:sz w:val="16"/>
              </w:rPr>
              <w:t>Dalla Pellegrina, L., Di Maio, G., Landoni, P. and Rusinà, E. (2021) 'Money management and entrepreneurial training in microfinance: impact on beneficiaries and institutions', Economia Politica, 38(3), pp. 1049–1078.</w:t>
            </w:r>
          </w:p>
        </w:tc>
        <w:tc>
          <w:tcPr>
            <w:tcW w:w="1080" w:type="dxa"/>
          </w:tcPr>
          <w:p w14:paraId="344E2088" w14:textId="77777777" w:rsidR="00A428CB" w:rsidRDefault="00C80D20">
            <w:r>
              <w:rPr>
                <w:sz w:val="16"/>
              </w:rPr>
              <w:t>Not specified in the review</w:t>
            </w:r>
          </w:p>
        </w:tc>
        <w:tc>
          <w:tcPr>
            <w:tcW w:w="1512" w:type="dxa"/>
          </w:tcPr>
          <w:p w14:paraId="3442E330" w14:textId="77777777" w:rsidR="00A428CB" w:rsidRDefault="00C80D20">
            <w:r>
              <w:rPr>
                <w:sz w:val="16"/>
              </w:rPr>
              <w:t>Money management and entrepreneurial training in microfinance</w:t>
            </w:r>
          </w:p>
        </w:tc>
        <w:tc>
          <w:tcPr>
            <w:tcW w:w="1512" w:type="dxa"/>
          </w:tcPr>
          <w:p w14:paraId="051283DB" w14:textId="77777777" w:rsidR="00A428CB" w:rsidRDefault="00C80D20">
            <w:r>
              <w:rPr>
                <w:sz w:val="16"/>
              </w:rPr>
              <w:t>Human Capital Theory</w:t>
            </w:r>
          </w:p>
        </w:tc>
        <w:tc>
          <w:tcPr>
            <w:tcW w:w="1224" w:type="dxa"/>
          </w:tcPr>
          <w:p w14:paraId="32590CC0" w14:textId="77777777" w:rsidR="00A428CB" w:rsidRDefault="00C80D20">
            <w:r>
              <w:rPr>
                <w:sz w:val="16"/>
              </w:rPr>
              <w:t>Quantitative impact evaluation</w:t>
            </w:r>
          </w:p>
        </w:tc>
        <w:tc>
          <w:tcPr>
            <w:tcW w:w="2088" w:type="dxa"/>
          </w:tcPr>
          <w:p w14:paraId="1D4AF154" w14:textId="77777777" w:rsidR="00A428CB" w:rsidRDefault="00C80D20">
            <w:r>
              <w:rPr>
                <w:sz w:val="16"/>
              </w:rPr>
              <w:t>Training alongside microcredit improves outcomes for both beneficiaries and the lending institution.</w:t>
            </w:r>
          </w:p>
        </w:tc>
        <w:tc>
          <w:tcPr>
            <w:tcW w:w="2088" w:type="dxa"/>
          </w:tcPr>
          <w:p w14:paraId="5F18D33E" w14:textId="77777777" w:rsidR="00A428CB" w:rsidRDefault="00C80D20">
            <w:r>
              <w:rPr>
                <w:sz w:val="16"/>
              </w:rPr>
              <w:t>Differential impact of specific training components not fully disentangled.</w:t>
            </w:r>
          </w:p>
        </w:tc>
        <w:tc>
          <w:tcPr>
            <w:tcW w:w="1872" w:type="dxa"/>
          </w:tcPr>
          <w:p w14:paraId="566CE669" w14:textId="77777777" w:rsidR="00A428CB" w:rsidRDefault="00C80D20">
            <w:r>
              <w:rPr>
                <w:sz w:val="16"/>
              </w:rPr>
              <w:t>Reinforces that training complements credit and benefits institutions as well as borrowers.</w:t>
            </w:r>
          </w:p>
        </w:tc>
      </w:tr>
      <w:tr w:rsidR="00A428CB" w14:paraId="2CB23A54" w14:textId="77777777">
        <w:tc>
          <w:tcPr>
            <w:tcW w:w="504" w:type="dxa"/>
          </w:tcPr>
          <w:p w14:paraId="1012346D" w14:textId="77777777" w:rsidR="00A428CB" w:rsidRDefault="00C80D20">
            <w:r>
              <w:rPr>
                <w:b/>
                <w:sz w:val="16"/>
              </w:rPr>
              <w:t>10</w:t>
            </w:r>
          </w:p>
        </w:tc>
        <w:tc>
          <w:tcPr>
            <w:tcW w:w="2736" w:type="dxa"/>
          </w:tcPr>
          <w:p w14:paraId="2571F59E" w14:textId="77777777" w:rsidR="00A428CB" w:rsidRDefault="00C80D20">
            <w:r>
              <w:rPr>
                <w:sz w:val="16"/>
              </w:rPr>
              <w:t>Debnath, D., Rahman, M. and Islam, S. (2019) 'Microcredit, household decision making, and women's empowerment in rural Bangladesh', Development in Practice, 29(4), pp. 488–500.</w:t>
            </w:r>
          </w:p>
        </w:tc>
        <w:tc>
          <w:tcPr>
            <w:tcW w:w="1080" w:type="dxa"/>
          </w:tcPr>
          <w:p w14:paraId="1FE874D5" w14:textId="77777777" w:rsidR="00A428CB" w:rsidRDefault="00C80D20">
            <w:r>
              <w:rPr>
                <w:sz w:val="16"/>
              </w:rPr>
              <w:t>Bangladesh</w:t>
            </w:r>
          </w:p>
        </w:tc>
        <w:tc>
          <w:tcPr>
            <w:tcW w:w="1512" w:type="dxa"/>
          </w:tcPr>
          <w:p w14:paraId="33D6DF54" w14:textId="77777777" w:rsidR="00A428CB" w:rsidRDefault="00C80D20">
            <w:r>
              <w:rPr>
                <w:sz w:val="16"/>
              </w:rPr>
              <w:t>Microcredit and women's empowerment</w:t>
            </w:r>
          </w:p>
        </w:tc>
        <w:tc>
          <w:tcPr>
            <w:tcW w:w="1512" w:type="dxa"/>
          </w:tcPr>
          <w:p w14:paraId="55426C16" w14:textId="77777777" w:rsidR="00A428CB" w:rsidRDefault="00C80D20">
            <w:r>
              <w:rPr>
                <w:sz w:val="16"/>
              </w:rPr>
              <w:t>Women's Empowerment Framework</w:t>
            </w:r>
          </w:p>
        </w:tc>
        <w:tc>
          <w:tcPr>
            <w:tcW w:w="1224" w:type="dxa"/>
          </w:tcPr>
          <w:p w14:paraId="70396846" w14:textId="77777777" w:rsidR="00A428CB" w:rsidRDefault="00C80D20">
            <w:r>
              <w:rPr>
                <w:sz w:val="16"/>
              </w:rPr>
              <w:t>Quantitative survey</w:t>
            </w:r>
          </w:p>
        </w:tc>
        <w:tc>
          <w:tcPr>
            <w:tcW w:w="2088" w:type="dxa"/>
          </w:tcPr>
          <w:p w14:paraId="65622EED" w14:textId="77777777" w:rsidR="00A428CB" w:rsidRDefault="00C80D20">
            <w:r>
              <w:rPr>
                <w:sz w:val="16"/>
              </w:rPr>
              <w:t>Microcredit improves household decision-making and legal awareness but has limited effect on income control, mobility or ownership.</w:t>
            </w:r>
          </w:p>
        </w:tc>
        <w:tc>
          <w:tcPr>
            <w:tcW w:w="2088" w:type="dxa"/>
          </w:tcPr>
          <w:p w14:paraId="02AF30B7" w14:textId="77777777" w:rsidR="00A428CB" w:rsidRDefault="00C80D20">
            <w:r>
              <w:rPr>
                <w:sz w:val="16"/>
              </w:rPr>
              <w:t>Few studies test whether BDS combined with microcredit enhances women's empowerment.</w:t>
            </w:r>
          </w:p>
        </w:tc>
        <w:tc>
          <w:tcPr>
            <w:tcW w:w="1872" w:type="dxa"/>
          </w:tcPr>
          <w:p w14:paraId="15EC7E33" w14:textId="77777777" w:rsidR="00A428CB" w:rsidRDefault="00C80D20">
            <w:r>
              <w:rPr>
                <w:sz w:val="16"/>
              </w:rPr>
              <w:t>Central evidence that credit interacts with, rather than overrides, household and social structures.</w:t>
            </w:r>
          </w:p>
        </w:tc>
      </w:tr>
      <w:tr w:rsidR="00A428CB" w14:paraId="2E2C2E85" w14:textId="77777777">
        <w:tc>
          <w:tcPr>
            <w:tcW w:w="504" w:type="dxa"/>
          </w:tcPr>
          <w:p w14:paraId="4C748427" w14:textId="77777777" w:rsidR="00A428CB" w:rsidRDefault="00C80D20">
            <w:r>
              <w:rPr>
                <w:b/>
                <w:sz w:val="16"/>
              </w:rPr>
              <w:t>11</w:t>
            </w:r>
          </w:p>
        </w:tc>
        <w:tc>
          <w:tcPr>
            <w:tcW w:w="2736" w:type="dxa"/>
          </w:tcPr>
          <w:p w14:paraId="2CFEABA1" w14:textId="77777777" w:rsidR="00A428CB" w:rsidRDefault="00C80D20">
            <w:r>
              <w:rPr>
                <w:sz w:val="16"/>
              </w:rPr>
              <w:t>Duvendack, M. and Mader, P. (2019) 'Impact of financial inclusion in low- and middle-income countries: A systematic review of reviews', Campbell Systematic Reviews, 15(1–2), e1012.</w:t>
            </w:r>
          </w:p>
        </w:tc>
        <w:tc>
          <w:tcPr>
            <w:tcW w:w="1080" w:type="dxa"/>
          </w:tcPr>
          <w:p w14:paraId="410B02B3" w14:textId="77777777" w:rsidR="00A428CB" w:rsidRDefault="00C80D20">
            <w:r>
              <w:rPr>
                <w:sz w:val="16"/>
              </w:rPr>
              <w:t>Low- and middle-income countries (global)</w:t>
            </w:r>
          </w:p>
        </w:tc>
        <w:tc>
          <w:tcPr>
            <w:tcW w:w="1512" w:type="dxa"/>
          </w:tcPr>
          <w:p w14:paraId="5E73643E" w14:textId="77777777" w:rsidR="00A428CB" w:rsidRDefault="00C80D20">
            <w:r>
              <w:rPr>
                <w:sz w:val="16"/>
              </w:rPr>
              <w:t>Financial inclusion evidence synthesis</w:t>
            </w:r>
          </w:p>
        </w:tc>
        <w:tc>
          <w:tcPr>
            <w:tcW w:w="1512" w:type="dxa"/>
          </w:tcPr>
          <w:p w14:paraId="0BD988DA" w14:textId="77777777" w:rsidR="00A428CB" w:rsidRDefault="00C80D20">
            <w:r>
              <w:rPr>
                <w:sz w:val="16"/>
              </w:rPr>
              <w:t>Financial inclusion / evidence-synthesis perspective</w:t>
            </w:r>
          </w:p>
        </w:tc>
        <w:tc>
          <w:tcPr>
            <w:tcW w:w="1224" w:type="dxa"/>
          </w:tcPr>
          <w:p w14:paraId="3363BD02" w14:textId="77777777" w:rsidR="00A428CB" w:rsidRDefault="00C80D20">
            <w:r>
              <w:rPr>
                <w:sz w:val="16"/>
              </w:rPr>
              <w:t>Systematic review of reviews</w:t>
            </w:r>
          </w:p>
        </w:tc>
        <w:tc>
          <w:tcPr>
            <w:tcW w:w="2088" w:type="dxa"/>
          </w:tcPr>
          <w:p w14:paraId="1456B6D8" w14:textId="77777777" w:rsidR="00A428CB" w:rsidRDefault="00C80D20">
            <w:r>
              <w:rPr>
                <w:sz w:val="16"/>
              </w:rPr>
              <w:t>Robust evidence for transformative impacts of financial inclusion is limited and context-dependent.</w:t>
            </w:r>
          </w:p>
        </w:tc>
        <w:tc>
          <w:tcPr>
            <w:tcW w:w="2088" w:type="dxa"/>
          </w:tcPr>
          <w:p w14:paraId="5DB12A06" w14:textId="77777777" w:rsidR="00A428CB" w:rsidRDefault="00C80D20">
            <w:r>
              <w:rPr>
                <w:sz w:val="16"/>
              </w:rPr>
              <w:t>Primary evidence concentrated in narrow, mainly Anglophone contexts.</w:t>
            </w:r>
          </w:p>
        </w:tc>
        <w:tc>
          <w:tcPr>
            <w:tcW w:w="1872" w:type="dxa"/>
          </w:tcPr>
          <w:p w14:paraId="70A612CD" w14:textId="77777777" w:rsidR="00A428CB" w:rsidRDefault="00C80D20">
            <w:r>
              <w:rPr>
                <w:sz w:val="16"/>
              </w:rPr>
              <w:t>Used to triangulate this study's English-language evidence base and acknowledge language limitations (Section 2.11).</w:t>
            </w:r>
          </w:p>
        </w:tc>
      </w:tr>
      <w:tr w:rsidR="00A428CB" w14:paraId="3EB506C1" w14:textId="77777777">
        <w:tc>
          <w:tcPr>
            <w:tcW w:w="504" w:type="dxa"/>
          </w:tcPr>
          <w:p w14:paraId="70017B75" w14:textId="77777777" w:rsidR="00A428CB" w:rsidRDefault="00C80D20">
            <w:r>
              <w:rPr>
                <w:b/>
                <w:sz w:val="16"/>
              </w:rPr>
              <w:t>12</w:t>
            </w:r>
          </w:p>
        </w:tc>
        <w:tc>
          <w:tcPr>
            <w:tcW w:w="2736" w:type="dxa"/>
          </w:tcPr>
          <w:p w14:paraId="03EA1ADD" w14:textId="77777777" w:rsidR="00A428CB" w:rsidRDefault="00C80D20">
            <w:r>
              <w:rPr>
                <w:sz w:val="16"/>
              </w:rPr>
              <w:t>Fu, J. and Krauss, A. (2024) 'Preparing fertile ground: how does the quality of business environments affect MSE growth?', Small Business Economics, 63(1), pp. 51–78.</w:t>
            </w:r>
          </w:p>
        </w:tc>
        <w:tc>
          <w:tcPr>
            <w:tcW w:w="1080" w:type="dxa"/>
          </w:tcPr>
          <w:p w14:paraId="47153E5E" w14:textId="77777777" w:rsidR="00A428CB" w:rsidRDefault="00C80D20">
            <w:r>
              <w:rPr>
                <w:sz w:val="16"/>
              </w:rPr>
              <w:t>Developing countries (cross-country)</w:t>
            </w:r>
          </w:p>
        </w:tc>
        <w:tc>
          <w:tcPr>
            <w:tcW w:w="1512" w:type="dxa"/>
          </w:tcPr>
          <w:p w14:paraId="15066AD3" w14:textId="77777777" w:rsidR="00A428CB" w:rsidRDefault="00C80D20">
            <w:r>
              <w:rPr>
                <w:sz w:val="16"/>
              </w:rPr>
              <w:t>Business environment quality and MSE growth</w:t>
            </w:r>
          </w:p>
        </w:tc>
        <w:tc>
          <w:tcPr>
            <w:tcW w:w="1512" w:type="dxa"/>
          </w:tcPr>
          <w:p w14:paraId="323CEFDA" w14:textId="77777777" w:rsidR="00A428CB" w:rsidRDefault="00C80D20">
            <w:r>
              <w:rPr>
                <w:sz w:val="16"/>
              </w:rPr>
              <w:t>Market/institutional environment perspective</w:t>
            </w:r>
          </w:p>
        </w:tc>
        <w:tc>
          <w:tcPr>
            <w:tcW w:w="1224" w:type="dxa"/>
          </w:tcPr>
          <w:p w14:paraId="66CA57CF" w14:textId="77777777" w:rsidR="00A428CB" w:rsidRDefault="00C80D20">
            <w:r>
              <w:rPr>
                <w:sz w:val="16"/>
              </w:rPr>
              <w:t>Quantitative analysis</w:t>
            </w:r>
          </w:p>
        </w:tc>
        <w:tc>
          <w:tcPr>
            <w:tcW w:w="2088" w:type="dxa"/>
          </w:tcPr>
          <w:p w14:paraId="7B978353" w14:textId="77777777" w:rsidR="00A428CB" w:rsidRDefault="00C80D20">
            <w:r>
              <w:rPr>
                <w:sz w:val="16"/>
              </w:rPr>
              <w:t>MSEs in stronger, more active local markets are more likely to benefit from credit access and grow.</w:t>
            </w:r>
          </w:p>
        </w:tc>
        <w:tc>
          <w:tcPr>
            <w:tcW w:w="2088" w:type="dxa"/>
          </w:tcPr>
          <w:p w14:paraId="7E961344" w14:textId="77777777" w:rsidR="00A428CB" w:rsidRDefault="00C80D20">
            <w:r>
              <w:rPr>
                <w:sz w:val="16"/>
              </w:rPr>
              <w:t>Rural-specific market conditions and their interaction with BDS are not directly examined.</w:t>
            </w:r>
          </w:p>
        </w:tc>
        <w:tc>
          <w:tcPr>
            <w:tcW w:w="1872" w:type="dxa"/>
          </w:tcPr>
          <w:p w14:paraId="5E6E0B51" w14:textId="77777777" w:rsidR="00A428CB" w:rsidRDefault="00C80D20">
            <w:r>
              <w:rPr>
                <w:sz w:val="16"/>
              </w:rPr>
              <w:t>Supports the argument that positive credit outcomes depend on favourable market conditions, not credit alone.</w:t>
            </w:r>
          </w:p>
        </w:tc>
      </w:tr>
      <w:tr w:rsidR="00A428CB" w14:paraId="34CADB75" w14:textId="77777777">
        <w:tc>
          <w:tcPr>
            <w:tcW w:w="504" w:type="dxa"/>
          </w:tcPr>
          <w:p w14:paraId="41D0FC45" w14:textId="77777777" w:rsidR="00A428CB" w:rsidRDefault="00C80D20">
            <w:r>
              <w:rPr>
                <w:b/>
                <w:sz w:val="16"/>
              </w:rPr>
              <w:t>13</w:t>
            </w:r>
          </w:p>
        </w:tc>
        <w:tc>
          <w:tcPr>
            <w:tcW w:w="2736" w:type="dxa"/>
          </w:tcPr>
          <w:p w14:paraId="096ABAF6" w14:textId="77777777" w:rsidR="00A428CB" w:rsidRDefault="00C80D20">
            <w:r>
              <w:rPr>
                <w:sz w:val="16"/>
              </w:rPr>
              <w:t>Goldszmidt, R., Rotondaro, R. and Silva, L. (2022) 'The long-term impact of microcredit on low-income microenterprises', World Development, 151, p. 105750.</w:t>
            </w:r>
          </w:p>
        </w:tc>
        <w:tc>
          <w:tcPr>
            <w:tcW w:w="1080" w:type="dxa"/>
          </w:tcPr>
          <w:p w14:paraId="5E932550" w14:textId="77777777" w:rsidR="00A428CB" w:rsidRDefault="00C80D20">
            <w:r>
              <w:rPr>
                <w:sz w:val="16"/>
              </w:rPr>
              <w:t>Developing countries</w:t>
            </w:r>
          </w:p>
        </w:tc>
        <w:tc>
          <w:tcPr>
            <w:tcW w:w="1512" w:type="dxa"/>
          </w:tcPr>
          <w:p w14:paraId="4E0B65DF" w14:textId="77777777" w:rsidR="00A428CB" w:rsidRDefault="00C80D20">
            <w:r>
              <w:rPr>
                <w:sz w:val="16"/>
              </w:rPr>
              <w:t>Long-term impact of microcredit on poverty</w:t>
            </w:r>
          </w:p>
        </w:tc>
        <w:tc>
          <w:tcPr>
            <w:tcW w:w="1512" w:type="dxa"/>
          </w:tcPr>
          <w:p w14:paraId="265006DD" w14:textId="77777777" w:rsidR="00A428CB" w:rsidRDefault="00C80D20">
            <w:r>
              <w:rPr>
                <w:sz w:val="16"/>
              </w:rPr>
              <w:t>Development Economics</w:t>
            </w:r>
          </w:p>
        </w:tc>
        <w:tc>
          <w:tcPr>
            <w:tcW w:w="1224" w:type="dxa"/>
          </w:tcPr>
          <w:p w14:paraId="67240082" w14:textId="77777777" w:rsidR="00A428CB" w:rsidRDefault="00C80D20">
            <w:r>
              <w:rPr>
                <w:sz w:val="16"/>
              </w:rPr>
              <w:t>Systematic review / meta-analysis</w:t>
            </w:r>
          </w:p>
        </w:tc>
        <w:tc>
          <w:tcPr>
            <w:tcW w:w="2088" w:type="dxa"/>
          </w:tcPr>
          <w:p w14:paraId="6B346C37" w14:textId="77777777" w:rsidR="00A428CB" w:rsidRDefault="00C80D20">
            <w:r>
              <w:rPr>
                <w:sz w:val="16"/>
              </w:rPr>
              <w:t>Microcredit increases short-term investment/spending but rarely produces sustained income growth or formalisation.</w:t>
            </w:r>
          </w:p>
        </w:tc>
        <w:tc>
          <w:tcPr>
            <w:tcW w:w="2088" w:type="dxa"/>
          </w:tcPr>
          <w:p w14:paraId="552876E3" w14:textId="77777777" w:rsidR="00A428CB" w:rsidRDefault="00C80D20">
            <w:r>
              <w:rPr>
                <w:sz w:val="16"/>
              </w:rPr>
              <w:t>More research needed on conditions under which microcredit + BDS sustains poverty reduction.</w:t>
            </w:r>
          </w:p>
        </w:tc>
        <w:tc>
          <w:tcPr>
            <w:tcW w:w="1872" w:type="dxa"/>
          </w:tcPr>
          <w:p w14:paraId="0C65B484" w14:textId="77777777" w:rsidR="00A428CB" w:rsidRDefault="00C80D20">
            <w:r>
              <w:rPr>
                <w:sz w:val="16"/>
              </w:rPr>
              <w:t>Key evidence for the household-level sustainability metric (Section 1.4) and debate over microcredit's limits.</w:t>
            </w:r>
          </w:p>
        </w:tc>
      </w:tr>
      <w:tr w:rsidR="00A428CB" w14:paraId="5B0D28AE" w14:textId="77777777">
        <w:tc>
          <w:tcPr>
            <w:tcW w:w="504" w:type="dxa"/>
          </w:tcPr>
          <w:p w14:paraId="6551F77C" w14:textId="77777777" w:rsidR="00A428CB" w:rsidRDefault="00C80D20">
            <w:r>
              <w:rPr>
                <w:b/>
                <w:sz w:val="16"/>
              </w:rPr>
              <w:t>14</w:t>
            </w:r>
          </w:p>
        </w:tc>
        <w:tc>
          <w:tcPr>
            <w:tcW w:w="2736" w:type="dxa"/>
          </w:tcPr>
          <w:p w14:paraId="1490440A" w14:textId="77777777" w:rsidR="00A428CB" w:rsidRDefault="00C80D20">
            <w:r>
              <w:rPr>
                <w:sz w:val="16"/>
              </w:rPr>
              <w:t>Gyimah, P., Owusu-Afriyie, R. and Lussier, R.N. (2024) 'Advancing Rural Entrepreneurship: Does Microfinancing Matter?', Journal of Developmental Entrepreneurship, 29(1), p. 117667.</w:t>
            </w:r>
          </w:p>
        </w:tc>
        <w:tc>
          <w:tcPr>
            <w:tcW w:w="1080" w:type="dxa"/>
          </w:tcPr>
          <w:p w14:paraId="7D8EEE00" w14:textId="77777777" w:rsidR="00A428CB" w:rsidRDefault="00C80D20">
            <w:r>
              <w:rPr>
                <w:sz w:val="16"/>
              </w:rPr>
              <w:t>Sub-Saharan Africa (rural)</w:t>
            </w:r>
          </w:p>
        </w:tc>
        <w:tc>
          <w:tcPr>
            <w:tcW w:w="1512" w:type="dxa"/>
          </w:tcPr>
          <w:p w14:paraId="6F4D62F1" w14:textId="77777777" w:rsidR="00A428CB" w:rsidRDefault="00C80D20">
            <w:r>
              <w:rPr>
                <w:sz w:val="16"/>
              </w:rPr>
              <w:t>Microfinancing and rural entrepreneurship</w:t>
            </w:r>
          </w:p>
        </w:tc>
        <w:tc>
          <w:tcPr>
            <w:tcW w:w="1512" w:type="dxa"/>
          </w:tcPr>
          <w:p w14:paraId="06D9BBF4" w14:textId="77777777" w:rsidR="00A428CB" w:rsidRDefault="00C80D20">
            <w:r>
              <w:rPr>
                <w:sz w:val="16"/>
              </w:rPr>
              <w:t>Financial Inclusion Theory</w:t>
            </w:r>
          </w:p>
        </w:tc>
        <w:tc>
          <w:tcPr>
            <w:tcW w:w="1224" w:type="dxa"/>
          </w:tcPr>
          <w:p w14:paraId="6A0C319E" w14:textId="77777777" w:rsidR="00A428CB" w:rsidRDefault="00C80D20">
            <w:r>
              <w:rPr>
                <w:sz w:val="16"/>
              </w:rPr>
              <w:t>Quantitative study</w:t>
            </w:r>
          </w:p>
        </w:tc>
        <w:tc>
          <w:tcPr>
            <w:tcW w:w="2088" w:type="dxa"/>
          </w:tcPr>
          <w:p w14:paraId="70D85A27" w14:textId="77777777" w:rsidR="00A428CB" w:rsidRDefault="00C80D20">
            <w:r>
              <w:rPr>
                <w:sz w:val="16"/>
              </w:rPr>
              <w:t>Microfinancing significantly advances rural entrepreneurship and business outcomes.</w:t>
            </w:r>
          </w:p>
        </w:tc>
        <w:tc>
          <w:tcPr>
            <w:tcW w:w="2088" w:type="dxa"/>
          </w:tcPr>
          <w:p w14:paraId="37078F9E" w14:textId="77777777" w:rsidR="00A428CB" w:rsidRDefault="00C80D20">
            <w:r>
              <w:rPr>
                <w:sz w:val="16"/>
              </w:rPr>
              <w:t>Examines microfinance's effect in isolation from BDS.</w:t>
            </w:r>
          </w:p>
        </w:tc>
        <w:tc>
          <w:tcPr>
            <w:tcW w:w="1872" w:type="dxa"/>
          </w:tcPr>
          <w:p w14:paraId="381D6735" w14:textId="77777777" w:rsidR="00A428CB" w:rsidRDefault="00C80D20">
            <w:r>
              <w:rPr>
                <w:sz w:val="16"/>
              </w:rPr>
              <w:t>Illustrates the single-service focus of much existing research (microfinance alone).</w:t>
            </w:r>
          </w:p>
        </w:tc>
      </w:tr>
      <w:tr w:rsidR="00A428CB" w14:paraId="0B06707A" w14:textId="77777777">
        <w:tc>
          <w:tcPr>
            <w:tcW w:w="504" w:type="dxa"/>
          </w:tcPr>
          <w:p w14:paraId="22DE7F8B" w14:textId="77777777" w:rsidR="00A428CB" w:rsidRDefault="00C80D20">
            <w:r>
              <w:rPr>
                <w:b/>
                <w:sz w:val="16"/>
              </w:rPr>
              <w:t>15</w:t>
            </w:r>
          </w:p>
        </w:tc>
        <w:tc>
          <w:tcPr>
            <w:tcW w:w="2736" w:type="dxa"/>
          </w:tcPr>
          <w:p w14:paraId="4CCFB34A" w14:textId="77777777" w:rsidR="00A428CB" w:rsidRDefault="00C80D20">
            <w:r>
              <w:rPr>
                <w:sz w:val="16"/>
              </w:rPr>
              <w:t>Hani, N., Al-Habib, M. and Saffar, A. (2024) 'Integrated microfinance and business support for rural enterprise sustainability', Journal of Rural Studies, 105, p. 103120.</w:t>
            </w:r>
          </w:p>
        </w:tc>
        <w:tc>
          <w:tcPr>
            <w:tcW w:w="1080" w:type="dxa"/>
          </w:tcPr>
          <w:p w14:paraId="571DF5C6" w14:textId="77777777" w:rsidR="00A428CB" w:rsidRDefault="00C80D20">
            <w:r>
              <w:rPr>
                <w:sz w:val="16"/>
              </w:rPr>
              <w:t>Rural developing-region (not further specified)</w:t>
            </w:r>
          </w:p>
        </w:tc>
        <w:tc>
          <w:tcPr>
            <w:tcW w:w="1512" w:type="dxa"/>
          </w:tcPr>
          <w:p w14:paraId="336A893E" w14:textId="77777777" w:rsidR="00A428CB" w:rsidRDefault="00C80D20">
            <w:r>
              <w:rPr>
                <w:sz w:val="16"/>
              </w:rPr>
              <w:t>Integrated microfinance and business support</w:t>
            </w:r>
          </w:p>
        </w:tc>
        <w:tc>
          <w:tcPr>
            <w:tcW w:w="1512" w:type="dxa"/>
          </w:tcPr>
          <w:p w14:paraId="191FE0F9" w14:textId="77777777" w:rsidR="00A428CB" w:rsidRDefault="00C80D20">
            <w:r>
              <w:rPr>
                <w:sz w:val="16"/>
              </w:rPr>
              <w:t>Integrated microfinance-plus / financial inclusion perspective</w:t>
            </w:r>
          </w:p>
        </w:tc>
        <w:tc>
          <w:tcPr>
            <w:tcW w:w="1224" w:type="dxa"/>
          </w:tcPr>
          <w:p w14:paraId="770674F0" w14:textId="77777777" w:rsidR="00A428CB" w:rsidRDefault="00C80D20">
            <w:r>
              <w:rPr>
                <w:sz w:val="16"/>
              </w:rPr>
              <w:t>Empirical study</w:t>
            </w:r>
          </w:p>
        </w:tc>
        <w:tc>
          <w:tcPr>
            <w:tcW w:w="2088" w:type="dxa"/>
          </w:tcPr>
          <w:p w14:paraId="4DC11C23" w14:textId="77777777" w:rsidR="00A428CB" w:rsidRDefault="00C80D20">
            <w:r>
              <w:rPr>
                <w:sz w:val="16"/>
              </w:rPr>
              <w:t>Microfinance combined with business support improves rural enterprise sustainability more than either alone.</w:t>
            </w:r>
          </w:p>
        </w:tc>
        <w:tc>
          <w:tcPr>
            <w:tcW w:w="2088" w:type="dxa"/>
          </w:tcPr>
          <w:p w14:paraId="04615BC9" w14:textId="77777777" w:rsidR="00A428CB" w:rsidRDefault="00C80D20">
            <w:r>
              <w:rPr>
                <w:sz w:val="16"/>
              </w:rPr>
              <w:t>Evidence on specific mechanisms and long-term durability remains limited.</w:t>
            </w:r>
          </w:p>
        </w:tc>
        <w:tc>
          <w:tcPr>
            <w:tcW w:w="1872" w:type="dxa"/>
          </w:tcPr>
          <w:p w14:paraId="260AE52B" w14:textId="77777777" w:rsidR="00A428CB" w:rsidRDefault="00C80D20">
            <w:r>
              <w:rPr>
                <w:sz w:val="16"/>
              </w:rPr>
              <w:t>Direct empirical support for the study's central 'microfinance-plus' thesis.</w:t>
            </w:r>
          </w:p>
        </w:tc>
      </w:tr>
      <w:tr w:rsidR="00A428CB" w14:paraId="57AD46DC" w14:textId="77777777">
        <w:tc>
          <w:tcPr>
            <w:tcW w:w="504" w:type="dxa"/>
          </w:tcPr>
          <w:p w14:paraId="1115A13C" w14:textId="77777777" w:rsidR="00A428CB" w:rsidRDefault="00C80D20">
            <w:r>
              <w:rPr>
                <w:b/>
                <w:sz w:val="16"/>
              </w:rPr>
              <w:t>16</w:t>
            </w:r>
          </w:p>
        </w:tc>
        <w:tc>
          <w:tcPr>
            <w:tcW w:w="2736" w:type="dxa"/>
          </w:tcPr>
          <w:p w14:paraId="05D73505" w14:textId="77777777" w:rsidR="00A428CB" w:rsidRDefault="00C80D20">
            <w:r>
              <w:rPr>
                <w:sz w:val="16"/>
              </w:rPr>
              <w:t>Hartarska, V., Parmeter, C.F. and Mersland, R. (2025) 'Combined financial and non-financial support in microfinance: Evidence on long-term enterprise sustainability', Journal of Banking &amp; Finance, 158, p. 107012.</w:t>
            </w:r>
          </w:p>
        </w:tc>
        <w:tc>
          <w:tcPr>
            <w:tcW w:w="1080" w:type="dxa"/>
          </w:tcPr>
          <w:p w14:paraId="2C19B977" w14:textId="77777777" w:rsidR="00A428CB" w:rsidRDefault="00C80D20">
            <w:r>
              <w:rPr>
                <w:sz w:val="16"/>
              </w:rPr>
              <w:t>Cross-country MFI panel</w:t>
            </w:r>
          </w:p>
        </w:tc>
        <w:tc>
          <w:tcPr>
            <w:tcW w:w="1512" w:type="dxa"/>
          </w:tcPr>
          <w:p w14:paraId="71ECC9FE" w14:textId="77777777" w:rsidR="00A428CB" w:rsidRDefault="00C80D20">
            <w:r>
              <w:rPr>
                <w:sz w:val="16"/>
              </w:rPr>
              <w:t>Combined financial/non-financial support and sustainability</w:t>
            </w:r>
          </w:p>
        </w:tc>
        <w:tc>
          <w:tcPr>
            <w:tcW w:w="1512" w:type="dxa"/>
          </w:tcPr>
          <w:p w14:paraId="240E0538" w14:textId="77777777" w:rsidR="00A428CB" w:rsidRDefault="00C80D20">
            <w:r>
              <w:rPr>
                <w:sz w:val="16"/>
              </w:rPr>
              <w:t>Institutional / credit-plus perspective</w:t>
            </w:r>
          </w:p>
        </w:tc>
        <w:tc>
          <w:tcPr>
            <w:tcW w:w="1224" w:type="dxa"/>
          </w:tcPr>
          <w:p w14:paraId="48EAF735" w14:textId="77777777" w:rsidR="00A428CB" w:rsidRDefault="00C80D20">
            <w:r>
              <w:rPr>
                <w:sz w:val="16"/>
              </w:rPr>
              <w:t>Quantitative panel analysis</w:t>
            </w:r>
          </w:p>
        </w:tc>
        <w:tc>
          <w:tcPr>
            <w:tcW w:w="2088" w:type="dxa"/>
          </w:tcPr>
          <w:p w14:paraId="791A7921" w14:textId="77777777" w:rsidR="00A428CB" w:rsidRDefault="00C80D20">
            <w:r>
              <w:rPr>
                <w:sz w:val="16"/>
              </w:rPr>
              <w:t>Enterprises receiving both financial and non-financial MFI support show better long-term sustainability.</w:t>
            </w:r>
          </w:p>
        </w:tc>
        <w:tc>
          <w:tcPr>
            <w:tcW w:w="2088" w:type="dxa"/>
          </w:tcPr>
          <w:p w14:paraId="07A5CEC5" w14:textId="77777777" w:rsidR="00A428CB" w:rsidRDefault="00C80D20">
            <w:r>
              <w:rPr>
                <w:sz w:val="16"/>
              </w:rPr>
              <w:t>One of only a small number of studies taking an integrated 'microfinance-plus' approach.</w:t>
            </w:r>
          </w:p>
        </w:tc>
        <w:tc>
          <w:tcPr>
            <w:tcW w:w="1872" w:type="dxa"/>
          </w:tcPr>
          <w:p w14:paraId="7EF9FEB4" w14:textId="77777777" w:rsidR="00A428CB" w:rsidRDefault="00C80D20">
            <w:r>
              <w:rPr>
                <w:sz w:val="16"/>
              </w:rPr>
              <w:t>Key recent study establishing the specific research gap this study addresses.</w:t>
            </w:r>
          </w:p>
        </w:tc>
      </w:tr>
      <w:tr w:rsidR="00A428CB" w14:paraId="11653926" w14:textId="77777777">
        <w:tc>
          <w:tcPr>
            <w:tcW w:w="504" w:type="dxa"/>
          </w:tcPr>
          <w:p w14:paraId="2D844F59" w14:textId="77777777" w:rsidR="00A428CB" w:rsidRDefault="00C80D20">
            <w:r>
              <w:rPr>
                <w:b/>
                <w:sz w:val="16"/>
              </w:rPr>
              <w:lastRenderedPageBreak/>
              <w:t>17</w:t>
            </w:r>
          </w:p>
        </w:tc>
        <w:tc>
          <w:tcPr>
            <w:tcW w:w="2736" w:type="dxa"/>
          </w:tcPr>
          <w:p w14:paraId="47E4D29D" w14:textId="77777777" w:rsidR="00A428CB" w:rsidRDefault="00C80D20">
            <w:r>
              <w:rPr>
                <w:sz w:val="16"/>
              </w:rPr>
              <w:t>Karlan, D. and Valdivia, M. (2011) 'Teaching entrepreneurship: Impact of business training on microcredit clients and institutions', Review of Economics and Statistics, 93(2), pp. 510–527.</w:t>
            </w:r>
          </w:p>
        </w:tc>
        <w:tc>
          <w:tcPr>
            <w:tcW w:w="1080" w:type="dxa"/>
          </w:tcPr>
          <w:p w14:paraId="30709D3D" w14:textId="77777777" w:rsidR="00A428CB" w:rsidRDefault="00C80D20">
            <w:r>
              <w:rPr>
                <w:sz w:val="16"/>
              </w:rPr>
              <w:t>Peru</w:t>
            </w:r>
          </w:p>
        </w:tc>
        <w:tc>
          <w:tcPr>
            <w:tcW w:w="1512" w:type="dxa"/>
          </w:tcPr>
          <w:p w14:paraId="6B4CFC95" w14:textId="77777777" w:rsidR="00A428CB" w:rsidRDefault="00C80D20">
            <w:r>
              <w:rPr>
                <w:sz w:val="16"/>
              </w:rPr>
              <w:t>Business training bundled with group microfinance</w:t>
            </w:r>
          </w:p>
        </w:tc>
        <w:tc>
          <w:tcPr>
            <w:tcW w:w="1512" w:type="dxa"/>
          </w:tcPr>
          <w:p w14:paraId="0382CEA7" w14:textId="77777777" w:rsidR="00A428CB" w:rsidRDefault="00C80D20">
            <w:r>
              <w:rPr>
                <w:sz w:val="16"/>
              </w:rPr>
              <w:t>Human Capital Theory</w:t>
            </w:r>
          </w:p>
        </w:tc>
        <w:tc>
          <w:tcPr>
            <w:tcW w:w="1224" w:type="dxa"/>
          </w:tcPr>
          <w:p w14:paraId="4C3E8D25" w14:textId="77777777" w:rsidR="00A428CB" w:rsidRDefault="00C80D20">
            <w:r>
              <w:rPr>
                <w:sz w:val="16"/>
              </w:rPr>
              <w:t>Randomised controlled trial</w:t>
            </w:r>
          </w:p>
        </w:tc>
        <w:tc>
          <w:tcPr>
            <w:tcW w:w="2088" w:type="dxa"/>
          </w:tcPr>
          <w:p w14:paraId="16B9B24A" w14:textId="77777777" w:rsidR="00A428CB" w:rsidRDefault="00C80D20">
            <w:r>
              <w:rPr>
                <w:sz w:val="16"/>
              </w:rPr>
              <w:t>Adding business training to group lending improved knowledge/practices, with modest effects on revenues/profits.</w:t>
            </w:r>
          </w:p>
        </w:tc>
        <w:tc>
          <w:tcPr>
            <w:tcW w:w="2088" w:type="dxa"/>
          </w:tcPr>
          <w:p w14:paraId="6CF97F4C" w14:textId="77777777" w:rsidR="00A428CB" w:rsidRDefault="00C80D20">
            <w:r>
              <w:rPr>
                <w:sz w:val="16"/>
              </w:rPr>
              <w:t>Limited evidence on long-run, rural-specific business growth from bundling training with credit.</w:t>
            </w:r>
          </w:p>
        </w:tc>
        <w:tc>
          <w:tcPr>
            <w:tcW w:w="1872" w:type="dxa"/>
          </w:tcPr>
          <w:p w14:paraId="3A956C36" w14:textId="77777777" w:rsidR="00A428CB" w:rsidRDefault="00C80D20">
            <w:r>
              <w:rPr>
                <w:sz w:val="16"/>
              </w:rPr>
              <w:t>Foundational RCT underpinning the study's 'credit-plus' conceptual framework.</w:t>
            </w:r>
          </w:p>
        </w:tc>
      </w:tr>
      <w:tr w:rsidR="00A428CB" w14:paraId="504E7A2B" w14:textId="77777777">
        <w:tc>
          <w:tcPr>
            <w:tcW w:w="504" w:type="dxa"/>
          </w:tcPr>
          <w:p w14:paraId="734E1F00" w14:textId="77777777" w:rsidR="00A428CB" w:rsidRDefault="00C80D20">
            <w:r>
              <w:rPr>
                <w:b/>
                <w:sz w:val="16"/>
              </w:rPr>
              <w:t>18</w:t>
            </w:r>
          </w:p>
        </w:tc>
        <w:tc>
          <w:tcPr>
            <w:tcW w:w="2736" w:type="dxa"/>
          </w:tcPr>
          <w:p w14:paraId="170825AF" w14:textId="77777777" w:rsidR="00A428CB" w:rsidRDefault="00C80D20">
            <w:r>
              <w:rPr>
                <w:sz w:val="16"/>
              </w:rPr>
              <w:t>Kazungu, I. (2023) 'Business Development Services and Participation of Rural-Based Micro Enterprises in Export Markets: Exploring the Heterogeneity of the Tanzanian Handicrafts Industry', SAGE Open, 13(4), pp. 1–14.</w:t>
            </w:r>
          </w:p>
        </w:tc>
        <w:tc>
          <w:tcPr>
            <w:tcW w:w="1080" w:type="dxa"/>
          </w:tcPr>
          <w:p w14:paraId="2E9A6698" w14:textId="77777777" w:rsidR="00A428CB" w:rsidRDefault="00C80D20">
            <w:r>
              <w:rPr>
                <w:sz w:val="16"/>
              </w:rPr>
              <w:t>Tanzania</w:t>
            </w:r>
          </w:p>
        </w:tc>
        <w:tc>
          <w:tcPr>
            <w:tcW w:w="1512" w:type="dxa"/>
          </w:tcPr>
          <w:p w14:paraId="745E9BA6" w14:textId="77777777" w:rsidR="00A428CB" w:rsidRDefault="00C80D20">
            <w:r>
              <w:rPr>
                <w:sz w:val="16"/>
              </w:rPr>
              <w:t>BDS and export market participation</w:t>
            </w:r>
          </w:p>
        </w:tc>
        <w:tc>
          <w:tcPr>
            <w:tcW w:w="1512" w:type="dxa"/>
          </w:tcPr>
          <w:p w14:paraId="6C86259D" w14:textId="77777777" w:rsidR="00A428CB" w:rsidRDefault="00C80D20">
            <w:r>
              <w:rPr>
                <w:sz w:val="16"/>
              </w:rPr>
              <w:t>Institutional Theory</w:t>
            </w:r>
          </w:p>
        </w:tc>
        <w:tc>
          <w:tcPr>
            <w:tcW w:w="1224" w:type="dxa"/>
          </w:tcPr>
          <w:p w14:paraId="715DF10B" w14:textId="77777777" w:rsidR="00A428CB" w:rsidRDefault="00C80D20">
            <w:r>
              <w:rPr>
                <w:sz w:val="16"/>
              </w:rPr>
              <w:t>Empirical survey-based study</w:t>
            </w:r>
          </w:p>
        </w:tc>
        <w:tc>
          <w:tcPr>
            <w:tcW w:w="2088" w:type="dxa"/>
          </w:tcPr>
          <w:p w14:paraId="3BF51A53" w14:textId="77777777" w:rsidR="00A428CB" w:rsidRDefault="00C80D20">
            <w:r>
              <w:rPr>
                <w:sz w:val="16"/>
              </w:rPr>
              <w:t>BDS access shapes export participation heterogeneously; general programmes often fail to reach marginalised groups.</w:t>
            </w:r>
          </w:p>
        </w:tc>
        <w:tc>
          <w:tcPr>
            <w:tcW w:w="2088" w:type="dxa"/>
          </w:tcPr>
          <w:p w14:paraId="44FFA836" w14:textId="77777777" w:rsidR="00A428CB" w:rsidRDefault="00C80D20">
            <w:r>
              <w:rPr>
                <w:sz w:val="16"/>
              </w:rPr>
              <w:t>Limited evidence on designing BDS delivery that reaches marginalised, remote rural entrepreneurs.</w:t>
            </w:r>
          </w:p>
        </w:tc>
        <w:tc>
          <w:tcPr>
            <w:tcW w:w="1872" w:type="dxa"/>
          </w:tcPr>
          <w:p w14:paraId="1EE4F317" w14:textId="77777777" w:rsidR="00A428CB" w:rsidRDefault="00C80D20">
            <w:r>
              <w:rPr>
                <w:sz w:val="16"/>
              </w:rPr>
              <w:t>Informs the study's discussion of BDS implementation challenges and urban bias (Section 3.3).</w:t>
            </w:r>
          </w:p>
        </w:tc>
      </w:tr>
      <w:tr w:rsidR="00A428CB" w14:paraId="2C57AD4B" w14:textId="77777777">
        <w:tc>
          <w:tcPr>
            <w:tcW w:w="504" w:type="dxa"/>
          </w:tcPr>
          <w:p w14:paraId="6DB1A207" w14:textId="77777777" w:rsidR="00A428CB" w:rsidRDefault="00C80D20">
            <w:r>
              <w:rPr>
                <w:b/>
                <w:sz w:val="16"/>
              </w:rPr>
              <w:t>19</w:t>
            </w:r>
          </w:p>
        </w:tc>
        <w:tc>
          <w:tcPr>
            <w:tcW w:w="2736" w:type="dxa"/>
          </w:tcPr>
          <w:p w14:paraId="52A1E1A6" w14:textId="77777777" w:rsidR="00A428CB" w:rsidRDefault="00C80D20">
            <w:r>
              <w:rPr>
                <w:sz w:val="16"/>
              </w:rPr>
              <w:t>Khan, S. and Khan, M.A. (2016) 'Microcredit and rural women entrepreneurship: A pathway to economic independence', Journal of Rural and Community Development, 11(2), pp. 45–60.</w:t>
            </w:r>
          </w:p>
        </w:tc>
        <w:tc>
          <w:tcPr>
            <w:tcW w:w="1080" w:type="dxa"/>
          </w:tcPr>
          <w:p w14:paraId="275A87EE" w14:textId="77777777" w:rsidR="00A428CB" w:rsidRDefault="00C80D20">
            <w:r>
              <w:rPr>
                <w:sz w:val="16"/>
              </w:rPr>
              <w:t>Rural South Asia (not further specified)</w:t>
            </w:r>
          </w:p>
        </w:tc>
        <w:tc>
          <w:tcPr>
            <w:tcW w:w="1512" w:type="dxa"/>
          </w:tcPr>
          <w:p w14:paraId="571D7B25" w14:textId="77777777" w:rsidR="00A428CB" w:rsidRDefault="00C80D20">
            <w:r>
              <w:rPr>
                <w:sz w:val="16"/>
              </w:rPr>
              <w:t>Microcredit and rural women's economic independence</w:t>
            </w:r>
          </w:p>
        </w:tc>
        <w:tc>
          <w:tcPr>
            <w:tcW w:w="1512" w:type="dxa"/>
          </w:tcPr>
          <w:p w14:paraId="210A116F" w14:textId="77777777" w:rsidR="00A428CB" w:rsidRDefault="00C80D20">
            <w:r>
              <w:rPr>
                <w:sz w:val="16"/>
              </w:rPr>
              <w:t>Empowerment / economic independence perspective</w:t>
            </w:r>
          </w:p>
        </w:tc>
        <w:tc>
          <w:tcPr>
            <w:tcW w:w="1224" w:type="dxa"/>
          </w:tcPr>
          <w:p w14:paraId="1A4BA4BF" w14:textId="77777777" w:rsidR="00A428CB" w:rsidRDefault="00C80D20">
            <w:r>
              <w:rPr>
                <w:sz w:val="16"/>
              </w:rPr>
              <w:t>Empirical study</w:t>
            </w:r>
          </w:p>
        </w:tc>
        <w:tc>
          <w:tcPr>
            <w:tcW w:w="2088" w:type="dxa"/>
          </w:tcPr>
          <w:p w14:paraId="62FBE98F" w14:textId="77777777" w:rsidR="00A428CB" w:rsidRDefault="00C80D20">
            <w:r>
              <w:rPr>
                <w:sz w:val="16"/>
              </w:rPr>
              <w:t>Microcredit helps translate business ideas into lasting ventures and supports women's economic independence.</w:t>
            </w:r>
          </w:p>
        </w:tc>
        <w:tc>
          <w:tcPr>
            <w:tcW w:w="2088" w:type="dxa"/>
          </w:tcPr>
          <w:p w14:paraId="753BF94C" w14:textId="77777777" w:rsidR="00A428CB" w:rsidRDefault="00C80D20">
            <w:r>
              <w:rPr>
                <w:sz w:val="16"/>
              </w:rPr>
              <w:t>Limited attention to venture sustainability beyond the initial loan period.</w:t>
            </w:r>
          </w:p>
        </w:tc>
        <w:tc>
          <w:tcPr>
            <w:tcW w:w="1872" w:type="dxa"/>
          </w:tcPr>
          <w:p w14:paraId="18D7DD76" w14:textId="77777777" w:rsidR="00A428CB" w:rsidRDefault="00C80D20">
            <w:r>
              <w:rPr>
                <w:sz w:val="16"/>
              </w:rPr>
              <w:t>Supports the positive strand of literature on microcredit enabling rural entrepreneurship.</w:t>
            </w:r>
          </w:p>
        </w:tc>
      </w:tr>
      <w:tr w:rsidR="00A428CB" w14:paraId="6706341B" w14:textId="77777777">
        <w:tc>
          <w:tcPr>
            <w:tcW w:w="504" w:type="dxa"/>
          </w:tcPr>
          <w:p w14:paraId="3A9FDD47" w14:textId="77777777" w:rsidR="00A428CB" w:rsidRDefault="00C80D20">
            <w:r>
              <w:rPr>
                <w:b/>
                <w:sz w:val="16"/>
              </w:rPr>
              <w:t>20</w:t>
            </w:r>
          </w:p>
        </w:tc>
        <w:tc>
          <w:tcPr>
            <w:tcW w:w="2736" w:type="dxa"/>
          </w:tcPr>
          <w:p w14:paraId="21F8CE21" w14:textId="77777777" w:rsidR="00A428CB" w:rsidRDefault="00C80D20">
            <w:r>
              <w:rPr>
                <w:sz w:val="16"/>
              </w:rPr>
              <w:t>Lensink, R., Mersland, R., Vu, N.T.H. and Zamore, S. (2018) 'Do business training programs improve business outcomes for microfinance clients? Results from a meta-analysis', Journal of Development Studies, 54(8), pp. 1323–1341.</w:t>
            </w:r>
          </w:p>
        </w:tc>
        <w:tc>
          <w:tcPr>
            <w:tcW w:w="1080" w:type="dxa"/>
          </w:tcPr>
          <w:p w14:paraId="61087997" w14:textId="77777777" w:rsidR="00A428CB" w:rsidRDefault="00C80D20">
            <w:r>
              <w:rPr>
                <w:sz w:val="16"/>
              </w:rPr>
              <w:t>Global (multi-country meta-analysis)</w:t>
            </w:r>
          </w:p>
        </w:tc>
        <w:tc>
          <w:tcPr>
            <w:tcW w:w="1512" w:type="dxa"/>
          </w:tcPr>
          <w:p w14:paraId="1D2D7923" w14:textId="77777777" w:rsidR="00A428CB" w:rsidRDefault="00C80D20">
            <w:r>
              <w:rPr>
                <w:sz w:val="16"/>
              </w:rPr>
              <w:t>Business training and microfinance client outcomes</w:t>
            </w:r>
          </w:p>
        </w:tc>
        <w:tc>
          <w:tcPr>
            <w:tcW w:w="1512" w:type="dxa"/>
          </w:tcPr>
          <w:p w14:paraId="748D010A" w14:textId="77777777" w:rsidR="00A428CB" w:rsidRDefault="00C80D20">
            <w:r>
              <w:rPr>
                <w:sz w:val="16"/>
              </w:rPr>
              <w:t>Human Capital Theory</w:t>
            </w:r>
          </w:p>
        </w:tc>
        <w:tc>
          <w:tcPr>
            <w:tcW w:w="1224" w:type="dxa"/>
          </w:tcPr>
          <w:p w14:paraId="606DC7DB" w14:textId="77777777" w:rsidR="00A428CB" w:rsidRDefault="00C80D20">
            <w:r>
              <w:rPr>
                <w:sz w:val="16"/>
              </w:rPr>
              <w:t>Meta-analysis</w:t>
            </w:r>
          </w:p>
        </w:tc>
        <w:tc>
          <w:tcPr>
            <w:tcW w:w="2088" w:type="dxa"/>
          </w:tcPr>
          <w:p w14:paraId="6E98F3B3" w14:textId="77777777" w:rsidR="00A428CB" w:rsidRDefault="00C80D20">
            <w:r>
              <w:rPr>
                <w:sz w:val="16"/>
              </w:rPr>
              <w:t>Combining financial services with training can improve practices, skills and business sustainability, though effects vary.</w:t>
            </w:r>
          </w:p>
        </w:tc>
        <w:tc>
          <w:tcPr>
            <w:tcW w:w="2088" w:type="dxa"/>
          </w:tcPr>
          <w:p w14:paraId="7CC9FD61" w14:textId="77777777" w:rsidR="00A428CB" w:rsidRDefault="00C80D20">
            <w:r>
              <w:rPr>
                <w:sz w:val="16"/>
              </w:rPr>
              <w:t>Rural-specific and long-run evidence remains limited within pooled studies.</w:t>
            </w:r>
          </w:p>
        </w:tc>
        <w:tc>
          <w:tcPr>
            <w:tcW w:w="1872" w:type="dxa"/>
          </w:tcPr>
          <w:p w14:paraId="6C0A6D0B" w14:textId="77777777" w:rsidR="00A428CB" w:rsidRDefault="00C80D20">
            <w:r>
              <w:rPr>
                <w:sz w:val="16"/>
              </w:rPr>
              <w:t>Central meta-analytic evidence for the conceptual model of combined support.</w:t>
            </w:r>
          </w:p>
        </w:tc>
      </w:tr>
      <w:tr w:rsidR="00A428CB" w14:paraId="060ABB10" w14:textId="77777777">
        <w:tc>
          <w:tcPr>
            <w:tcW w:w="504" w:type="dxa"/>
          </w:tcPr>
          <w:p w14:paraId="7409EC69" w14:textId="77777777" w:rsidR="00A428CB" w:rsidRDefault="00C80D20">
            <w:r>
              <w:rPr>
                <w:b/>
                <w:sz w:val="16"/>
              </w:rPr>
              <w:t>21</w:t>
            </w:r>
          </w:p>
        </w:tc>
        <w:tc>
          <w:tcPr>
            <w:tcW w:w="2736" w:type="dxa"/>
          </w:tcPr>
          <w:p w14:paraId="3BBF7AF8" w14:textId="77777777" w:rsidR="00A428CB" w:rsidRDefault="00C80D20">
            <w:r>
              <w:rPr>
                <w:sz w:val="16"/>
              </w:rPr>
              <w:t>Lwesya, F. and Mwakalobo, A.B.S. (2023) 'Frontiers in microfinance research for small and medium enterprises (SMEs) and microfinance institutions (MFIs): a bibliometric analysis', Future Business Journal, 9(1), p. 32.</w:t>
            </w:r>
          </w:p>
        </w:tc>
        <w:tc>
          <w:tcPr>
            <w:tcW w:w="1080" w:type="dxa"/>
          </w:tcPr>
          <w:p w14:paraId="3BDD5BA1" w14:textId="77777777" w:rsidR="00A428CB" w:rsidRDefault="00C80D20">
            <w:r>
              <w:rPr>
                <w:sz w:val="16"/>
              </w:rPr>
              <w:t>Global (bibliometric, not country-specific)</w:t>
            </w:r>
          </w:p>
        </w:tc>
        <w:tc>
          <w:tcPr>
            <w:tcW w:w="1512" w:type="dxa"/>
          </w:tcPr>
          <w:p w14:paraId="3610F9AB" w14:textId="77777777" w:rsidR="00A428CB" w:rsidRDefault="00C80D20">
            <w:r>
              <w:rPr>
                <w:sz w:val="16"/>
              </w:rPr>
              <w:t>Bibliometric mapping of microfinance/SME research</w:t>
            </w:r>
          </w:p>
        </w:tc>
        <w:tc>
          <w:tcPr>
            <w:tcW w:w="1512" w:type="dxa"/>
          </w:tcPr>
          <w:p w14:paraId="4446E837" w14:textId="77777777" w:rsidR="00A428CB" w:rsidRDefault="00C80D20">
            <w:r>
              <w:rPr>
                <w:sz w:val="16"/>
              </w:rPr>
              <w:t>Scientometric/bibliometric perspective</w:t>
            </w:r>
          </w:p>
        </w:tc>
        <w:tc>
          <w:tcPr>
            <w:tcW w:w="1224" w:type="dxa"/>
          </w:tcPr>
          <w:p w14:paraId="6F4770AD" w14:textId="77777777" w:rsidR="00A428CB" w:rsidRDefault="00C80D20">
            <w:r>
              <w:rPr>
                <w:sz w:val="16"/>
              </w:rPr>
              <w:t>Bibliometric analysis</w:t>
            </w:r>
          </w:p>
        </w:tc>
        <w:tc>
          <w:tcPr>
            <w:tcW w:w="2088" w:type="dxa"/>
          </w:tcPr>
          <w:p w14:paraId="22BA8FDD" w14:textId="77777777" w:rsidR="00A428CB" w:rsidRDefault="00C80D20">
            <w:r>
              <w:rPr>
                <w:sz w:val="16"/>
              </w:rPr>
              <w:t>Maps the intellectual structure and thematic frontiers of microfinance and SME/MFI research.</w:t>
            </w:r>
          </w:p>
        </w:tc>
        <w:tc>
          <w:tcPr>
            <w:tcW w:w="2088" w:type="dxa"/>
          </w:tcPr>
          <w:p w14:paraId="6A2DE43B" w14:textId="77777777" w:rsidR="00A428CB" w:rsidRDefault="00C80D20">
            <w:r>
              <w:rPr>
                <w:sz w:val="16"/>
              </w:rPr>
              <w:t>Identifies under-researched intersections, including integrated financial/non-financial models.</w:t>
            </w:r>
          </w:p>
        </w:tc>
        <w:tc>
          <w:tcPr>
            <w:tcW w:w="1872" w:type="dxa"/>
          </w:tcPr>
          <w:p w14:paraId="7D998831" w14:textId="77777777" w:rsidR="00A428CB" w:rsidRDefault="00C80D20">
            <w:r>
              <w:rPr>
                <w:sz w:val="16"/>
              </w:rPr>
              <w:t>Supports the systematic mapping rationale and corroborates the identified research gap.</w:t>
            </w:r>
          </w:p>
        </w:tc>
      </w:tr>
      <w:tr w:rsidR="00A428CB" w14:paraId="4B89980F" w14:textId="77777777">
        <w:tc>
          <w:tcPr>
            <w:tcW w:w="504" w:type="dxa"/>
          </w:tcPr>
          <w:p w14:paraId="64B700A5" w14:textId="77777777" w:rsidR="00A428CB" w:rsidRDefault="00C80D20">
            <w:r>
              <w:rPr>
                <w:b/>
                <w:sz w:val="16"/>
              </w:rPr>
              <w:t>22</w:t>
            </w:r>
          </w:p>
        </w:tc>
        <w:tc>
          <w:tcPr>
            <w:tcW w:w="2736" w:type="dxa"/>
          </w:tcPr>
          <w:p w14:paraId="5BA09DBF" w14:textId="77777777" w:rsidR="00A428CB" w:rsidRDefault="00C80D20">
            <w:r>
              <w:rPr>
                <w:sz w:val="16"/>
              </w:rPr>
              <w:t>McKague, K., Wong, J. and Siddiquee, N. (2017) 'Social franchising as rural entrepreneurial ecosystem development', The International Journal of Entrepreneurship and Innovation, 18(1), pp. 47–56.</w:t>
            </w:r>
          </w:p>
        </w:tc>
        <w:tc>
          <w:tcPr>
            <w:tcW w:w="1080" w:type="dxa"/>
          </w:tcPr>
          <w:p w14:paraId="3BD08021" w14:textId="77777777" w:rsidR="00A428CB" w:rsidRDefault="00C80D20">
            <w:r>
              <w:rPr>
                <w:sz w:val="16"/>
              </w:rPr>
              <w:t>Developing countries (rural)</w:t>
            </w:r>
          </w:p>
        </w:tc>
        <w:tc>
          <w:tcPr>
            <w:tcW w:w="1512" w:type="dxa"/>
          </w:tcPr>
          <w:p w14:paraId="48D0405D" w14:textId="77777777" w:rsidR="00A428CB" w:rsidRDefault="00C80D20">
            <w:r>
              <w:rPr>
                <w:sz w:val="16"/>
              </w:rPr>
              <w:t>Social microfranchising and rural entrepreneurship</w:t>
            </w:r>
          </w:p>
        </w:tc>
        <w:tc>
          <w:tcPr>
            <w:tcW w:w="1512" w:type="dxa"/>
          </w:tcPr>
          <w:p w14:paraId="78420979" w14:textId="77777777" w:rsidR="00A428CB" w:rsidRDefault="00C80D20">
            <w:r>
              <w:rPr>
                <w:sz w:val="16"/>
              </w:rPr>
              <w:t>Institutional Theory</w:t>
            </w:r>
          </w:p>
        </w:tc>
        <w:tc>
          <w:tcPr>
            <w:tcW w:w="1224" w:type="dxa"/>
          </w:tcPr>
          <w:p w14:paraId="1872510F" w14:textId="77777777" w:rsidR="00A428CB" w:rsidRDefault="00C80D20">
            <w:r>
              <w:rPr>
                <w:sz w:val="16"/>
              </w:rPr>
              <w:t>Case study</w:t>
            </w:r>
          </w:p>
        </w:tc>
        <w:tc>
          <w:tcPr>
            <w:tcW w:w="2088" w:type="dxa"/>
          </w:tcPr>
          <w:p w14:paraId="749C67B7" w14:textId="77777777" w:rsidR="00A428CB" w:rsidRDefault="00C80D20">
            <w:r>
              <w:rPr>
                <w:sz w:val="16"/>
              </w:rPr>
              <w:t>Social microfranchising combines finance, business support and market linkages, filling institutional gaps for rural enterprises.</w:t>
            </w:r>
          </w:p>
        </w:tc>
        <w:tc>
          <w:tcPr>
            <w:tcW w:w="2088" w:type="dxa"/>
          </w:tcPr>
          <w:p w14:paraId="2F43CB52" w14:textId="77777777" w:rsidR="00A428CB" w:rsidRDefault="00C80D20">
            <w:r>
              <w:rPr>
                <w:sz w:val="16"/>
              </w:rPr>
              <w:t>Limited longitudinal evidence on sustainability of integrated BDS-and-finance models.</w:t>
            </w:r>
          </w:p>
        </w:tc>
        <w:tc>
          <w:tcPr>
            <w:tcW w:w="1872" w:type="dxa"/>
          </w:tcPr>
          <w:p w14:paraId="56DBDBBC" w14:textId="77777777" w:rsidR="00A428CB" w:rsidRDefault="00C80D20">
            <w:r>
              <w:rPr>
                <w:sz w:val="16"/>
              </w:rPr>
              <w:t>Provides a concrete institutional model illustrating how combined support addresses institutional barriers.</w:t>
            </w:r>
          </w:p>
        </w:tc>
      </w:tr>
      <w:tr w:rsidR="00A428CB" w14:paraId="7650FE95" w14:textId="77777777">
        <w:tc>
          <w:tcPr>
            <w:tcW w:w="504" w:type="dxa"/>
          </w:tcPr>
          <w:p w14:paraId="789B4C57" w14:textId="77777777" w:rsidR="00A428CB" w:rsidRDefault="00C80D20">
            <w:r>
              <w:rPr>
                <w:b/>
                <w:sz w:val="16"/>
              </w:rPr>
              <w:t>23</w:t>
            </w:r>
          </w:p>
        </w:tc>
        <w:tc>
          <w:tcPr>
            <w:tcW w:w="2736" w:type="dxa"/>
          </w:tcPr>
          <w:p w14:paraId="78CC9E16" w14:textId="77777777" w:rsidR="00A428CB" w:rsidRDefault="00C80D20">
            <w:r>
              <w:rPr>
                <w:sz w:val="16"/>
              </w:rPr>
              <w:t>Musah, I. (2025) 'Microcredit as a catalyst for microbusiness growth: a myth or reality; a case of Asante-Akim Central Municipality, Ghana', Future Business Journal, 11(1), p. 426.</w:t>
            </w:r>
          </w:p>
        </w:tc>
        <w:tc>
          <w:tcPr>
            <w:tcW w:w="1080" w:type="dxa"/>
          </w:tcPr>
          <w:p w14:paraId="5CD9B531" w14:textId="77777777" w:rsidR="00A428CB" w:rsidRDefault="00C80D20">
            <w:r>
              <w:rPr>
                <w:sz w:val="16"/>
              </w:rPr>
              <w:t>Ghana</w:t>
            </w:r>
          </w:p>
        </w:tc>
        <w:tc>
          <w:tcPr>
            <w:tcW w:w="1512" w:type="dxa"/>
          </w:tcPr>
          <w:p w14:paraId="2708F4BD" w14:textId="77777777" w:rsidR="00A428CB" w:rsidRDefault="00C80D20">
            <w:r>
              <w:rPr>
                <w:sz w:val="16"/>
              </w:rPr>
              <w:t>Microcredit and microbusiness growth/debt</w:t>
            </w:r>
          </w:p>
        </w:tc>
        <w:tc>
          <w:tcPr>
            <w:tcW w:w="1512" w:type="dxa"/>
          </w:tcPr>
          <w:p w14:paraId="1DA1CBA2" w14:textId="77777777" w:rsidR="00A428CB" w:rsidRDefault="00C80D20">
            <w:r>
              <w:rPr>
                <w:sz w:val="16"/>
              </w:rPr>
              <w:t>Critical/institutional perspective on microcredit</w:t>
            </w:r>
          </w:p>
        </w:tc>
        <w:tc>
          <w:tcPr>
            <w:tcW w:w="1224" w:type="dxa"/>
          </w:tcPr>
          <w:p w14:paraId="630DB894" w14:textId="77777777" w:rsidR="00A428CB" w:rsidRDefault="00C80D20">
            <w:r>
              <w:rPr>
                <w:sz w:val="16"/>
              </w:rPr>
              <w:t>Case study</w:t>
            </w:r>
          </w:p>
        </w:tc>
        <w:tc>
          <w:tcPr>
            <w:tcW w:w="2088" w:type="dxa"/>
          </w:tcPr>
          <w:p w14:paraId="206EDE7C" w14:textId="77777777" w:rsidR="00A428CB" w:rsidRDefault="00C80D20">
            <w:r>
              <w:rPr>
                <w:sz w:val="16"/>
              </w:rPr>
              <w:t>High interest rates, fixed repayments and unstable conditions mean repayments often reduce investment funds, sometimes trapping borrowers in debt.</w:t>
            </w:r>
          </w:p>
        </w:tc>
        <w:tc>
          <w:tcPr>
            <w:tcW w:w="2088" w:type="dxa"/>
          </w:tcPr>
          <w:p w14:paraId="5859F0EB" w14:textId="77777777" w:rsidR="00A428CB" w:rsidRDefault="00C80D20">
            <w:r>
              <w:rPr>
                <w:sz w:val="16"/>
              </w:rPr>
              <w:t>Limited micro-level evidence distinguishing when microcredit succeeds versus fails.</w:t>
            </w:r>
          </w:p>
        </w:tc>
        <w:tc>
          <w:tcPr>
            <w:tcW w:w="1872" w:type="dxa"/>
          </w:tcPr>
          <w:p w14:paraId="0D7C5837" w14:textId="77777777" w:rsidR="00A428CB" w:rsidRDefault="00C80D20">
            <w:r>
              <w:rPr>
                <w:sz w:val="16"/>
              </w:rPr>
              <w:t>Key evidence for the debt-trap side of the debate on microcredit's effectiveness.</w:t>
            </w:r>
          </w:p>
        </w:tc>
      </w:tr>
      <w:tr w:rsidR="00A428CB" w14:paraId="23C176C3" w14:textId="77777777">
        <w:tc>
          <w:tcPr>
            <w:tcW w:w="504" w:type="dxa"/>
          </w:tcPr>
          <w:p w14:paraId="1C439AB5" w14:textId="77777777" w:rsidR="00A428CB" w:rsidRDefault="00C80D20">
            <w:r>
              <w:rPr>
                <w:b/>
                <w:sz w:val="16"/>
              </w:rPr>
              <w:t>24</w:t>
            </w:r>
          </w:p>
        </w:tc>
        <w:tc>
          <w:tcPr>
            <w:tcW w:w="2736" w:type="dxa"/>
          </w:tcPr>
          <w:p w14:paraId="6892DFE7" w14:textId="77777777" w:rsidR="00A428CB" w:rsidRDefault="00C80D20">
            <w:r>
              <w:rPr>
                <w:sz w:val="16"/>
              </w:rPr>
              <w:t>Ogujiuba, K.K., Mncayi, P. and Stiegler, N. (2023) 'Financial inclusion and micro-enterprise growth in developing nations: Assessing interactive effects of non-financial support', African Development Review, 35(2), pp. 180–194.</w:t>
            </w:r>
          </w:p>
        </w:tc>
        <w:tc>
          <w:tcPr>
            <w:tcW w:w="1080" w:type="dxa"/>
          </w:tcPr>
          <w:p w14:paraId="65A48C10" w14:textId="77777777" w:rsidR="00A428CB" w:rsidRDefault="00C80D20">
            <w:r>
              <w:rPr>
                <w:sz w:val="16"/>
              </w:rPr>
              <w:t>Developing African nations</w:t>
            </w:r>
          </w:p>
        </w:tc>
        <w:tc>
          <w:tcPr>
            <w:tcW w:w="1512" w:type="dxa"/>
          </w:tcPr>
          <w:p w14:paraId="749E3845" w14:textId="77777777" w:rsidR="00A428CB" w:rsidRDefault="00C80D20">
            <w:r>
              <w:rPr>
                <w:sz w:val="16"/>
              </w:rPr>
              <w:t>Financial inclusion and non-financial support interaction</w:t>
            </w:r>
          </w:p>
        </w:tc>
        <w:tc>
          <w:tcPr>
            <w:tcW w:w="1512" w:type="dxa"/>
          </w:tcPr>
          <w:p w14:paraId="74E1B5EF" w14:textId="77777777" w:rsidR="00A428CB" w:rsidRDefault="00C80D20">
            <w:r>
              <w:rPr>
                <w:sz w:val="16"/>
              </w:rPr>
              <w:t>Financial Inclusion Theory</w:t>
            </w:r>
          </w:p>
        </w:tc>
        <w:tc>
          <w:tcPr>
            <w:tcW w:w="1224" w:type="dxa"/>
          </w:tcPr>
          <w:p w14:paraId="120D903B" w14:textId="77777777" w:rsidR="00A428CB" w:rsidRDefault="00C80D20">
            <w:r>
              <w:rPr>
                <w:sz w:val="16"/>
              </w:rPr>
              <w:t>Quantitative study</w:t>
            </w:r>
          </w:p>
        </w:tc>
        <w:tc>
          <w:tcPr>
            <w:tcW w:w="2088" w:type="dxa"/>
          </w:tcPr>
          <w:p w14:paraId="2D62EB65" w14:textId="77777777" w:rsidR="00A428CB" w:rsidRDefault="00C80D20">
            <w:r>
              <w:rPr>
                <w:sz w:val="16"/>
              </w:rPr>
              <w:t>Financial inclusion promotes micro-enterprise growth, strengthened by the presence of non-financial support.</w:t>
            </w:r>
          </w:p>
        </w:tc>
        <w:tc>
          <w:tcPr>
            <w:tcW w:w="2088" w:type="dxa"/>
          </w:tcPr>
          <w:p w14:paraId="46ED51DD" w14:textId="77777777" w:rsidR="00A428CB" w:rsidRDefault="00C80D20">
            <w:r>
              <w:rPr>
                <w:sz w:val="16"/>
              </w:rPr>
              <w:t>Interactive effects of non-financial support not yet widely tested across rural contexts.</w:t>
            </w:r>
          </w:p>
        </w:tc>
        <w:tc>
          <w:tcPr>
            <w:tcW w:w="1872" w:type="dxa"/>
          </w:tcPr>
          <w:p w14:paraId="196A72C4" w14:textId="77777777" w:rsidR="00A428CB" w:rsidRDefault="00C80D20">
            <w:r>
              <w:rPr>
                <w:sz w:val="16"/>
              </w:rPr>
              <w:t>Directly supports the argument that financial and non-financial support interact to strengthen outcomes.</w:t>
            </w:r>
          </w:p>
        </w:tc>
      </w:tr>
      <w:tr w:rsidR="00A428CB" w14:paraId="00D020B9" w14:textId="77777777">
        <w:tc>
          <w:tcPr>
            <w:tcW w:w="504" w:type="dxa"/>
          </w:tcPr>
          <w:p w14:paraId="4FF5DB19" w14:textId="77777777" w:rsidR="00A428CB" w:rsidRDefault="00C80D20">
            <w:r>
              <w:rPr>
                <w:b/>
                <w:sz w:val="16"/>
              </w:rPr>
              <w:t>25</w:t>
            </w:r>
          </w:p>
        </w:tc>
        <w:tc>
          <w:tcPr>
            <w:tcW w:w="2736" w:type="dxa"/>
          </w:tcPr>
          <w:p w14:paraId="25E33A21" w14:textId="77777777" w:rsidR="00A428CB" w:rsidRDefault="00C80D20">
            <w:r>
              <w:rPr>
                <w:sz w:val="16"/>
              </w:rPr>
              <w:t xml:space="preserve">Ozili, P.K. (2022) 'Financial inclusion and sustainable development: an </w:t>
            </w:r>
            <w:r>
              <w:rPr>
                <w:sz w:val="16"/>
              </w:rPr>
              <w:lastRenderedPageBreak/>
              <w:t>empirical association', Journal of Money and Business, 2(2), pp. 180–198.</w:t>
            </w:r>
          </w:p>
        </w:tc>
        <w:tc>
          <w:tcPr>
            <w:tcW w:w="1080" w:type="dxa"/>
          </w:tcPr>
          <w:p w14:paraId="1939DAFC" w14:textId="77777777" w:rsidR="00A428CB" w:rsidRDefault="00C80D20">
            <w:r>
              <w:rPr>
                <w:sz w:val="16"/>
              </w:rPr>
              <w:lastRenderedPageBreak/>
              <w:t>Global/conceptual</w:t>
            </w:r>
          </w:p>
        </w:tc>
        <w:tc>
          <w:tcPr>
            <w:tcW w:w="1512" w:type="dxa"/>
          </w:tcPr>
          <w:p w14:paraId="5B92A49A" w14:textId="77777777" w:rsidR="00A428CB" w:rsidRDefault="00C80D20">
            <w:r>
              <w:rPr>
                <w:sz w:val="16"/>
              </w:rPr>
              <w:t xml:space="preserve">Financial inclusion theory and </w:t>
            </w:r>
            <w:r>
              <w:rPr>
                <w:sz w:val="16"/>
              </w:rPr>
              <w:lastRenderedPageBreak/>
              <w:t>sustainable development</w:t>
            </w:r>
          </w:p>
        </w:tc>
        <w:tc>
          <w:tcPr>
            <w:tcW w:w="1512" w:type="dxa"/>
          </w:tcPr>
          <w:p w14:paraId="23C1847C" w14:textId="77777777" w:rsidR="00A428CB" w:rsidRDefault="00C80D20">
            <w:r>
              <w:rPr>
                <w:sz w:val="16"/>
              </w:rPr>
              <w:lastRenderedPageBreak/>
              <w:t>Financial Inclusion Theory</w:t>
            </w:r>
          </w:p>
        </w:tc>
        <w:tc>
          <w:tcPr>
            <w:tcW w:w="1224" w:type="dxa"/>
          </w:tcPr>
          <w:p w14:paraId="52044909" w14:textId="77777777" w:rsidR="00A428CB" w:rsidRDefault="00C80D20">
            <w:r>
              <w:rPr>
                <w:sz w:val="16"/>
              </w:rPr>
              <w:t xml:space="preserve">Conceptual/empirical </w:t>
            </w:r>
            <w:r>
              <w:rPr>
                <w:sz w:val="16"/>
              </w:rPr>
              <w:lastRenderedPageBreak/>
              <w:t>association study</w:t>
            </w:r>
          </w:p>
        </w:tc>
        <w:tc>
          <w:tcPr>
            <w:tcW w:w="2088" w:type="dxa"/>
          </w:tcPr>
          <w:p w14:paraId="0972BCC2" w14:textId="77777777" w:rsidR="00A428CB" w:rsidRDefault="00C80D20">
            <w:r>
              <w:rPr>
                <w:sz w:val="16"/>
              </w:rPr>
              <w:lastRenderedPageBreak/>
              <w:t xml:space="preserve">Fair access to financial services supports </w:t>
            </w:r>
            <w:r>
              <w:rPr>
                <w:sz w:val="16"/>
              </w:rPr>
              <w:lastRenderedPageBreak/>
              <w:t>development; access alone does not guarantee good outcomes.</w:t>
            </w:r>
          </w:p>
        </w:tc>
        <w:tc>
          <w:tcPr>
            <w:tcW w:w="2088" w:type="dxa"/>
          </w:tcPr>
          <w:p w14:paraId="11C013D4" w14:textId="77777777" w:rsidR="00A428CB" w:rsidRDefault="00C80D20">
            <w:r>
              <w:rPr>
                <w:sz w:val="16"/>
              </w:rPr>
              <w:lastRenderedPageBreak/>
              <w:t xml:space="preserve">Limited application of the theory to combined </w:t>
            </w:r>
            <w:r>
              <w:rPr>
                <w:sz w:val="16"/>
              </w:rPr>
              <w:lastRenderedPageBreak/>
              <w:t>financial-and-capability-building interventions.</w:t>
            </w:r>
          </w:p>
        </w:tc>
        <w:tc>
          <w:tcPr>
            <w:tcW w:w="1872" w:type="dxa"/>
          </w:tcPr>
          <w:p w14:paraId="10C56C15" w14:textId="77777777" w:rsidR="00A428CB" w:rsidRDefault="00C80D20">
            <w:r>
              <w:rPr>
                <w:sz w:val="16"/>
              </w:rPr>
              <w:lastRenderedPageBreak/>
              <w:t xml:space="preserve">Provides the study's primary theoretical </w:t>
            </w:r>
            <w:r>
              <w:rPr>
                <w:sz w:val="16"/>
              </w:rPr>
              <w:lastRenderedPageBreak/>
              <w:t>foundation (Section 3.6.1).</w:t>
            </w:r>
          </w:p>
        </w:tc>
      </w:tr>
      <w:tr w:rsidR="00A428CB" w14:paraId="2381D119" w14:textId="77777777">
        <w:tc>
          <w:tcPr>
            <w:tcW w:w="504" w:type="dxa"/>
          </w:tcPr>
          <w:p w14:paraId="4B840A6F" w14:textId="77777777" w:rsidR="00A428CB" w:rsidRDefault="00C80D20">
            <w:r>
              <w:rPr>
                <w:b/>
                <w:sz w:val="16"/>
              </w:rPr>
              <w:lastRenderedPageBreak/>
              <w:t>26</w:t>
            </w:r>
          </w:p>
        </w:tc>
        <w:tc>
          <w:tcPr>
            <w:tcW w:w="2736" w:type="dxa"/>
          </w:tcPr>
          <w:p w14:paraId="23912B21" w14:textId="77777777" w:rsidR="00A428CB" w:rsidRDefault="00C80D20">
            <w:r>
              <w:rPr>
                <w:sz w:val="16"/>
              </w:rPr>
              <w:t>Page, M.J., McKenzie, J.E., Bossuyt, P.M., Boutron, I., Hoffmann, T.C., Mulrow, C.D., Shamseer, L., Tetzlaff, J.M., Akl, E.A., Brennan, S.E. and Chou, R. (2021) 'The PRISMA 2020 statement: an updated guideline for reporting systematic reviews', BMJ, 372, p. n71.</w:t>
            </w:r>
          </w:p>
        </w:tc>
        <w:tc>
          <w:tcPr>
            <w:tcW w:w="1080" w:type="dxa"/>
          </w:tcPr>
          <w:p w14:paraId="13305806" w14:textId="77777777" w:rsidR="00A428CB" w:rsidRDefault="00C80D20">
            <w:r>
              <w:rPr>
                <w:sz w:val="16"/>
              </w:rPr>
              <w:t>Not applicable (international guideline)</w:t>
            </w:r>
          </w:p>
        </w:tc>
        <w:tc>
          <w:tcPr>
            <w:tcW w:w="1512" w:type="dxa"/>
          </w:tcPr>
          <w:p w14:paraId="40AD9926" w14:textId="77777777" w:rsidR="00A428CB" w:rsidRDefault="00C80D20">
            <w:r>
              <w:rPr>
                <w:sz w:val="16"/>
              </w:rPr>
              <w:t>Systematic review reporting methodology</w:t>
            </w:r>
          </w:p>
        </w:tc>
        <w:tc>
          <w:tcPr>
            <w:tcW w:w="1512" w:type="dxa"/>
          </w:tcPr>
          <w:p w14:paraId="5ED91EC5" w14:textId="77777777" w:rsidR="00A428CB" w:rsidRDefault="00C80D20">
            <w:r>
              <w:rPr>
                <w:sz w:val="16"/>
              </w:rPr>
              <w:t>Not applicable (methodological standard)</w:t>
            </w:r>
          </w:p>
        </w:tc>
        <w:tc>
          <w:tcPr>
            <w:tcW w:w="1224" w:type="dxa"/>
          </w:tcPr>
          <w:p w14:paraId="4A7E4ED9" w14:textId="77777777" w:rsidR="00A428CB" w:rsidRDefault="00C80D20">
            <w:r>
              <w:rPr>
                <w:sz w:val="16"/>
              </w:rPr>
              <w:t>Methodological guideline development</w:t>
            </w:r>
          </w:p>
        </w:tc>
        <w:tc>
          <w:tcPr>
            <w:tcW w:w="2088" w:type="dxa"/>
          </w:tcPr>
          <w:p w14:paraId="6AA3A828" w14:textId="77777777" w:rsidR="00A428CB" w:rsidRDefault="00C80D20">
            <w:r>
              <w:rPr>
                <w:sz w:val="16"/>
              </w:rPr>
              <w:t>Sets out a standardised process for identifying, screening and reporting studies in systematic reviews.</w:t>
            </w:r>
          </w:p>
        </w:tc>
        <w:tc>
          <w:tcPr>
            <w:tcW w:w="2088" w:type="dxa"/>
          </w:tcPr>
          <w:p w14:paraId="2376F1C1" w14:textId="77777777" w:rsidR="00A428CB" w:rsidRDefault="00C80D20">
            <w:r>
              <w:rPr>
                <w:sz w:val="16"/>
              </w:rPr>
              <w:t>Not applicable — a reporting standard rather than an empirical study.</w:t>
            </w:r>
          </w:p>
        </w:tc>
        <w:tc>
          <w:tcPr>
            <w:tcW w:w="1872" w:type="dxa"/>
          </w:tcPr>
          <w:p w14:paraId="2525502F" w14:textId="77777777" w:rsidR="00A428CB" w:rsidRDefault="00C80D20">
            <w:r>
              <w:rPr>
                <w:sz w:val="16"/>
              </w:rPr>
              <w:t>Provides the PRISMA methodology followed for search, screening and the flow diagram (Sections 2.3–2.7).</w:t>
            </w:r>
          </w:p>
        </w:tc>
      </w:tr>
      <w:tr w:rsidR="00A428CB" w14:paraId="477AABE1" w14:textId="77777777">
        <w:tc>
          <w:tcPr>
            <w:tcW w:w="504" w:type="dxa"/>
          </w:tcPr>
          <w:p w14:paraId="463F847F" w14:textId="77777777" w:rsidR="00A428CB" w:rsidRDefault="00C80D20">
            <w:r>
              <w:rPr>
                <w:b/>
                <w:sz w:val="16"/>
              </w:rPr>
              <w:t>27</w:t>
            </w:r>
          </w:p>
        </w:tc>
        <w:tc>
          <w:tcPr>
            <w:tcW w:w="2736" w:type="dxa"/>
          </w:tcPr>
          <w:p w14:paraId="0DCAE2DE" w14:textId="77777777" w:rsidR="00A428CB" w:rsidRDefault="00C80D20">
            <w:r>
              <w:rPr>
                <w:sz w:val="16"/>
              </w:rPr>
              <w:t>Pangriya, R. (2023) 'An Explorative Study on Problems and Challenges of Rural Entrepreneurs in Hilly Rural Areas', Asia-Pacific Journal of Management Research and Innovation, 18(3–4), pp. 163–175.</w:t>
            </w:r>
          </w:p>
        </w:tc>
        <w:tc>
          <w:tcPr>
            <w:tcW w:w="1080" w:type="dxa"/>
          </w:tcPr>
          <w:p w14:paraId="3B6E1340" w14:textId="77777777" w:rsidR="00A428CB" w:rsidRDefault="00C80D20">
            <w:r>
              <w:rPr>
                <w:sz w:val="16"/>
              </w:rPr>
              <w:t>India (hilly rural areas)</w:t>
            </w:r>
          </w:p>
        </w:tc>
        <w:tc>
          <w:tcPr>
            <w:tcW w:w="1512" w:type="dxa"/>
          </w:tcPr>
          <w:p w14:paraId="08E5455C" w14:textId="77777777" w:rsidR="00A428CB" w:rsidRDefault="00C80D20">
            <w:r>
              <w:rPr>
                <w:sz w:val="16"/>
              </w:rPr>
              <w:t>Rural entrepreneurship challenges in hilly areas</w:t>
            </w:r>
          </w:p>
        </w:tc>
        <w:tc>
          <w:tcPr>
            <w:tcW w:w="1512" w:type="dxa"/>
          </w:tcPr>
          <w:p w14:paraId="5EA29C5B" w14:textId="77777777" w:rsidR="00A428CB" w:rsidRDefault="00C80D20">
            <w:r>
              <w:rPr>
                <w:sz w:val="16"/>
              </w:rPr>
              <w:t>Institutional/contextual-constraints perspective</w:t>
            </w:r>
          </w:p>
        </w:tc>
        <w:tc>
          <w:tcPr>
            <w:tcW w:w="1224" w:type="dxa"/>
          </w:tcPr>
          <w:p w14:paraId="1F554945" w14:textId="77777777" w:rsidR="00A428CB" w:rsidRDefault="00C80D20">
            <w:r>
              <w:rPr>
                <w:sz w:val="16"/>
              </w:rPr>
              <w:t>Qualitative/exploratory study</w:t>
            </w:r>
          </w:p>
        </w:tc>
        <w:tc>
          <w:tcPr>
            <w:tcW w:w="2088" w:type="dxa"/>
          </w:tcPr>
          <w:p w14:paraId="25E8995C" w14:textId="77777777" w:rsidR="00A428CB" w:rsidRDefault="00C80D20">
            <w:r>
              <w:rPr>
                <w:sz w:val="16"/>
              </w:rPr>
              <w:t>Rural entrepreneurs in hilly/mountainous areas face infrastructure and transport barriers that reduce the value of classroom-based training.</w:t>
            </w:r>
          </w:p>
        </w:tc>
        <w:tc>
          <w:tcPr>
            <w:tcW w:w="2088" w:type="dxa"/>
          </w:tcPr>
          <w:p w14:paraId="67502839" w14:textId="77777777" w:rsidR="00A428CB" w:rsidRDefault="00C80D20">
            <w:r>
              <w:rPr>
                <w:sz w:val="16"/>
              </w:rPr>
              <w:t>Urban-style BDS delivery models are often unsuitable for remote, mountainous rural areas.</w:t>
            </w:r>
          </w:p>
        </w:tc>
        <w:tc>
          <w:tcPr>
            <w:tcW w:w="1872" w:type="dxa"/>
          </w:tcPr>
          <w:p w14:paraId="09240FB1" w14:textId="77777777" w:rsidR="00A428CB" w:rsidRDefault="00C80D20">
            <w:r>
              <w:rPr>
                <w:sz w:val="16"/>
              </w:rPr>
              <w:t>Supports the critique of urban bias in BDS delivery models (Section 3.3).</w:t>
            </w:r>
          </w:p>
        </w:tc>
      </w:tr>
      <w:tr w:rsidR="00A428CB" w14:paraId="20B4E163" w14:textId="77777777">
        <w:tc>
          <w:tcPr>
            <w:tcW w:w="504" w:type="dxa"/>
          </w:tcPr>
          <w:p w14:paraId="4820A184" w14:textId="77777777" w:rsidR="00A428CB" w:rsidRDefault="00C80D20">
            <w:r>
              <w:rPr>
                <w:b/>
                <w:sz w:val="16"/>
              </w:rPr>
              <w:t>28</w:t>
            </w:r>
          </w:p>
        </w:tc>
        <w:tc>
          <w:tcPr>
            <w:tcW w:w="2736" w:type="dxa"/>
          </w:tcPr>
          <w:p w14:paraId="26E1296F" w14:textId="77777777" w:rsidR="00A428CB" w:rsidRDefault="00C80D20">
            <w:r>
              <w:rPr>
                <w:sz w:val="16"/>
              </w:rPr>
              <w:t>Parray, S.A., Bhat, M.A. and Rather, A.A. (2024) 'Microfinance, business development services and rural entrepreneurship: A systematic review', International Journal of Social Economics, 51(3), pp. 341–358.</w:t>
            </w:r>
          </w:p>
        </w:tc>
        <w:tc>
          <w:tcPr>
            <w:tcW w:w="1080" w:type="dxa"/>
          </w:tcPr>
          <w:p w14:paraId="26FF510E" w14:textId="77777777" w:rsidR="00A428CB" w:rsidRDefault="00C80D20">
            <w:r>
              <w:rPr>
                <w:sz w:val="16"/>
              </w:rPr>
              <w:t>Developing countries (multi-country SLR)</w:t>
            </w:r>
          </w:p>
        </w:tc>
        <w:tc>
          <w:tcPr>
            <w:tcW w:w="1512" w:type="dxa"/>
          </w:tcPr>
          <w:p w14:paraId="2BD555BC" w14:textId="77777777" w:rsidR="00A428CB" w:rsidRDefault="00C80D20">
            <w:r>
              <w:rPr>
                <w:sz w:val="16"/>
              </w:rPr>
              <w:t>Microfinance, BDS and rural entrepreneurship (SLR)</w:t>
            </w:r>
          </w:p>
        </w:tc>
        <w:tc>
          <w:tcPr>
            <w:tcW w:w="1512" w:type="dxa"/>
          </w:tcPr>
          <w:p w14:paraId="3246EA5C" w14:textId="77777777" w:rsidR="00A428CB" w:rsidRDefault="00C80D20">
            <w:r>
              <w:rPr>
                <w:sz w:val="16"/>
              </w:rPr>
              <w:t>Financial Inclusion Theory combined with capability/BDS perspective</w:t>
            </w:r>
          </w:p>
        </w:tc>
        <w:tc>
          <w:tcPr>
            <w:tcW w:w="1224" w:type="dxa"/>
          </w:tcPr>
          <w:p w14:paraId="659995D3" w14:textId="77777777" w:rsidR="00A428CB" w:rsidRDefault="00C80D20">
            <w:r>
              <w:rPr>
                <w:sz w:val="16"/>
              </w:rPr>
              <w:t>Systematic literature review</w:t>
            </w:r>
          </w:p>
        </w:tc>
        <w:tc>
          <w:tcPr>
            <w:tcW w:w="2088" w:type="dxa"/>
          </w:tcPr>
          <w:p w14:paraId="5015A7A7" w14:textId="77777777" w:rsidR="00A428CB" w:rsidRDefault="00C80D20">
            <w:r>
              <w:rPr>
                <w:sz w:val="16"/>
              </w:rPr>
              <w:t>Microfinance balancing financial and non-financial support contributes to genuine empowerment and rural socio-economic development.</w:t>
            </w:r>
          </w:p>
        </w:tc>
        <w:tc>
          <w:tcPr>
            <w:tcW w:w="2088" w:type="dxa"/>
          </w:tcPr>
          <w:p w14:paraId="69CD9000" w14:textId="77777777" w:rsidR="00A428CB" w:rsidRDefault="00C80D20">
            <w:r>
              <w:rPr>
                <w:sz w:val="16"/>
              </w:rPr>
              <w:t>Notes the continuing need for more integrated synthesis specific to rural entrepreneurship.</w:t>
            </w:r>
          </w:p>
        </w:tc>
        <w:tc>
          <w:tcPr>
            <w:tcW w:w="1872" w:type="dxa"/>
          </w:tcPr>
          <w:p w14:paraId="0E1A4424" w14:textId="77777777" w:rsidR="00A428CB" w:rsidRDefault="00C80D20">
            <w:r>
              <w:rPr>
                <w:sz w:val="16"/>
              </w:rPr>
              <w:t>Closest prior systematic review; direct comparator and precedent for this review's scope.</w:t>
            </w:r>
          </w:p>
        </w:tc>
      </w:tr>
      <w:tr w:rsidR="00A428CB" w14:paraId="6D08A2C9" w14:textId="77777777">
        <w:tc>
          <w:tcPr>
            <w:tcW w:w="504" w:type="dxa"/>
          </w:tcPr>
          <w:p w14:paraId="5637514E" w14:textId="77777777" w:rsidR="00A428CB" w:rsidRDefault="00C80D20">
            <w:r>
              <w:rPr>
                <w:b/>
                <w:sz w:val="16"/>
              </w:rPr>
              <w:t>29</w:t>
            </w:r>
          </w:p>
        </w:tc>
        <w:tc>
          <w:tcPr>
            <w:tcW w:w="2736" w:type="dxa"/>
          </w:tcPr>
          <w:p w14:paraId="2336FBF9" w14:textId="77777777" w:rsidR="00A428CB" w:rsidRDefault="00C80D20">
            <w:r>
              <w:rPr>
                <w:sz w:val="16"/>
              </w:rPr>
              <w:t>Prathap, B.N. and Sreelakshmi, C.C. (2021) 'Microcredit and rural women empowerment: Evidence from South India', Journal of Social and Economic Development, 23(2), pp. 210–228.</w:t>
            </w:r>
          </w:p>
        </w:tc>
        <w:tc>
          <w:tcPr>
            <w:tcW w:w="1080" w:type="dxa"/>
          </w:tcPr>
          <w:p w14:paraId="0F6D42BF" w14:textId="77777777" w:rsidR="00A428CB" w:rsidRDefault="00C80D20">
            <w:r>
              <w:rPr>
                <w:sz w:val="16"/>
              </w:rPr>
              <w:t>South India</w:t>
            </w:r>
          </w:p>
        </w:tc>
        <w:tc>
          <w:tcPr>
            <w:tcW w:w="1512" w:type="dxa"/>
          </w:tcPr>
          <w:p w14:paraId="6DA65135" w14:textId="77777777" w:rsidR="00A428CB" w:rsidRDefault="00C80D20">
            <w:r>
              <w:rPr>
                <w:sz w:val="16"/>
              </w:rPr>
              <w:t>Microcredit and rural women's empowerment</w:t>
            </w:r>
          </w:p>
        </w:tc>
        <w:tc>
          <w:tcPr>
            <w:tcW w:w="1512" w:type="dxa"/>
          </w:tcPr>
          <w:p w14:paraId="20864475" w14:textId="77777777" w:rsidR="00A428CB" w:rsidRDefault="00C80D20">
            <w:r>
              <w:rPr>
                <w:sz w:val="16"/>
              </w:rPr>
              <w:t>Empowerment / economic independence perspective</w:t>
            </w:r>
          </w:p>
        </w:tc>
        <w:tc>
          <w:tcPr>
            <w:tcW w:w="1224" w:type="dxa"/>
          </w:tcPr>
          <w:p w14:paraId="59FD0D0D" w14:textId="77777777" w:rsidR="00A428CB" w:rsidRDefault="00C80D20">
            <w:r>
              <w:rPr>
                <w:sz w:val="16"/>
              </w:rPr>
              <w:t>Empirical study</w:t>
            </w:r>
          </w:p>
        </w:tc>
        <w:tc>
          <w:tcPr>
            <w:tcW w:w="2088" w:type="dxa"/>
          </w:tcPr>
          <w:p w14:paraId="5BEA8FAD" w14:textId="77777777" w:rsidR="00A428CB" w:rsidRDefault="00C80D20">
            <w:r>
              <w:rPr>
                <w:sz w:val="16"/>
              </w:rPr>
              <w:t>Under stable household conditions and clear business intent, microcredit supports economic independence, income and savings.</w:t>
            </w:r>
          </w:p>
        </w:tc>
        <w:tc>
          <w:tcPr>
            <w:tcW w:w="2088" w:type="dxa"/>
          </w:tcPr>
          <w:p w14:paraId="5096C586" w14:textId="77777777" w:rsidR="00A428CB" w:rsidRDefault="00C80D20">
            <w:r>
              <w:rPr>
                <w:sz w:val="16"/>
              </w:rPr>
              <w:t>Limited comparison across differing household vulnerability conditions within one design.</w:t>
            </w:r>
          </w:p>
        </w:tc>
        <w:tc>
          <w:tcPr>
            <w:tcW w:w="1872" w:type="dxa"/>
          </w:tcPr>
          <w:p w14:paraId="4324922D" w14:textId="77777777" w:rsidR="00A428CB" w:rsidRDefault="00C80D20">
            <w:r>
              <w:rPr>
                <w:sz w:val="16"/>
              </w:rPr>
              <w:t>Contrasting, stable-household case explaining divergence in microcredit's effects (Section 3.1).</w:t>
            </w:r>
          </w:p>
        </w:tc>
      </w:tr>
      <w:tr w:rsidR="00A428CB" w14:paraId="1905A12B" w14:textId="77777777">
        <w:tc>
          <w:tcPr>
            <w:tcW w:w="504" w:type="dxa"/>
          </w:tcPr>
          <w:p w14:paraId="7F59DC12" w14:textId="77777777" w:rsidR="00A428CB" w:rsidRDefault="00C80D20">
            <w:r>
              <w:rPr>
                <w:b/>
                <w:sz w:val="16"/>
              </w:rPr>
              <w:t>30</w:t>
            </w:r>
          </w:p>
        </w:tc>
        <w:tc>
          <w:tcPr>
            <w:tcW w:w="2736" w:type="dxa"/>
          </w:tcPr>
          <w:p w14:paraId="355CA3D6" w14:textId="77777777" w:rsidR="00A428CB" w:rsidRDefault="00C80D20">
            <w:r>
              <w:rPr>
                <w:sz w:val="16"/>
              </w:rPr>
              <w:t>Shepherd, D.A. and Williams, T.A. (2019) 'Spontaneous venture creation in the aftermath of adversity: Building resilience through entrepreneurship', Journal of Business Venturing, 34(2), pp. 290–312.</w:t>
            </w:r>
          </w:p>
        </w:tc>
        <w:tc>
          <w:tcPr>
            <w:tcW w:w="1080" w:type="dxa"/>
          </w:tcPr>
          <w:p w14:paraId="3E0627FA" w14:textId="77777777" w:rsidR="00A428CB" w:rsidRDefault="00C80D20">
            <w:r>
              <w:rPr>
                <w:sz w:val="16"/>
              </w:rPr>
              <w:t>Not country-specific (conceptual)</w:t>
            </w:r>
          </w:p>
        </w:tc>
        <w:tc>
          <w:tcPr>
            <w:tcW w:w="1512" w:type="dxa"/>
          </w:tcPr>
          <w:p w14:paraId="0D38767E" w14:textId="77777777" w:rsidR="00A428CB" w:rsidRDefault="00C80D20">
            <w:r>
              <w:rPr>
                <w:sz w:val="16"/>
              </w:rPr>
              <w:t>Entrepreneurship as a resilience response to adversity</w:t>
            </w:r>
          </w:p>
        </w:tc>
        <w:tc>
          <w:tcPr>
            <w:tcW w:w="1512" w:type="dxa"/>
          </w:tcPr>
          <w:p w14:paraId="4A267CFD" w14:textId="77777777" w:rsidR="00A428CB" w:rsidRDefault="00C80D20">
            <w:r>
              <w:rPr>
                <w:sz w:val="16"/>
              </w:rPr>
              <w:t>Resilience / entrepreneurship theory</w:t>
            </w:r>
          </w:p>
        </w:tc>
        <w:tc>
          <w:tcPr>
            <w:tcW w:w="1224" w:type="dxa"/>
          </w:tcPr>
          <w:p w14:paraId="4195DF1C" w14:textId="77777777" w:rsidR="00A428CB" w:rsidRDefault="00C80D20">
            <w:r>
              <w:rPr>
                <w:sz w:val="16"/>
              </w:rPr>
              <w:t>Conceptual paper</w:t>
            </w:r>
          </w:p>
        </w:tc>
        <w:tc>
          <w:tcPr>
            <w:tcW w:w="2088" w:type="dxa"/>
          </w:tcPr>
          <w:p w14:paraId="2D9D0FE9" w14:textId="77777777" w:rsidR="00A428CB" w:rsidRDefault="00C80D20">
            <w:r>
              <w:rPr>
                <w:sz w:val="16"/>
              </w:rPr>
              <w:t>Venture creation can emerge spontaneously after adversity, building resilience and positioning entrepreneurship as a coping mechanism.</w:t>
            </w:r>
          </w:p>
        </w:tc>
        <w:tc>
          <w:tcPr>
            <w:tcW w:w="2088" w:type="dxa"/>
          </w:tcPr>
          <w:p w14:paraId="7D783635" w14:textId="77777777" w:rsidR="00A428CB" w:rsidRDefault="00C80D20">
            <w:r>
              <w:rPr>
                <w:sz w:val="16"/>
              </w:rPr>
              <w:t>Not developed specifically for rural, developing-country microfinance contexts.</w:t>
            </w:r>
          </w:p>
        </w:tc>
        <w:tc>
          <w:tcPr>
            <w:tcW w:w="1872" w:type="dxa"/>
          </w:tcPr>
          <w:p w14:paraId="07C483EC" w14:textId="77777777" w:rsidR="00A428CB" w:rsidRDefault="00C80D20">
            <w:r>
              <w:rPr>
                <w:sz w:val="16"/>
              </w:rPr>
              <w:t>Theoretical grounding for viewing rural self-employment as a resilience response to poverty (Introduction).</w:t>
            </w:r>
          </w:p>
        </w:tc>
      </w:tr>
      <w:tr w:rsidR="00A428CB" w14:paraId="7062B030" w14:textId="77777777">
        <w:tc>
          <w:tcPr>
            <w:tcW w:w="504" w:type="dxa"/>
          </w:tcPr>
          <w:p w14:paraId="0804BD73" w14:textId="77777777" w:rsidR="00A428CB" w:rsidRDefault="00C80D20">
            <w:r>
              <w:rPr>
                <w:b/>
                <w:sz w:val="16"/>
              </w:rPr>
              <w:t>31</w:t>
            </w:r>
          </w:p>
        </w:tc>
        <w:tc>
          <w:tcPr>
            <w:tcW w:w="2736" w:type="dxa"/>
          </w:tcPr>
          <w:p w14:paraId="38E49B8D" w14:textId="77777777" w:rsidR="00A428CB" w:rsidRDefault="00C80D20">
            <w:r>
              <w:rPr>
                <w:sz w:val="16"/>
              </w:rPr>
              <w:t>Sievers, M. and Vandenberg, P. (2007) 'Synergies through linkages: Who benefits from linking finance and business development services?', Enterprise Development and Microfinance, 18(1), pp. 21–38.</w:t>
            </w:r>
          </w:p>
        </w:tc>
        <w:tc>
          <w:tcPr>
            <w:tcW w:w="1080" w:type="dxa"/>
          </w:tcPr>
          <w:p w14:paraId="35304199" w14:textId="77777777" w:rsidR="00A428CB" w:rsidRDefault="00C80D20">
            <w:r>
              <w:rPr>
                <w:sz w:val="16"/>
              </w:rPr>
              <w:t>Developing countries</w:t>
            </w:r>
          </w:p>
        </w:tc>
        <w:tc>
          <w:tcPr>
            <w:tcW w:w="1512" w:type="dxa"/>
          </w:tcPr>
          <w:p w14:paraId="1751481A" w14:textId="77777777" w:rsidR="00A428CB" w:rsidRDefault="00C80D20">
            <w:r>
              <w:rPr>
                <w:sz w:val="16"/>
              </w:rPr>
              <w:t>Linking finance and BDS</w:t>
            </w:r>
          </w:p>
        </w:tc>
        <w:tc>
          <w:tcPr>
            <w:tcW w:w="1512" w:type="dxa"/>
          </w:tcPr>
          <w:p w14:paraId="2447C5CB" w14:textId="77777777" w:rsidR="00A428CB" w:rsidRDefault="00C80D20">
            <w:r>
              <w:rPr>
                <w:sz w:val="16"/>
              </w:rPr>
              <w:t>Institutional/service-delivery perspective</w:t>
            </w:r>
          </w:p>
        </w:tc>
        <w:tc>
          <w:tcPr>
            <w:tcW w:w="1224" w:type="dxa"/>
          </w:tcPr>
          <w:p w14:paraId="707BC6FF" w14:textId="77777777" w:rsidR="00A428CB" w:rsidRDefault="00C80D20">
            <w:r>
              <w:rPr>
                <w:sz w:val="16"/>
              </w:rPr>
              <w:t>Conceptual/case-based analysis</w:t>
            </w:r>
          </w:p>
        </w:tc>
        <w:tc>
          <w:tcPr>
            <w:tcW w:w="2088" w:type="dxa"/>
          </w:tcPr>
          <w:p w14:paraId="578E2510" w14:textId="77777777" w:rsidR="00A428CB" w:rsidRDefault="00C80D20">
            <w:r>
              <w:rPr>
                <w:sz w:val="16"/>
              </w:rPr>
              <w:t>Linking finance and BDS creates synergies but delivering both together burdens providers; separate delivery fragments services.</w:t>
            </w:r>
          </w:p>
        </w:tc>
        <w:tc>
          <w:tcPr>
            <w:tcW w:w="2088" w:type="dxa"/>
          </w:tcPr>
          <w:p w14:paraId="0330BD8B" w14:textId="77777777" w:rsidR="00A428CB" w:rsidRDefault="00C80D20">
            <w:r>
              <w:rPr>
                <w:sz w:val="16"/>
              </w:rPr>
              <w:t>Limited practical guidance on integrating delivery without overburdening providers.</w:t>
            </w:r>
          </w:p>
        </w:tc>
        <w:tc>
          <w:tcPr>
            <w:tcW w:w="1872" w:type="dxa"/>
          </w:tcPr>
          <w:p w14:paraId="7FE43218" w14:textId="77777777" w:rsidR="00A428CB" w:rsidRDefault="00C80D20">
            <w:r>
              <w:rPr>
                <w:sz w:val="16"/>
              </w:rPr>
              <w:t>Foundational source for the discussion of practical integration difficulties (Section 3.3).</w:t>
            </w:r>
          </w:p>
        </w:tc>
      </w:tr>
      <w:tr w:rsidR="00A428CB" w14:paraId="44208C46" w14:textId="77777777">
        <w:tc>
          <w:tcPr>
            <w:tcW w:w="504" w:type="dxa"/>
          </w:tcPr>
          <w:p w14:paraId="150E20BE" w14:textId="77777777" w:rsidR="00A428CB" w:rsidRDefault="00C80D20">
            <w:r>
              <w:rPr>
                <w:b/>
                <w:sz w:val="16"/>
              </w:rPr>
              <w:t>32</w:t>
            </w:r>
          </w:p>
        </w:tc>
        <w:tc>
          <w:tcPr>
            <w:tcW w:w="2736" w:type="dxa"/>
          </w:tcPr>
          <w:p w14:paraId="5A0AE3E0" w14:textId="77777777" w:rsidR="00A428CB" w:rsidRDefault="00C80D20">
            <w:r>
              <w:rPr>
                <w:sz w:val="16"/>
              </w:rPr>
              <w:t>Tulika, T. and Ram, P. (2025) 'Integrated microfinance-plus interventions for rural business survival: An empirical assessment', Journal of Developmental Entrepreneurship, 30(1), p. 125004.</w:t>
            </w:r>
          </w:p>
        </w:tc>
        <w:tc>
          <w:tcPr>
            <w:tcW w:w="1080" w:type="dxa"/>
          </w:tcPr>
          <w:p w14:paraId="6ED4F3D2" w14:textId="77777777" w:rsidR="00A428CB" w:rsidRDefault="00C80D20">
            <w:r>
              <w:rPr>
                <w:sz w:val="16"/>
              </w:rPr>
              <w:t>Rural developing-country context (not further specified)</w:t>
            </w:r>
          </w:p>
        </w:tc>
        <w:tc>
          <w:tcPr>
            <w:tcW w:w="1512" w:type="dxa"/>
          </w:tcPr>
          <w:p w14:paraId="7A9AAB42" w14:textId="77777777" w:rsidR="00A428CB" w:rsidRDefault="00C80D20">
            <w:r>
              <w:rPr>
                <w:sz w:val="16"/>
              </w:rPr>
              <w:t>Integrated microfinance-plus interventions</w:t>
            </w:r>
          </w:p>
        </w:tc>
        <w:tc>
          <w:tcPr>
            <w:tcW w:w="1512" w:type="dxa"/>
          </w:tcPr>
          <w:p w14:paraId="1AA8F971" w14:textId="77777777" w:rsidR="00A428CB" w:rsidRDefault="00C80D20">
            <w:r>
              <w:rPr>
                <w:sz w:val="16"/>
              </w:rPr>
              <w:t>Integrated microfinance-plus perspective</w:t>
            </w:r>
          </w:p>
        </w:tc>
        <w:tc>
          <w:tcPr>
            <w:tcW w:w="1224" w:type="dxa"/>
          </w:tcPr>
          <w:p w14:paraId="5F761E45" w14:textId="77777777" w:rsidR="00A428CB" w:rsidRDefault="00C80D20">
            <w:r>
              <w:rPr>
                <w:sz w:val="16"/>
              </w:rPr>
              <w:t>Empirical assessment</w:t>
            </w:r>
          </w:p>
        </w:tc>
        <w:tc>
          <w:tcPr>
            <w:tcW w:w="2088" w:type="dxa"/>
          </w:tcPr>
          <w:p w14:paraId="51741C13" w14:textId="77777777" w:rsidR="00A428CB" w:rsidRDefault="00C80D20">
            <w:r>
              <w:rPr>
                <w:sz w:val="16"/>
              </w:rPr>
              <w:t>Integrated microfinance-plus interventions are associated with improved rural business survival compared with credit alone.</w:t>
            </w:r>
          </w:p>
        </w:tc>
        <w:tc>
          <w:tcPr>
            <w:tcW w:w="2088" w:type="dxa"/>
          </w:tcPr>
          <w:p w14:paraId="6E65EB07" w14:textId="77777777" w:rsidR="00A428CB" w:rsidRDefault="00C80D20">
            <w:r>
              <w:rPr>
                <w:sz w:val="16"/>
              </w:rPr>
              <w:t>One of only a small number of recent studies taking this integrated approach.</w:t>
            </w:r>
          </w:p>
        </w:tc>
        <w:tc>
          <w:tcPr>
            <w:tcW w:w="1872" w:type="dxa"/>
          </w:tcPr>
          <w:p w14:paraId="56F65B7C" w14:textId="77777777" w:rsidR="00A428CB" w:rsidRDefault="00C80D20">
            <w:r>
              <w:rPr>
                <w:sz w:val="16"/>
              </w:rPr>
              <w:t>One of the two most recent 'microfinance-plus' studies establishing this study's core gap.</w:t>
            </w:r>
          </w:p>
        </w:tc>
      </w:tr>
      <w:tr w:rsidR="00A428CB" w14:paraId="58266A07" w14:textId="77777777">
        <w:tc>
          <w:tcPr>
            <w:tcW w:w="504" w:type="dxa"/>
          </w:tcPr>
          <w:p w14:paraId="2FB2264F" w14:textId="77777777" w:rsidR="00A428CB" w:rsidRDefault="00C80D20">
            <w:r>
              <w:rPr>
                <w:b/>
                <w:sz w:val="16"/>
              </w:rPr>
              <w:t>33</w:t>
            </w:r>
          </w:p>
        </w:tc>
        <w:tc>
          <w:tcPr>
            <w:tcW w:w="2736" w:type="dxa"/>
          </w:tcPr>
          <w:p w14:paraId="6074661C" w14:textId="77777777" w:rsidR="00A428CB" w:rsidRDefault="00C80D20">
            <w:r>
              <w:rPr>
                <w:sz w:val="16"/>
              </w:rPr>
              <w:t>Wickramasinghe, V. and Fernando, D. (2017) 'Use of microcredit for household income and consumption smoothing by low-income communities', International Journal of Consumer Studies, 41(6), pp. 647–658.</w:t>
            </w:r>
          </w:p>
        </w:tc>
        <w:tc>
          <w:tcPr>
            <w:tcW w:w="1080" w:type="dxa"/>
          </w:tcPr>
          <w:p w14:paraId="6C7E2FF6" w14:textId="77777777" w:rsidR="00A428CB" w:rsidRDefault="00C80D20">
            <w:r>
              <w:rPr>
                <w:sz w:val="16"/>
              </w:rPr>
              <w:t>Low-income communities (Sri Lanka context)</w:t>
            </w:r>
          </w:p>
        </w:tc>
        <w:tc>
          <w:tcPr>
            <w:tcW w:w="1512" w:type="dxa"/>
          </w:tcPr>
          <w:p w14:paraId="4002F0DF" w14:textId="77777777" w:rsidR="00A428CB" w:rsidRDefault="00C80D20">
            <w:r>
              <w:rPr>
                <w:sz w:val="16"/>
              </w:rPr>
              <w:t>Microcredit use for consumption smoothing</w:t>
            </w:r>
          </w:p>
        </w:tc>
        <w:tc>
          <w:tcPr>
            <w:tcW w:w="1512" w:type="dxa"/>
          </w:tcPr>
          <w:p w14:paraId="4BDF6245" w14:textId="77777777" w:rsidR="00A428CB" w:rsidRDefault="00C80D20">
            <w:r>
              <w:rPr>
                <w:sz w:val="16"/>
              </w:rPr>
              <w:t>Household risk-management / livelihoods perspective</w:t>
            </w:r>
          </w:p>
        </w:tc>
        <w:tc>
          <w:tcPr>
            <w:tcW w:w="1224" w:type="dxa"/>
          </w:tcPr>
          <w:p w14:paraId="53C9C0F0" w14:textId="77777777" w:rsidR="00A428CB" w:rsidRDefault="00C80D20">
            <w:r>
              <w:rPr>
                <w:sz w:val="16"/>
              </w:rPr>
              <w:t>Empirical survey-based study</w:t>
            </w:r>
          </w:p>
        </w:tc>
        <w:tc>
          <w:tcPr>
            <w:tcW w:w="2088" w:type="dxa"/>
          </w:tcPr>
          <w:p w14:paraId="7DFBA926" w14:textId="77777777" w:rsidR="00A428CB" w:rsidRDefault="00C80D20">
            <w:r>
              <w:rPr>
                <w:sz w:val="16"/>
              </w:rPr>
              <w:t>Some low-income borrowers use microcredit to manage household risk and smooth consumption rather than invest in business.</w:t>
            </w:r>
          </w:p>
        </w:tc>
        <w:tc>
          <w:tcPr>
            <w:tcW w:w="2088" w:type="dxa"/>
          </w:tcPr>
          <w:p w14:paraId="3A952193" w14:textId="77777777" w:rsidR="00A428CB" w:rsidRDefault="00C80D20">
            <w:r>
              <w:rPr>
                <w:sz w:val="16"/>
              </w:rPr>
              <w:t>Limited evidence on whether pairing credit with BDS could redirect loans toward productive investment.</w:t>
            </w:r>
          </w:p>
        </w:tc>
        <w:tc>
          <w:tcPr>
            <w:tcW w:w="1872" w:type="dxa"/>
          </w:tcPr>
          <w:p w14:paraId="0635C72B" w14:textId="77777777" w:rsidR="00A428CB" w:rsidRDefault="00C80D20">
            <w:r>
              <w:rPr>
                <w:sz w:val="16"/>
              </w:rPr>
              <w:t>Central evidence that loan diversion reflects household vulnerability, not a flaw in microcredit itself.</w:t>
            </w:r>
          </w:p>
        </w:tc>
      </w:tr>
      <w:tr w:rsidR="00A428CB" w14:paraId="0767D699" w14:textId="77777777">
        <w:tc>
          <w:tcPr>
            <w:tcW w:w="504" w:type="dxa"/>
          </w:tcPr>
          <w:p w14:paraId="54BE6B3A" w14:textId="77777777" w:rsidR="00A428CB" w:rsidRDefault="00C80D20">
            <w:r>
              <w:rPr>
                <w:b/>
                <w:sz w:val="16"/>
              </w:rPr>
              <w:lastRenderedPageBreak/>
              <w:t>34</w:t>
            </w:r>
          </w:p>
        </w:tc>
        <w:tc>
          <w:tcPr>
            <w:tcW w:w="2736" w:type="dxa"/>
          </w:tcPr>
          <w:p w14:paraId="2824845C" w14:textId="77777777" w:rsidR="00A428CB" w:rsidRDefault="00C80D20">
            <w:r>
              <w:rPr>
                <w:sz w:val="16"/>
              </w:rPr>
              <w:t>Yin, Z., Zhang, L. and Xu, Y. (2023) 'Government subsidies, microcredit, and firm performance in rural markets', World Development, 162, p. 106120.</w:t>
            </w:r>
          </w:p>
        </w:tc>
        <w:tc>
          <w:tcPr>
            <w:tcW w:w="1080" w:type="dxa"/>
          </w:tcPr>
          <w:p w14:paraId="1BF693AB" w14:textId="77777777" w:rsidR="00A428CB" w:rsidRDefault="00C80D20">
            <w:r>
              <w:rPr>
                <w:sz w:val="16"/>
              </w:rPr>
              <w:t>Rural China</w:t>
            </w:r>
          </w:p>
        </w:tc>
        <w:tc>
          <w:tcPr>
            <w:tcW w:w="1512" w:type="dxa"/>
          </w:tcPr>
          <w:p w14:paraId="5D8BBD38" w14:textId="77777777" w:rsidR="00A428CB" w:rsidRDefault="00C80D20">
            <w:r>
              <w:rPr>
                <w:sz w:val="16"/>
              </w:rPr>
              <w:t>Government subsidies, microcredit and firm performance</w:t>
            </w:r>
          </w:p>
        </w:tc>
        <w:tc>
          <w:tcPr>
            <w:tcW w:w="1512" w:type="dxa"/>
          </w:tcPr>
          <w:p w14:paraId="54E6ECBA" w14:textId="77777777" w:rsidR="00A428CB" w:rsidRDefault="00C80D20">
            <w:r>
              <w:rPr>
                <w:sz w:val="16"/>
              </w:rPr>
              <w:t>Institutional / government-support perspective</w:t>
            </w:r>
          </w:p>
        </w:tc>
        <w:tc>
          <w:tcPr>
            <w:tcW w:w="1224" w:type="dxa"/>
          </w:tcPr>
          <w:p w14:paraId="3A147E2D" w14:textId="77777777" w:rsidR="00A428CB" w:rsidRDefault="00C80D20">
            <w:r>
              <w:rPr>
                <w:sz w:val="16"/>
              </w:rPr>
              <w:t>Quantitative study</w:t>
            </w:r>
          </w:p>
        </w:tc>
        <w:tc>
          <w:tcPr>
            <w:tcW w:w="2088" w:type="dxa"/>
          </w:tcPr>
          <w:p w14:paraId="3F395FB0" w14:textId="77777777" w:rsidR="00A428CB" w:rsidRDefault="00C80D20">
            <w:r>
              <w:rPr>
                <w:sz w:val="16"/>
              </w:rPr>
              <w:t>Microcredit can create jobs and improve business performance when loans are supported by government subsidies.</w:t>
            </w:r>
          </w:p>
        </w:tc>
        <w:tc>
          <w:tcPr>
            <w:tcW w:w="2088" w:type="dxa"/>
          </w:tcPr>
          <w:p w14:paraId="1718A687" w14:textId="77777777" w:rsidR="00A428CB" w:rsidRDefault="00C80D20">
            <w:r>
              <w:rPr>
                <w:sz w:val="16"/>
              </w:rPr>
              <w:t>Positive effects appear contingent on subsidy support; standalone effect unclear.</w:t>
            </w:r>
          </w:p>
        </w:tc>
        <w:tc>
          <w:tcPr>
            <w:tcW w:w="1872" w:type="dxa"/>
          </w:tcPr>
          <w:p w14:paraId="27B93660" w14:textId="77777777" w:rsidR="00A428CB" w:rsidRDefault="00C80D20">
            <w:r>
              <w:rPr>
                <w:sz w:val="16"/>
              </w:rPr>
              <w:t>Evidence for the more favourable side of the poverty/debt-trap debate, contextualised by institutional support (Section 3.2).</w:t>
            </w:r>
          </w:p>
        </w:tc>
      </w:tr>
    </w:tbl>
    <w:p w14:paraId="32D273EA" w14:textId="77777777" w:rsidR="00B2479C" w:rsidRDefault="00B2479C" w:rsidP="00B2479C">
      <w:pPr>
        <w:pStyle w:val="NoSpacing"/>
        <w:spacing w:line="360" w:lineRule="auto"/>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Reflective Account: Converting Research into Practice</w:t>
      </w:r>
    </w:p>
    <w:p w14:paraId="58055E6F" w14:textId="77777777" w:rsidR="00B2479C" w:rsidRPr="00C8546C" w:rsidRDefault="00B2479C" w:rsidP="00B2479C">
      <w:pPr>
        <w:pStyle w:val="NoSpacing"/>
        <w:spacing w:line="360" w:lineRule="auto"/>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Background and Context</w:t>
      </w:r>
    </w:p>
    <w:p w14:paraId="6104BF62" w14:textId="77777777" w:rsidR="00B2479C" w:rsidRDefault="00B2479C" w:rsidP="00B2479C">
      <w:pPr>
        <w:pStyle w:val="NoSpacing"/>
        <w:spacing w:line="360" w:lineRule="auto"/>
        <w:rPr>
          <w:sz w:val="24"/>
          <w:szCs w:val="24"/>
        </w:rPr>
      </w:pPr>
      <w:r>
        <w:rPr>
          <w:sz w:val="24"/>
          <w:szCs w:val="24"/>
        </w:rPr>
        <w:t xml:space="preserve">Starting a DBA program is a big academic step for me, mostly because I wanted to learn how to connect theoretical concepts with actual business decisions. Theory on paper is helpful, but it only really matters when you can use it to fix practical problems. </w:t>
      </w:r>
    </w:p>
    <w:p w14:paraId="0E2F047F" w14:textId="77777777" w:rsidR="00B2479C" w:rsidRDefault="00B2479C" w:rsidP="00B2479C">
      <w:pPr>
        <w:pStyle w:val="NoSpacing"/>
        <w:spacing w:line="360" w:lineRule="auto"/>
        <w:rPr>
          <w:sz w:val="24"/>
          <w:szCs w:val="24"/>
        </w:rPr>
      </w:pPr>
      <w:r>
        <w:rPr>
          <w:sz w:val="24"/>
          <w:szCs w:val="24"/>
        </w:rPr>
        <w:t xml:space="preserve">This module, Converting Research into Practice, was designed around that exact idea. Our main assessment was to write a detailed 6,500-word research proposal. </w:t>
      </w:r>
    </w:p>
    <w:p w14:paraId="3CCC3336" w14:textId="77777777" w:rsidR="00B2479C" w:rsidRDefault="00B2479C" w:rsidP="00B2479C">
      <w:pPr>
        <w:pStyle w:val="NoSpacing"/>
        <w:spacing w:line="360" w:lineRule="auto"/>
        <w:rPr>
          <w:sz w:val="24"/>
          <w:szCs w:val="24"/>
        </w:rPr>
      </w:pPr>
      <w:r>
        <w:rPr>
          <w:sz w:val="24"/>
          <w:szCs w:val="24"/>
        </w:rPr>
        <w:t xml:space="preserve">I picked a topic that I personally care a lot about: "The Role of Microcredit and Business Development Services in Supporting Rural Entrepreneurs in Developing Countries." </w:t>
      </w:r>
    </w:p>
    <w:p w14:paraId="00D56581" w14:textId="77777777" w:rsidR="00B2479C" w:rsidRDefault="00B2479C" w:rsidP="00B2479C">
      <w:pPr>
        <w:pStyle w:val="NoSpacing"/>
        <w:spacing w:line="360" w:lineRule="auto"/>
        <w:rPr>
          <w:sz w:val="24"/>
          <w:szCs w:val="24"/>
        </w:rPr>
      </w:pPr>
      <w:r>
        <w:rPr>
          <w:sz w:val="24"/>
          <w:szCs w:val="24"/>
        </w:rPr>
        <w:t>If you look at rural areas in developing nations, small business owners run into huge roadblocks every single day. They struggle to get cash, they lack proper business training, and they find it hard to reach bigger markets. My proposal looked at how providing small loans (microcredit) along with non-financial support—like basic bookkeeping, mentorship, and marketing advice (Business Development Services)—can help these small village businesses survive and actually grow over time.</w:t>
      </w:r>
    </w:p>
    <w:p w14:paraId="15A3B2E6" w14:textId="77777777" w:rsidR="00B2479C" w:rsidRDefault="00B2479C" w:rsidP="00B2479C">
      <w:pPr>
        <w:pStyle w:val="NoSpacing"/>
        <w:spacing w:line="360" w:lineRule="auto"/>
        <w:rPr>
          <w:sz w:val="24"/>
          <w:szCs w:val="24"/>
        </w:rPr>
      </w:pPr>
      <w:r>
        <w:rPr>
          <w:sz w:val="24"/>
          <w:szCs w:val="24"/>
        </w:rPr>
        <w:t xml:space="preserve">Our group was quite small. There were only three students in the class, including me. Because of this small setup, you could not just sit quietly in the back corner and ignore the lecture. Everyone had to speak up, share ideas, and engage in every single task. </w:t>
      </w:r>
    </w:p>
    <w:p w14:paraId="4412DB67" w14:textId="334BF486" w:rsidR="00B2479C" w:rsidRDefault="00B2479C" w:rsidP="00B2479C">
      <w:pPr>
        <w:pStyle w:val="NoSpacing"/>
        <w:spacing w:line="360" w:lineRule="auto"/>
        <w:rPr>
          <w:sz w:val="24"/>
          <w:szCs w:val="24"/>
        </w:rPr>
      </w:pPr>
      <w:r>
        <w:rPr>
          <w:sz w:val="24"/>
          <w:szCs w:val="24"/>
        </w:rPr>
        <w:t xml:space="preserve">Our lecturer was </w:t>
      </w:r>
      <w:r w:rsidR="00316219">
        <w:rPr>
          <w:sz w:val="24"/>
          <w:szCs w:val="24"/>
        </w:rPr>
        <w:t>Prof. Dr</w:t>
      </w:r>
      <w:r>
        <w:rPr>
          <w:sz w:val="24"/>
          <w:szCs w:val="24"/>
        </w:rPr>
        <w:t xml:space="preserve"> Eno Mayco</w:t>
      </w:r>
      <w:r w:rsidR="00C8546C">
        <w:rPr>
          <w:sz w:val="24"/>
          <w:szCs w:val="24"/>
        </w:rPr>
        <w:t>c</w:t>
      </w:r>
      <w:r>
        <w:rPr>
          <w:sz w:val="24"/>
          <w:szCs w:val="24"/>
        </w:rPr>
        <w:t xml:space="preserve">k. She was a great teacher to work with—very friendly, encouraging, and clear in how she explained things. She took heavy, dry research ideas and made them easy to understand. Right from the start, she created a welcoming environment where none of us felt embarrassed to ask simple questions when we were confused.  </w:t>
      </w:r>
    </w:p>
    <w:p w14:paraId="2277C617" w14:textId="77777777" w:rsidR="00B2479C" w:rsidRPr="00C8546C" w:rsidRDefault="00B2479C" w:rsidP="00B2479C">
      <w:pPr>
        <w:pStyle w:val="NoSpacing"/>
        <w:spacing w:line="360" w:lineRule="auto"/>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 Methodology and Frameworks Used (PRISMA, CIMO, and CASP)</w:t>
      </w:r>
    </w:p>
    <w:p w14:paraId="67F71D0C" w14:textId="77777777" w:rsidR="00B2479C" w:rsidRDefault="00B2479C" w:rsidP="00B2479C">
      <w:pPr>
        <w:pStyle w:val="NoSpacing"/>
        <w:spacing w:line="360" w:lineRule="auto"/>
        <w:rPr>
          <w:sz w:val="24"/>
          <w:szCs w:val="24"/>
        </w:rPr>
      </w:pPr>
    </w:p>
    <w:p w14:paraId="0E223426" w14:textId="77777777" w:rsidR="00B2479C" w:rsidRDefault="00B2479C" w:rsidP="00B2479C">
      <w:pPr>
        <w:pStyle w:val="NoSpacing"/>
        <w:spacing w:line="360" w:lineRule="auto"/>
        <w:rPr>
          <w:sz w:val="24"/>
          <w:szCs w:val="24"/>
        </w:rPr>
      </w:pPr>
      <w:r>
        <w:rPr>
          <w:sz w:val="24"/>
          <w:szCs w:val="24"/>
        </w:rPr>
        <w:lastRenderedPageBreak/>
        <w:t xml:space="preserve">To build a solid 6,500-word proposal at this level, simply reading a few articles from Google Scholar was not going to work. We had to carry out a proper Systematic Literature Review (SLR). </w:t>
      </w:r>
    </w:p>
    <w:p w14:paraId="513740AA" w14:textId="77777777" w:rsidR="00B2479C" w:rsidRDefault="00B2479C" w:rsidP="00B2479C">
      <w:pPr>
        <w:pStyle w:val="NoSpacing"/>
        <w:spacing w:line="360" w:lineRule="auto"/>
        <w:rPr>
          <w:sz w:val="24"/>
          <w:szCs w:val="24"/>
        </w:rPr>
      </w:pPr>
      <w:r>
        <w:rPr>
          <w:sz w:val="24"/>
          <w:szCs w:val="24"/>
        </w:rPr>
        <w:t>An SLR is not just a summary of what you read. It is a clear, step-by-step process to search, filter, and evaluate existing papers so that your work is fair, structured, and easy for others to trace.</w:t>
      </w:r>
    </w:p>
    <w:p w14:paraId="4FB88FB3" w14:textId="77777777" w:rsidR="00B2479C" w:rsidRDefault="00B2479C" w:rsidP="00B2479C">
      <w:pPr>
        <w:pStyle w:val="NoSpacing"/>
        <w:spacing w:line="360" w:lineRule="auto"/>
        <w:rPr>
          <w:sz w:val="24"/>
          <w:szCs w:val="24"/>
        </w:rPr>
      </w:pPr>
      <w:r>
        <w:rPr>
          <w:sz w:val="24"/>
          <w:szCs w:val="24"/>
        </w:rPr>
        <w:t>During the module, I relied on three key frameworks:</w:t>
      </w:r>
    </w:p>
    <w:p w14:paraId="766DACFA" w14:textId="77777777" w:rsidR="00B2479C" w:rsidRDefault="00B2479C" w:rsidP="00B2479C">
      <w:pPr>
        <w:pStyle w:val="NoSpacing"/>
        <w:spacing w:line="360" w:lineRule="auto"/>
        <w:rPr>
          <w:sz w:val="24"/>
          <w:szCs w:val="24"/>
        </w:rPr>
      </w:pPr>
      <w:r>
        <w:rPr>
          <w:sz w:val="24"/>
          <w:szCs w:val="24"/>
        </w:rPr>
        <w:t xml:space="preserve"> A. The PRISMA Protocol</w:t>
      </w:r>
    </w:p>
    <w:p w14:paraId="6891E2B0" w14:textId="77777777" w:rsidR="00B2479C" w:rsidRDefault="00B2479C" w:rsidP="00B2479C">
      <w:pPr>
        <w:pStyle w:val="NoSpacing"/>
        <w:spacing w:line="360" w:lineRule="auto"/>
        <w:rPr>
          <w:sz w:val="24"/>
          <w:szCs w:val="24"/>
        </w:rPr>
      </w:pPr>
      <w:r>
        <w:rPr>
          <w:sz w:val="24"/>
          <w:szCs w:val="24"/>
        </w:rPr>
        <w:t xml:space="preserve">PRISMA stands for Preferred Reporting Items for Systematic Reviews and Meta-Analyses. Before this module, whenever I needed references, I would just type a few keywords into a search bar and pick whatever looked useful. PRISMA forced me to be much more disciplined. </w:t>
      </w:r>
    </w:p>
    <w:p w14:paraId="3FB25B1F" w14:textId="77777777" w:rsidR="00B2479C" w:rsidRDefault="00B2479C" w:rsidP="00B2479C">
      <w:pPr>
        <w:pStyle w:val="NoSpacing"/>
        <w:spacing w:line="360" w:lineRule="auto"/>
        <w:rPr>
          <w:sz w:val="24"/>
          <w:szCs w:val="24"/>
        </w:rPr>
      </w:pPr>
      <w:r>
        <w:rPr>
          <w:sz w:val="24"/>
          <w:szCs w:val="24"/>
        </w:rPr>
        <w:t xml:space="preserve">I had to set up explicit rules before searching: Inclusion Criteria (reasons to keep a paper) and Exclusion Criteria (reasons to leave a paper out). </w:t>
      </w:r>
    </w:p>
    <w:p w14:paraId="385E7E4B" w14:textId="77777777" w:rsidR="00B2479C" w:rsidRDefault="00B2479C" w:rsidP="00B2479C">
      <w:pPr>
        <w:pStyle w:val="NoSpacing"/>
        <w:spacing w:line="360" w:lineRule="auto"/>
        <w:rPr>
          <w:sz w:val="24"/>
          <w:szCs w:val="24"/>
        </w:rPr>
      </w:pPr>
      <w:r>
        <w:rPr>
          <w:sz w:val="24"/>
          <w:szCs w:val="24"/>
        </w:rPr>
        <w:t>I searched databases like Scopus and Web of Science, going through hundreds of titles and abstracts step by step. I kept track of every single stage—how many papers turned up, how many duplicates were deleted, how many were removed during screening, and how many ended up in the final review. This gave my paper a clear structure.</w:t>
      </w:r>
    </w:p>
    <w:p w14:paraId="1C1FC868" w14:textId="77777777" w:rsidR="00B2479C" w:rsidRDefault="00B2479C" w:rsidP="00B2479C">
      <w:pPr>
        <w:pStyle w:val="NoSpacing"/>
        <w:spacing w:line="360" w:lineRule="auto"/>
        <w:rPr>
          <w:sz w:val="24"/>
          <w:szCs w:val="24"/>
        </w:rPr>
      </w:pPr>
      <w:r>
        <w:rPr>
          <w:sz w:val="24"/>
          <w:szCs w:val="24"/>
        </w:rPr>
        <w:t>B. The CIMO Framework</w:t>
      </w:r>
    </w:p>
    <w:p w14:paraId="0A580A5D" w14:textId="77777777" w:rsidR="00B2479C" w:rsidRDefault="00B2479C" w:rsidP="00B2479C">
      <w:pPr>
        <w:pStyle w:val="NoSpacing"/>
        <w:spacing w:line="360" w:lineRule="auto"/>
        <w:rPr>
          <w:sz w:val="24"/>
          <w:szCs w:val="24"/>
        </w:rPr>
      </w:pPr>
      <w:r>
        <w:rPr>
          <w:sz w:val="24"/>
          <w:szCs w:val="24"/>
        </w:rPr>
        <w:t>While PRISMA helped me filter through papers, the CIMO Framework (Context, Intervention, Mechanism, Outcome) helped me analyze the business dynamics in depth. In management studies, CIMO is a really practical way to figure out how and why a business solution works.</w:t>
      </w:r>
    </w:p>
    <w:p w14:paraId="6E923752" w14:textId="77777777" w:rsidR="00B2479C" w:rsidRDefault="00B2479C" w:rsidP="00B2479C">
      <w:pPr>
        <w:pStyle w:val="NoSpacing"/>
        <w:spacing w:line="360" w:lineRule="auto"/>
        <w:rPr>
          <w:sz w:val="24"/>
          <w:szCs w:val="24"/>
        </w:rPr>
      </w:pPr>
      <w:r>
        <w:rPr>
          <w:sz w:val="24"/>
          <w:szCs w:val="24"/>
        </w:rPr>
        <w:t xml:space="preserve"> organized my reading into four parts using CIMO:</w:t>
      </w:r>
    </w:p>
    <w:p w14:paraId="7A614510" w14:textId="77777777" w:rsidR="00B2479C" w:rsidRDefault="00B2479C" w:rsidP="00B2479C">
      <w:pPr>
        <w:pStyle w:val="NoSpacing"/>
        <w:spacing w:line="360" w:lineRule="auto"/>
        <w:rPr>
          <w:sz w:val="24"/>
          <w:szCs w:val="24"/>
        </w:rPr>
      </w:pPr>
      <w:r>
        <w:rPr>
          <w:sz w:val="24"/>
          <w:szCs w:val="24"/>
        </w:rPr>
        <w:t xml:space="preserve"> Context (C): Rural communities in developing countries where entrepreneurs face financial and institutional constraints.</w:t>
      </w:r>
    </w:p>
    <w:p w14:paraId="00A375D2" w14:textId="77777777" w:rsidR="00B2479C" w:rsidRDefault="00B2479C" w:rsidP="00B2479C">
      <w:pPr>
        <w:pStyle w:val="NoSpacing"/>
        <w:spacing w:line="360" w:lineRule="auto"/>
        <w:rPr>
          <w:sz w:val="24"/>
          <w:szCs w:val="24"/>
        </w:rPr>
      </w:pPr>
      <w:r>
        <w:rPr>
          <w:sz w:val="24"/>
          <w:szCs w:val="24"/>
        </w:rPr>
        <w:t>Intervention (I): Microcredit combined with Business Development Services (BDS).</w:t>
      </w:r>
    </w:p>
    <w:p w14:paraId="19EBA846" w14:textId="77777777" w:rsidR="00B2479C" w:rsidRDefault="00B2479C" w:rsidP="00B2479C">
      <w:pPr>
        <w:pStyle w:val="NoSpacing"/>
        <w:spacing w:line="360" w:lineRule="auto"/>
        <w:rPr>
          <w:sz w:val="24"/>
          <w:szCs w:val="24"/>
        </w:rPr>
      </w:pPr>
      <w:r>
        <w:rPr>
          <w:sz w:val="24"/>
          <w:szCs w:val="24"/>
        </w:rPr>
        <w:t>Mechanism (M): Capability building through training, mentoring, financial literacy, and market access, enabling effective use of credit</w:t>
      </w:r>
    </w:p>
    <w:p w14:paraId="00A334A4" w14:textId="77777777" w:rsidR="00B2479C" w:rsidRDefault="00B2479C" w:rsidP="00B2479C">
      <w:pPr>
        <w:pStyle w:val="NoSpacing"/>
        <w:spacing w:line="360" w:lineRule="auto"/>
        <w:rPr>
          <w:sz w:val="24"/>
          <w:szCs w:val="24"/>
        </w:rPr>
      </w:pPr>
      <w:r>
        <w:rPr>
          <w:sz w:val="24"/>
          <w:szCs w:val="24"/>
        </w:rPr>
        <w:t>Outcome (O): Sustainable rural entrepreneurship, business growth, income generation, poverty reduction, and improved livelihoods</w:t>
      </w:r>
    </w:p>
    <w:p w14:paraId="102720D4" w14:textId="77777777" w:rsidR="00B2479C" w:rsidRDefault="00B2479C" w:rsidP="00B2479C">
      <w:pPr>
        <w:pStyle w:val="NoSpacing"/>
        <w:spacing w:line="360" w:lineRule="auto"/>
        <w:rPr>
          <w:sz w:val="24"/>
          <w:szCs w:val="24"/>
        </w:rPr>
      </w:pPr>
      <w:r>
        <w:rPr>
          <w:sz w:val="24"/>
          <w:szCs w:val="24"/>
        </w:rPr>
        <w:t>C. The CASP Checklists</w:t>
      </w:r>
    </w:p>
    <w:p w14:paraId="48232B69" w14:textId="77777777" w:rsidR="00B2479C" w:rsidRDefault="00B2479C" w:rsidP="00B2479C">
      <w:pPr>
        <w:pStyle w:val="NoSpacing"/>
        <w:spacing w:line="360" w:lineRule="auto"/>
        <w:rPr>
          <w:sz w:val="24"/>
          <w:szCs w:val="24"/>
        </w:rPr>
      </w:pPr>
      <w:r>
        <w:rPr>
          <w:sz w:val="24"/>
          <w:szCs w:val="24"/>
        </w:rPr>
        <w:t xml:space="preserve">CASP stands for Critical Appraisal Skills Programme. Finding articles is only half the battle; the other half is deciding if those articles are actually reliable. </w:t>
      </w:r>
    </w:p>
    <w:p w14:paraId="0845464C" w14:textId="77777777" w:rsidR="00B2479C" w:rsidRDefault="00B2479C" w:rsidP="00B2479C">
      <w:pPr>
        <w:pStyle w:val="NoSpacing"/>
        <w:spacing w:line="360" w:lineRule="auto"/>
        <w:rPr>
          <w:sz w:val="24"/>
          <w:szCs w:val="24"/>
        </w:rPr>
      </w:pPr>
      <w:r>
        <w:rPr>
          <w:sz w:val="24"/>
          <w:szCs w:val="24"/>
        </w:rPr>
        <w:t>CASP gives you simple appraisal checklists for both qualitative and quantitative papers. It helped me ask practical questions while reading:</w:t>
      </w:r>
    </w:p>
    <w:p w14:paraId="64A67B58" w14:textId="77777777" w:rsidR="00B2479C" w:rsidRDefault="00B2479C" w:rsidP="00B2479C">
      <w:pPr>
        <w:pStyle w:val="NoSpacing"/>
        <w:numPr>
          <w:ilvl w:val="0"/>
          <w:numId w:val="10"/>
        </w:numPr>
        <w:spacing w:line="360" w:lineRule="auto"/>
        <w:rPr>
          <w:sz w:val="24"/>
          <w:szCs w:val="24"/>
        </w:rPr>
      </w:pPr>
      <w:r>
        <w:rPr>
          <w:sz w:val="24"/>
          <w:szCs w:val="24"/>
        </w:rPr>
        <w:lastRenderedPageBreak/>
        <w:t>Did the researchers use an appropriate methodology?</w:t>
      </w:r>
    </w:p>
    <w:p w14:paraId="61D6BF7A" w14:textId="77777777" w:rsidR="00B2479C" w:rsidRDefault="00B2479C" w:rsidP="00B2479C">
      <w:pPr>
        <w:pStyle w:val="NoSpacing"/>
        <w:numPr>
          <w:ilvl w:val="0"/>
          <w:numId w:val="10"/>
        </w:numPr>
        <w:spacing w:line="360" w:lineRule="auto"/>
        <w:rPr>
          <w:sz w:val="24"/>
          <w:szCs w:val="24"/>
        </w:rPr>
      </w:pPr>
      <w:r>
        <w:rPr>
          <w:sz w:val="24"/>
          <w:szCs w:val="24"/>
        </w:rPr>
        <w:t>Was their sample size large enough to draw real conclusions?</w:t>
      </w:r>
    </w:p>
    <w:p w14:paraId="067C835D" w14:textId="77777777" w:rsidR="00B2479C" w:rsidRDefault="00B2479C" w:rsidP="00B2479C">
      <w:pPr>
        <w:pStyle w:val="NoSpacing"/>
        <w:numPr>
          <w:ilvl w:val="0"/>
          <w:numId w:val="10"/>
        </w:numPr>
        <w:spacing w:line="360" w:lineRule="auto"/>
        <w:rPr>
          <w:sz w:val="24"/>
          <w:szCs w:val="24"/>
        </w:rPr>
      </w:pPr>
      <w:r>
        <w:rPr>
          <w:sz w:val="24"/>
          <w:szCs w:val="24"/>
        </w:rPr>
        <w:t>Are the conclusions backed up by solid evidence, or are they mostly assumptions?</w:t>
      </w:r>
    </w:p>
    <w:p w14:paraId="71C84AAB" w14:textId="77777777" w:rsidR="00B2479C" w:rsidRDefault="00B2479C" w:rsidP="00B2479C">
      <w:pPr>
        <w:pStyle w:val="NoSpacing"/>
        <w:spacing w:line="360" w:lineRule="auto"/>
        <w:rPr>
          <w:sz w:val="24"/>
          <w:szCs w:val="24"/>
        </w:rPr>
      </w:pPr>
      <w:r>
        <w:rPr>
          <w:sz w:val="24"/>
          <w:szCs w:val="24"/>
        </w:rPr>
        <w:t>Using CASP changed how I process academic literature. I stopped accepting claims just because they were in print and started reading with a critical eye.</w:t>
      </w:r>
    </w:p>
    <w:p w14:paraId="2BE571B1" w14:textId="77777777" w:rsidR="00B2479C" w:rsidRDefault="00B2479C" w:rsidP="00B2479C">
      <w:pPr>
        <w:pStyle w:val="NoSpacing"/>
        <w:spacing w:line="360" w:lineRule="auto"/>
        <w:rPr>
          <w:sz w:val="24"/>
          <w:szCs w:val="24"/>
        </w:rPr>
      </w:pPr>
      <w:r>
        <w:rPr>
          <w:sz w:val="24"/>
          <w:szCs w:val="24"/>
        </w:rPr>
        <w:t>By putting PRISMA, CIMO, and CASP together, my proposal showed a clear pattern: giving small loans to rural entrepreneurs helps, but if they do not get basic business training alongside the money, those loans often go to waste. Money and practical training need to go hand in hand.</w:t>
      </w:r>
    </w:p>
    <w:p w14:paraId="1C47589D" w14:textId="77777777" w:rsidR="00B2479C" w:rsidRPr="00C8546C" w:rsidRDefault="00B2479C" w:rsidP="00B2479C">
      <w:pPr>
        <w:pStyle w:val="NoSpacing"/>
        <w:spacing w:line="360" w:lineRule="auto"/>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 The Main Setback: Falling Ill and Missing Classes</w:t>
      </w:r>
    </w:p>
    <w:p w14:paraId="781F332F" w14:textId="77777777" w:rsidR="00B2479C" w:rsidRDefault="00B2479C" w:rsidP="00B2479C">
      <w:pPr>
        <w:pStyle w:val="NoSpacing"/>
        <w:spacing w:line="360" w:lineRule="auto"/>
        <w:rPr>
          <w:sz w:val="24"/>
          <w:szCs w:val="24"/>
        </w:rPr>
      </w:pPr>
      <w:r>
        <w:rPr>
          <w:sz w:val="24"/>
          <w:szCs w:val="24"/>
        </w:rPr>
        <w:t xml:space="preserve">Things were moving along smoothly until about halfway through the term, when I ran into a health problem. I got chest infection and I was hospitalized for 2 days. As a result, I have missed 3 classes. In a tiny class of three people, missing three weeks was a major hit. </w:t>
      </w:r>
    </w:p>
    <w:p w14:paraId="5FFB7C19" w14:textId="77777777" w:rsidR="00B2479C" w:rsidRDefault="00B2479C" w:rsidP="00B2479C">
      <w:pPr>
        <w:pStyle w:val="NoSpacing"/>
        <w:spacing w:line="360" w:lineRule="auto"/>
        <w:rPr>
          <w:sz w:val="24"/>
          <w:szCs w:val="24"/>
        </w:rPr>
      </w:pPr>
      <w:r>
        <w:rPr>
          <w:sz w:val="24"/>
          <w:szCs w:val="24"/>
        </w:rPr>
        <w:t>In our small group, every session involved deep discussions, direct feedback on our writing, and hands-on guidance on drawing PRISMA flowcharts, mapping out CIMO components, and scoring papers with CASP. Being stuck at home meant I missed the fundamental core of how to structure the literature review section of my 6,500-word proposal.</w:t>
      </w:r>
    </w:p>
    <w:p w14:paraId="4DD4A5D2" w14:textId="4D6BE1FA" w:rsidR="00B2479C" w:rsidRDefault="00B2479C" w:rsidP="00B2479C">
      <w:pPr>
        <w:pStyle w:val="NoSpacing"/>
        <w:spacing w:line="360" w:lineRule="auto"/>
        <w:rPr>
          <w:sz w:val="24"/>
          <w:szCs w:val="24"/>
        </w:rPr>
      </w:pPr>
      <w:r>
        <w:rPr>
          <w:sz w:val="24"/>
          <w:szCs w:val="24"/>
        </w:rPr>
        <w:t xml:space="preserve"> I was worried all the time. The deadline was coming up, and I felt like I was falling too far behind to finish my work. Additionally, staying at home sick made me feel disconnected from the course and my group. Trying to read heavy methodology papers while feeling physically drained was really difficult. But with the support of </w:t>
      </w:r>
      <w:r w:rsidR="00316219">
        <w:rPr>
          <w:sz w:val="24"/>
          <w:szCs w:val="24"/>
        </w:rPr>
        <w:t>Prof</w:t>
      </w:r>
      <w:r>
        <w:rPr>
          <w:sz w:val="24"/>
          <w:szCs w:val="24"/>
        </w:rPr>
        <w:t>.</w:t>
      </w:r>
      <w:r w:rsidR="00316219">
        <w:rPr>
          <w:sz w:val="24"/>
          <w:szCs w:val="24"/>
        </w:rPr>
        <w:t>Dr</w:t>
      </w:r>
      <w:r>
        <w:rPr>
          <w:sz w:val="24"/>
          <w:szCs w:val="24"/>
        </w:rPr>
        <w:t xml:space="preserve"> Eno Mayco</w:t>
      </w:r>
      <w:r w:rsidR="00C8546C">
        <w:rPr>
          <w:sz w:val="24"/>
          <w:szCs w:val="24"/>
        </w:rPr>
        <w:t>c</w:t>
      </w:r>
      <w:r>
        <w:rPr>
          <w:sz w:val="24"/>
          <w:szCs w:val="24"/>
        </w:rPr>
        <w:t xml:space="preserve">k </w:t>
      </w:r>
    </w:p>
    <w:p w14:paraId="71EA41DA" w14:textId="6CD0B11F" w:rsidR="00B2479C" w:rsidRDefault="00B2479C" w:rsidP="00B2479C">
      <w:pPr>
        <w:pStyle w:val="NoSpacing"/>
        <w:spacing w:line="360" w:lineRule="auto"/>
        <w:rPr>
          <w:sz w:val="24"/>
          <w:szCs w:val="24"/>
        </w:rPr>
      </w:pPr>
      <w:r>
        <w:rPr>
          <w:sz w:val="24"/>
          <w:szCs w:val="24"/>
        </w:rPr>
        <w:t xml:space="preserve"> I managed to get back on track and complete my proposal. I definitely could not have done it without the support I got from my teacher, </w:t>
      </w:r>
      <w:r w:rsidR="00316219">
        <w:rPr>
          <w:sz w:val="24"/>
          <w:szCs w:val="24"/>
        </w:rPr>
        <w:t>Prof</w:t>
      </w:r>
      <w:r>
        <w:rPr>
          <w:sz w:val="24"/>
          <w:szCs w:val="24"/>
        </w:rPr>
        <w:t xml:space="preserve">. </w:t>
      </w:r>
      <w:r w:rsidR="00316219">
        <w:rPr>
          <w:sz w:val="24"/>
          <w:szCs w:val="24"/>
        </w:rPr>
        <w:t xml:space="preserve">Dr </w:t>
      </w:r>
      <w:r>
        <w:rPr>
          <w:sz w:val="24"/>
          <w:szCs w:val="24"/>
        </w:rPr>
        <w:t xml:space="preserve">Eno Maycok  I was anxious about being so far behind. But </w:t>
      </w:r>
      <w:r w:rsidR="00316219">
        <w:rPr>
          <w:sz w:val="24"/>
          <w:szCs w:val="24"/>
        </w:rPr>
        <w:t>Prof</w:t>
      </w:r>
      <w:r>
        <w:rPr>
          <w:sz w:val="24"/>
          <w:szCs w:val="24"/>
        </w:rPr>
        <w:t>.</w:t>
      </w:r>
      <w:r w:rsidR="00316219">
        <w:rPr>
          <w:sz w:val="24"/>
          <w:szCs w:val="24"/>
        </w:rPr>
        <w:t>Dr</w:t>
      </w:r>
      <w:r>
        <w:rPr>
          <w:sz w:val="24"/>
          <w:szCs w:val="24"/>
        </w:rPr>
        <w:t xml:space="preserve"> Eno Mayco</w:t>
      </w:r>
      <w:r w:rsidR="00C8546C">
        <w:rPr>
          <w:sz w:val="24"/>
          <w:szCs w:val="24"/>
        </w:rPr>
        <w:t>c</w:t>
      </w:r>
      <w:r>
        <w:rPr>
          <w:sz w:val="24"/>
          <w:szCs w:val="24"/>
        </w:rPr>
        <w:t>k was very understanding. She did not make me feel guilty or pressured she simply checked on my recovery and reminded me that health comes first.</w:t>
      </w:r>
    </w:p>
    <w:p w14:paraId="42ED3CDC" w14:textId="7384A02A" w:rsidR="00B2479C" w:rsidRDefault="00B2479C" w:rsidP="00B2479C">
      <w:pPr>
        <w:pStyle w:val="NoSpacing"/>
        <w:spacing w:line="360" w:lineRule="auto"/>
        <w:rPr>
          <w:sz w:val="24"/>
          <w:szCs w:val="24"/>
        </w:rPr>
      </w:pPr>
      <w:r>
        <w:rPr>
          <w:sz w:val="24"/>
          <w:szCs w:val="24"/>
        </w:rPr>
        <w:t xml:space="preserve">During her office hours, </w:t>
      </w:r>
      <w:r w:rsidR="00316219">
        <w:rPr>
          <w:sz w:val="24"/>
          <w:szCs w:val="24"/>
        </w:rPr>
        <w:t>Prof. Dr</w:t>
      </w:r>
      <w:r>
        <w:rPr>
          <w:sz w:val="24"/>
          <w:szCs w:val="24"/>
        </w:rPr>
        <w:t xml:space="preserve"> Eno Mayco</w:t>
      </w:r>
      <w:r w:rsidR="00C8546C">
        <w:rPr>
          <w:sz w:val="24"/>
          <w:szCs w:val="24"/>
        </w:rPr>
        <w:t>c</w:t>
      </w:r>
      <w:r>
        <w:rPr>
          <w:sz w:val="24"/>
          <w:szCs w:val="24"/>
        </w:rPr>
        <w:t>k looked at my situation and told me, "Don't stress about the whole 6,500 words right now just focus on getting your PRISMA flowchart and CIMO structure right first." She broke the remaining workload into smaller, manageable chunks, reviewed my early drafts, and gave me clear feedback. Her supportive attitude gave me the inspiration.</w:t>
      </w:r>
    </w:p>
    <w:p w14:paraId="224496B8" w14:textId="25804461" w:rsidR="00B2479C" w:rsidRPr="00C8546C" w:rsidRDefault="00B2479C" w:rsidP="00B2479C">
      <w:pPr>
        <w:pStyle w:val="NoSpacing"/>
        <w:spacing w:line="360" w:lineRule="auto"/>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8546C"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Reflections on What I Learned</w:t>
      </w:r>
    </w:p>
    <w:p w14:paraId="3C56DFAB" w14:textId="77777777" w:rsidR="00B2479C" w:rsidRDefault="00B2479C" w:rsidP="00B2479C">
      <w:pPr>
        <w:pStyle w:val="NoSpacing"/>
        <w:spacing w:line="360" w:lineRule="auto"/>
        <w:rPr>
          <w:sz w:val="24"/>
          <w:szCs w:val="24"/>
        </w:rPr>
      </w:pPr>
      <w:r>
        <w:rPr>
          <w:sz w:val="24"/>
          <w:szCs w:val="24"/>
        </w:rPr>
        <w:lastRenderedPageBreak/>
        <w:t>Looking back at the whole experience, this module taught me a lot about research techniques, but it also taught me a few things about managing unexpected setbacks.</w:t>
      </w:r>
    </w:p>
    <w:p w14:paraId="6BCF8041" w14:textId="77777777" w:rsidR="00B2479C" w:rsidRDefault="00B2479C" w:rsidP="00B2479C">
      <w:pPr>
        <w:pStyle w:val="NoSpacing"/>
        <w:spacing w:line="360" w:lineRule="auto"/>
        <w:rPr>
          <w:sz w:val="24"/>
          <w:szCs w:val="24"/>
        </w:rPr>
      </w:pPr>
      <w:r>
        <w:rPr>
          <w:sz w:val="24"/>
          <w:szCs w:val="24"/>
        </w:rPr>
        <w:t>Positive Outcomes:</w:t>
      </w:r>
    </w:p>
    <w:p w14:paraId="1278355A" w14:textId="77777777" w:rsidR="00B2479C" w:rsidRDefault="00B2479C" w:rsidP="00B2479C">
      <w:pPr>
        <w:pStyle w:val="NoSpacing"/>
        <w:numPr>
          <w:ilvl w:val="0"/>
          <w:numId w:val="11"/>
        </w:numPr>
        <w:spacing w:line="360" w:lineRule="auto"/>
        <w:rPr>
          <w:sz w:val="24"/>
          <w:szCs w:val="24"/>
        </w:rPr>
      </w:pPr>
      <w:r>
        <w:rPr>
          <w:sz w:val="24"/>
          <w:szCs w:val="24"/>
        </w:rPr>
        <w:t>Applied Frameworks (PRISMA, CIMO, CASP): I learned how to process a large pile of articles and turn them into an organized, critically appraised literature review.</w:t>
      </w:r>
    </w:p>
    <w:p w14:paraId="28A37B5D" w14:textId="77777777" w:rsidR="00B2479C" w:rsidRDefault="00B2479C" w:rsidP="00B2479C">
      <w:pPr>
        <w:pStyle w:val="NoSpacing"/>
        <w:numPr>
          <w:ilvl w:val="0"/>
          <w:numId w:val="11"/>
        </w:numPr>
        <w:spacing w:line="360" w:lineRule="auto"/>
        <w:rPr>
          <w:sz w:val="24"/>
          <w:szCs w:val="24"/>
        </w:rPr>
      </w:pPr>
      <w:r>
        <w:rPr>
          <w:sz w:val="24"/>
          <w:szCs w:val="24"/>
        </w:rPr>
        <w:t>Clarity on the Research Topic: Using CIMO helped me show why rural entrepreneurs need both financial support and skills training to build lasting businesses.</w:t>
      </w:r>
    </w:p>
    <w:p w14:paraId="22C06512" w14:textId="406841F6" w:rsidR="00B2479C" w:rsidRDefault="00B2479C" w:rsidP="00B2479C">
      <w:pPr>
        <w:pStyle w:val="NoSpacing"/>
        <w:numPr>
          <w:ilvl w:val="0"/>
          <w:numId w:val="11"/>
        </w:numPr>
        <w:spacing w:line="360" w:lineRule="auto"/>
        <w:rPr>
          <w:sz w:val="24"/>
          <w:szCs w:val="24"/>
        </w:rPr>
      </w:pPr>
      <w:r>
        <w:rPr>
          <w:sz w:val="24"/>
          <w:szCs w:val="24"/>
        </w:rPr>
        <w:t xml:space="preserve">Value of Collaboration: Working closely with </w:t>
      </w:r>
      <w:r w:rsidR="00316219">
        <w:rPr>
          <w:sz w:val="24"/>
          <w:szCs w:val="24"/>
        </w:rPr>
        <w:t xml:space="preserve">Prof </w:t>
      </w:r>
      <w:r>
        <w:rPr>
          <w:sz w:val="24"/>
          <w:szCs w:val="24"/>
        </w:rPr>
        <w:t xml:space="preserve">. </w:t>
      </w:r>
      <w:r w:rsidR="00316219">
        <w:rPr>
          <w:sz w:val="24"/>
          <w:szCs w:val="24"/>
        </w:rPr>
        <w:t xml:space="preserve"> Dr </w:t>
      </w:r>
      <w:r>
        <w:rPr>
          <w:sz w:val="24"/>
          <w:szCs w:val="24"/>
        </w:rPr>
        <w:t>Eno Mayco</w:t>
      </w:r>
      <w:r w:rsidR="00C8546C">
        <w:rPr>
          <w:sz w:val="24"/>
          <w:szCs w:val="24"/>
        </w:rPr>
        <w:t>c</w:t>
      </w:r>
      <w:r>
        <w:rPr>
          <w:sz w:val="24"/>
          <w:szCs w:val="24"/>
        </w:rPr>
        <w:t>k and getting help from Monaf showed me how important is support when things get tough.</w:t>
      </w:r>
    </w:p>
    <w:p w14:paraId="49F2258D" w14:textId="77777777" w:rsidR="00B2479C" w:rsidRDefault="00B2479C" w:rsidP="00B2479C">
      <w:pPr>
        <w:pStyle w:val="NoSpacing"/>
        <w:spacing w:line="360" w:lineRule="auto"/>
        <w:rPr>
          <w:sz w:val="24"/>
          <w:szCs w:val="24"/>
        </w:rPr>
      </w:pPr>
    </w:p>
    <w:p w14:paraId="69976D09" w14:textId="77777777" w:rsidR="00B2479C" w:rsidRDefault="00B2479C" w:rsidP="00B2479C">
      <w:pPr>
        <w:pStyle w:val="NoSpacing"/>
        <w:spacing w:line="360" w:lineRule="auto"/>
        <w:rPr>
          <w:sz w:val="24"/>
          <w:szCs w:val="24"/>
        </w:rPr>
      </w:pPr>
      <w:r>
        <w:rPr>
          <w:sz w:val="24"/>
          <w:szCs w:val="24"/>
        </w:rPr>
        <w:t xml:space="preserve"> Difficulties Faced:</w:t>
      </w:r>
    </w:p>
    <w:p w14:paraId="713ED1CD" w14:textId="77777777" w:rsidR="00B2479C" w:rsidRDefault="00B2479C" w:rsidP="00B2479C">
      <w:pPr>
        <w:pStyle w:val="NoSpacing"/>
        <w:numPr>
          <w:ilvl w:val="0"/>
          <w:numId w:val="12"/>
        </w:numPr>
        <w:spacing w:line="360" w:lineRule="auto"/>
        <w:rPr>
          <w:sz w:val="24"/>
          <w:szCs w:val="24"/>
        </w:rPr>
      </w:pPr>
      <w:r>
        <w:rPr>
          <w:sz w:val="24"/>
          <w:szCs w:val="24"/>
        </w:rPr>
        <w:t>Catching Up While Recovering: Reading through dense academic papers to make up for three missed weeks while still getting my energy back was tough.</w:t>
      </w:r>
    </w:p>
    <w:p w14:paraId="12039605" w14:textId="77777777" w:rsidR="00B2479C" w:rsidRDefault="00B2479C" w:rsidP="00B2479C">
      <w:pPr>
        <w:pStyle w:val="NoSpacing"/>
        <w:numPr>
          <w:ilvl w:val="0"/>
          <w:numId w:val="12"/>
        </w:numPr>
        <w:spacing w:line="360" w:lineRule="auto"/>
        <w:rPr>
          <w:sz w:val="24"/>
          <w:szCs w:val="24"/>
        </w:rPr>
      </w:pPr>
      <w:r>
        <w:rPr>
          <w:sz w:val="24"/>
          <w:szCs w:val="24"/>
        </w:rPr>
        <w:t>Synthesizing Findings: Combining dozens of different studies into one coherent narrative through the CIMO lens took a lot of revision and effort.</w:t>
      </w:r>
    </w:p>
    <w:p w14:paraId="2E9EEAB3" w14:textId="77777777" w:rsidR="00B2479C" w:rsidRDefault="00B2479C" w:rsidP="00B2479C">
      <w:pPr>
        <w:pStyle w:val="NoSpacing"/>
        <w:spacing w:line="360" w:lineRule="auto"/>
        <w:rPr>
          <w:sz w:val="24"/>
          <w:szCs w:val="24"/>
        </w:rPr>
      </w:pPr>
    </w:p>
    <w:p w14:paraId="219EA74D" w14:textId="77777777" w:rsidR="00B2479C" w:rsidRDefault="00B2479C" w:rsidP="00B2479C">
      <w:pPr>
        <w:pStyle w:val="NoSpacing"/>
        <w:spacing w:line="360" w:lineRule="auto"/>
        <w:rPr>
          <w:sz w:val="24"/>
          <w:szCs w:val="24"/>
        </w:rPr>
      </w:pPr>
      <w:r>
        <w:rPr>
          <w:sz w:val="24"/>
          <w:szCs w:val="24"/>
        </w:rPr>
        <w:t xml:space="preserve"> Core Takeaways:</w:t>
      </w:r>
    </w:p>
    <w:p w14:paraId="5E84F961" w14:textId="77777777" w:rsidR="00B2479C" w:rsidRDefault="00B2479C" w:rsidP="00B2479C">
      <w:pPr>
        <w:pStyle w:val="NoSpacing"/>
        <w:spacing w:line="360" w:lineRule="auto"/>
        <w:rPr>
          <w:sz w:val="24"/>
          <w:szCs w:val="24"/>
        </w:rPr>
      </w:pPr>
      <w:r>
        <w:rPr>
          <w:sz w:val="24"/>
          <w:szCs w:val="24"/>
        </w:rPr>
        <w:t>1. Critical Reading: I no longer read papers passively. CASP taught me to look at methodologies and evidence before accepting conclusions.</w:t>
      </w:r>
    </w:p>
    <w:p w14:paraId="2E5FF839" w14:textId="77777777" w:rsidR="00B2479C" w:rsidRDefault="00B2479C" w:rsidP="00B2479C">
      <w:pPr>
        <w:pStyle w:val="NoSpacing"/>
        <w:spacing w:line="360" w:lineRule="auto"/>
        <w:rPr>
          <w:sz w:val="24"/>
          <w:szCs w:val="24"/>
        </w:rPr>
      </w:pPr>
      <w:r>
        <w:rPr>
          <w:sz w:val="24"/>
          <w:szCs w:val="24"/>
        </w:rPr>
        <w:t>2. Handling Setbacks: Falling sick mid-term taught me how to adjust my study schedule, break tasks down, and stay focused under pressure.</w:t>
      </w:r>
    </w:p>
    <w:p w14:paraId="32C27175" w14:textId="6AD606F4" w:rsidR="00B2479C" w:rsidRDefault="00B2479C" w:rsidP="00B2479C">
      <w:pPr>
        <w:pStyle w:val="NoSpacing"/>
        <w:spacing w:line="360" w:lineRule="auto"/>
        <w:rPr>
          <w:sz w:val="24"/>
          <w:szCs w:val="24"/>
        </w:rPr>
      </w:pPr>
      <w:r>
        <w:rPr>
          <w:sz w:val="24"/>
          <w:szCs w:val="24"/>
        </w:rPr>
        <w:t xml:space="preserve">3. Reaching Out for Help: I realized that DBA research does not have to be done in total isolation. Communicating early with teachers like </w:t>
      </w:r>
      <w:r w:rsidR="00316219">
        <w:rPr>
          <w:sz w:val="24"/>
          <w:szCs w:val="24"/>
        </w:rPr>
        <w:t>Prof</w:t>
      </w:r>
      <w:r>
        <w:rPr>
          <w:sz w:val="24"/>
          <w:szCs w:val="24"/>
        </w:rPr>
        <w:t>.</w:t>
      </w:r>
      <w:r w:rsidR="00316219">
        <w:rPr>
          <w:sz w:val="24"/>
          <w:szCs w:val="24"/>
        </w:rPr>
        <w:t xml:space="preserve"> Dr </w:t>
      </w:r>
      <w:r>
        <w:rPr>
          <w:sz w:val="24"/>
          <w:szCs w:val="24"/>
        </w:rPr>
        <w:t>Eno Mayco</w:t>
      </w:r>
      <w:r w:rsidR="00C8546C">
        <w:rPr>
          <w:sz w:val="24"/>
          <w:szCs w:val="24"/>
        </w:rPr>
        <w:t>c</w:t>
      </w:r>
      <w:r>
        <w:rPr>
          <w:sz w:val="24"/>
          <w:szCs w:val="24"/>
        </w:rPr>
        <w:t>k and classmates like Monaf makes big challenges much easier to handle.</w:t>
      </w:r>
    </w:p>
    <w:p w14:paraId="68876BAB" w14:textId="5FB8E452" w:rsidR="00B2479C" w:rsidRPr="00C8546C" w:rsidRDefault="00B2479C" w:rsidP="00B2479C">
      <w:pPr>
        <w:pStyle w:val="NoSpacing"/>
        <w:spacing w:line="360" w:lineRule="auto"/>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8546C"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Action Plan for Future Projects</w:t>
      </w:r>
    </w:p>
    <w:p w14:paraId="2E3A7AFB" w14:textId="77777777" w:rsidR="00B2479C" w:rsidRDefault="00B2479C" w:rsidP="00B2479C">
      <w:pPr>
        <w:pStyle w:val="NoSpacing"/>
        <w:spacing w:line="360" w:lineRule="auto"/>
        <w:rPr>
          <w:sz w:val="24"/>
          <w:szCs w:val="24"/>
        </w:rPr>
      </w:pPr>
      <w:r>
        <w:rPr>
          <w:sz w:val="24"/>
          <w:szCs w:val="24"/>
        </w:rPr>
        <w:t>For my future DBA modules and final dissertation, I plan to apply these lessons:</w:t>
      </w:r>
    </w:p>
    <w:p w14:paraId="148CAC54" w14:textId="77777777" w:rsidR="00B2479C" w:rsidRDefault="00B2479C" w:rsidP="00B2479C">
      <w:pPr>
        <w:pStyle w:val="NoSpacing"/>
        <w:spacing w:line="360" w:lineRule="auto"/>
        <w:rPr>
          <w:sz w:val="24"/>
          <w:szCs w:val="24"/>
        </w:rPr>
      </w:pPr>
      <w:r>
        <w:rPr>
          <w:sz w:val="24"/>
          <w:szCs w:val="24"/>
        </w:rPr>
        <w:lastRenderedPageBreak/>
        <w:t>Use PRISMA, CIMO, and CASP: I will keep using PRISMA for searching, CIMO for structuring business insights, and CASP for quality checks in future literature reviews.</w:t>
      </w:r>
    </w:p>
    <w:p w14:paraId="73BBCE61" w14:textId="77777777" w:rsidR="00B2479C" w:rsidRDefault="00B2479C" w:rsidP="00B2479C">
      <w:pPr>
        <w:pStyle w:val="NoSpacing"/>
        <w:spacing w:line="360" w:lineRule="auto"/>
        <w:rPr>
          <w:sz w:val="24"/>
          <w:szCs w:val="24"/>
        </w:rPr>
      </w:pPr>
      <w:r>
        <w:rPr>
          <w:sz w:val="24"/>
          <w:szCs w:val="24"/>
        </w:rPr>
        <w:t xml:space="preserve"> Build Extra Time Buffers: To avoid stress from sudden illness or unexpected life events, I will aim to set my personal deadlines at least ten days before the official university submission dates.</w:t>
      </w:r>
    </w:p>
    <w:p w14:paraId="06E96477" w14:textId="6E1C7ACE" w:rsidR="00B2479C" w:rsidRDefault="00B2479C" w:rsidP="00B2479C">
      <w:pPr>
        <w:pStyle w:val="NoSpacing"/>
        <w:spacing w:line="360" w:lineRule="auto"/>
        <w:rPr>
          <w:sz w:val="24"/>
          <w:szCs w:val="24"/>
        </w:rPr>
      </w:pPr>
      <w:r>
        <w:rPr>
          <w:sz w:val="24"/>
          <w:szCs w:val="24"/>
        </w:rPr>
        <w:t>Stay in Regular Touch with Peers and Tutors: I learned that checking in early with lecturers like</w:t>
      </w:r>
      <w:r w:rsidR="00316219">
        <w:rPr>
          <w:sz w:val="24"/>
          <w:szCs w:val="24"/>
        </w:rPr>
        <w:t xml:space="preserve"> Prof DR</w:t>
      </w:r>
      <w:r>
        <w:rPr>
          <w:sz w:val="24"/>
          <w:szCs w:val="24"/>
        </w:rPr>
        <w:t>. Eno Mayco</w:t>
      </w:r>
      <w:r w:rsidR="00C8546C">
        <w:rPr>
          <w:sz w:val="24"/>
          <w:szCs w:val="24"/>
        </w:rPr>
        <w:t>c</w:t>
      </w:r>
      <w:r>
        <w:rPr>
          <w:sz w:val="24"/>
          <w:szCs w:val="24"/>
        </w:rPr>
        <w:t>k and study partners like Monaf saves a lot of time and prevents unnecessary confusion.</w:t>
      </w:r>
    </w:p>
    <w:p w14:paraId="42BFDB35" w14:textId="77777777" w:rsidR="00B2479C" w:rsidRDefault="00B2479C" w:rsidP="00B2479C">
      <w:pPr>
        <w:pStyle w:val="NoSpacing"/>
        <w:spacing w:line="360" w:lineRule="auto"/>
        <w:rPr>
          <w:sz w:val="24"/>
          <w:szCs w:val="24"/>
        </w:rPr>
      </w:pPr>
      <w:r>
        <w:rPr>
          <w:sz w:val="24"/>
          <w:szCs w:val="24"/>
        </w:rPr>
        <w:t xml:space="preserve"> Design Practical Output: For my final dissertation, I want to use CIMO to build a simple, practical guide that NGOs, local microfinance banks, and policymakers can actually use to support rural businesses.</w:t>
      </w:r>
    </w:p>
    <w:p w14:paraId="55496003" w14:textId="77B4B695" w:rsidR="00B2479C" w:rsidRPr="00C8546C" w:rsidRDefault="00B2479C" w:rsidP="00B2479C">
      <w:pPr>
        <w:pStyle w:val="NoSpacing"/>
        <w:spacing w:line="360" w:lineRule="auto"/>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8546C"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Pr="00C8546C">
        <w:rPr>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Conclusion</w:t>
      </w:r>
    </w:p>
    <w:p w14:paraId="7AF5322C" w14:textId="77777777" w:rsidR="00B2479C" w:rsidRDefault="00B2479C" w:rsidP="00B2479C">
      <w:pPr>
        <w:pStyle w:val="NoSpacing"/>
        <w:spacing w:line="360" w:lineRule="auto"/>
        <w:rPr>
          <w:sz w:val="24"/>
          <w:szCs w:val="24"/>
        </w:rPr>
      </w:pPr>
      <w:r>
        <w:rPr>
          <w:sz w:val="24"/>
          <w:szCs w:val="24"/>
        </w:rPr>
        <w:t>The module "Converting Research into Practice" was a challenging but rewarding process. It tested my academic abilities and my ability to handle unexpected disruptions.</w:t>
      </w:r>
    </w:p>
    <w:p w14:paraId="2B92AF15" w14:textId="77777777" w:rsidR="00B2479C" w:rsidRDefault="00B2479C" w:rsidP="00B2479C">
      <w:pPr>
        <w:pStyle w:val="NoSpacing"/>
        <w:spacing w:line="360" w:lineRule="auto"/>
        <w:rPr>
          <w:sz w:val="24"/>
          <w:szCs w:val="24"/>
        </w:rPr>
      </w:pPr>
      <w:r>
        <w:rPr>
          <w:sz w:val="24"/>
          <w:szCs w:val="24"/>
        </w:rPr>
        <w:t xml:space="preserve">Writing a 6,500-word proposal on rural entrepreneurship, microcredit, and business training gave me a much clearer understanding of practical economic development. More than that, dealing with illness and missing three key classes showed me the real value of a supportive environment. </w:t>
      </w:r>
    </w:p>
    <w:p w14:paraId="35537E17" w14:textId="71D4A16C" w:rsidR="00B2479C" w:rsidRDefault="00B2479C" w:rsidP="00B2479C">
      <w:pPr>
        <w:pStyle w:val="NoSpacing"/>
        <w:spacing w:line="360" w:lineRule="auto"/>
        <w:rPr>
          <w:sz w:val="24"/>
          <w:szCs w:val="24"/>
        </w:rPr>
      </w:pPr>
      <w:r>
        <w:rPr>
          <w:sz w:val="24"/>
          <w:szCs w:val="24"/>
        </w:rPr>
        <w:t xml:space="preserve">Thanks to the guidance from </w:t>
      </w:r>
      <w:r w:rsidR="00316219">
        <w:rPr>
          <w:sz w:val="24"/>
          <w:szCs w:val="24"/>
        </w:rPr>
        <w:t>Prof</w:t>
      </w:r>
      <w:r>
        <w:rPr>
          <w:sz w:val="24"/>
          <w:szCs w:val="24"/>
        </w:rPr>
        <w:t>.</w:t>
      </w:r>
      <w:r w:rsidR="00316219">
        <w:rPr>
          <w:sz w:val="24"/>
          <w:szCs w:val="24"/>
        </w:rPr>
        <w:t xml:space="preserve"> Dr</w:t>
      </w:r>
      <w:r>
        <w:rPr>
          <w:sz w:val="24"/>
          <w:szCs w:val="24"/>
        </w:rPr>
        <w:t xml:space="preserve"> Eno Mayco</w:t>
      </w:r>
      <w:r w:rsidR="00C8546C">
        <w:rPr>
          <w:sz w:val="24"/>
          <w:szCs w:val="24"/>
        </w:rPr>
        <w:t>c</w:t>
      </w:r>
      <w:r>
        <w:rPr>
          <w:sz w:val="24"/>
          <w:szCs w:val="24"/>
        </w:rPr>
        <w:t>k, the help from my classmate Monaf, and structured methods like PRISMA, CIMO, and CASP, I managed to pull things together and deliver a solid proposal. I am leaving this module with better research habits, more confidence, and a clearer plan for the rest of my DBA degree.</w:t>
      </w:r>
    </w:p>
    <w:p w14:paraId="35A05744" w14:textId="77777777" w:rsidR="00C80D20" w:rsidRDefault="00C80D20"/>
    <w:sectPr w:rsidR="00C80D20">
      <w:pgSz w:w="16838" w:h="11906" w:orient="landscape"/>
      <w:pgMar w:top="720" w:right="576" w:bottom="720" w:left="576"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BE863" w14:textId="77777777" w:rsidR="006C7F2A" w:rsidRDefault="006C7F2A">
      <w:r>
        <w:separator/>
      </w:r>
    </w:p>
  </w:endnote>
  <w:endnote w:type="continuationSeparator" w:id="0">
    <w:p w14:paraId="0319DB7A" w14:textId="77777777" w:rsidR="006C7F2A" w:rsidRDefault="006C7F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4397F" w14:textId="77777777" w:rsidR="00DD6F8B" w:rsidRDefault="006C7F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17DE59" w14:textId="77777777" w:rsidR="00DD6F8B" w:rsidRDefault="006C7F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3C98F" w14:textId="77777777" w:rsidR="00DD6F8B" w:rsidRDefault="006C7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19B30" w14:textId="77777777" w:rsidR="006C7F2A" w:rsidRDefault="006C7F2A">
      <w:r>
        <w:separator/>
      </w:r>
    </w:p>
  </w:footnote>
  <w:footnote w:type="continuationSeparator" w:id="0">
    <w:p w14:paraId="313430C7" w14:textId="77777777" w:rsidR="006C7F2A" w:rsidRDefault="006C7F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67111" w14:textId="77777777" w:rsidR="00DD6F8B" w:rsidRDefault="006C7F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6A302" w14:textId="77777777" w:rsidR="00DD6F8B" w:rsidRDefault="006C7F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F3B42" w14:textId="77777777" w:rsidR="00DD6F8B" w:rsidRDefault="006C7F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A2C2D"/>
    <w:multiLevelType w:val="hybridMultilevel"/>
    <w:tmpl w:val="BB505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94059C"/>
    <w:multiLevelType w:val="hybridMultilevel"/>
    <w:tmpl w:val="7F963EA6"/>
    <w:lvl w:ilvl="0" w:tplc="0809000F">
      <w:start w:val="1"/>
      <w:numFmt w:val="decimal"/>
      <w:lvlText w:val="%1."/>
      <w:lvlJc w:val="left"/>
      <w:pPr>
        <w:ind w:left="770" w:hanging="360"/>
      </w:pPr>
    </w:lvl>
    <w:lvl w:ilvl="1" w:tplc="08090019">
      <w:start w:val="1"/>
      <w:numFmt w:val="lowerLetter"/>
      <w:lvlText w:val="%2."/>
      <w:lvlJc w:val="left"/>
      <w:pPr>
        <w:ind w:left="1490" w:hanging="360"/>
      </w:pPr>
    </w:lvl>
    <w:lvl w:ilvl="2" w:tplc="0809001B">
      <w:start w:val="1"/>
      <w:numFmt w:val="lowerRoman"/>
      <w:lvlText w:val="%3."/>
      <w:lvlJc w:val="right"/>
      <w:pPr>
        <w:ind w:left="2210" w:hanging="180"/>
      </w:pPr>
    </w:lvl>
    <w:lvl w:ilvl="3" w:tplc="0809000F">
      <w:start w:val="1"/>
      <w:numFmt w:val="decimal"/>
      <w:lvlText w:val="%4."/>
      <w:lvlJc w:val="left"/>
      <w:pPr>
        <w:ind w:left="2930" w:hanging="360"/>
      </w:pPr>
    </w:lvl>
    <w:lvl w:ilvl="4" w:tplc="08090019">
      <w:start w:val="1"/>
      <w:numFmt w:val="lowerLetter"/>
      <w:lvlText w:val="%5."/>
      <w:lvlJc w:val="left"/>
      <w:pPr>
        <w:ind w:left="3650" w:hanging="360"/>
      </w:pPr>
    </w:lvl>
    <w:lvl w:ilvl="5" w:tplc="0809001B">
      <w:start w:val="1"/>
      <w:numFmt w:val="lowerRoman"/>
      <w:lvlText w:val="%6."/>
      <w:lvlJc w:val="right"/>
      <w:pPr>
        <w:ind w:left="4370" w:hanging="180"/>
      </w:pPr>
    </w:lvl>
    <w:lvl w:ilvl="6" w:tplc="0809000F">
      <w:start w:val="1"/>
      <w:numFmt w:val="decimal"/>
      <w:lvlText w:val="%7."/>
      <w:lvlJc w:val="left"/>
      <w:pPr>
        <w:ind w:left="5090" w:hanging="360"/>
      </w:pPr>
    </w:lvl>
    <w:lvl w:ilvl="7" w:tplc="08090019">
      <w:start w:val="1"/>
      <w:numFmt w:val="lowerLetter"/>
      <w:lvlText w:val="%8."/>
      <w:lvlJc w:val="left"/>
      <w:pPr>
        <w:ind w:left="5810" w:hanging="360"/>
      </w:pPr>
    </w:lvl>
    <w:lvl w:ilvl="8" w:tplc="0809001B">
      <w:start w:val="1"/>
      <w:numFmt w:val="lowerRoman"/>
      <w:lvlText w:val="%9."/>
      <w:lvlJc w:val="right"/>
      <w:pPr>
        <w:ind w:left="6530" w:hanging="180"/>
      </w:pPr>
    </w:lvl>
  </w:abstractNum>
  <w:abstractNum w:abstractNumId="2" w15:restartNumberingAfterBreak="0">
    <w:nsid w:val="1B536C9F"/>
    <w:multiLevelType w:val="multilevel"/>
    <w:tmpl w:val="9E56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510A46"/>
    <w:multiLevelType w:val="hybridMultilevel"/>
    <w:tmpl w:val="ADF8B69A"/>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4" w15:restartNumberingAfterBreak="0">
    <w:nsid w:val="36B04A32"/>
    <w:multiLevelType w:val="hybridMultilevel"/>
    <w:tmpl w:val="4016EF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90C3746"/>
    <w:multiLevelType w:val="hybridMultilevel"/>
    <w:tmpl w:val="86944EA2"/>
    <w:lvl w:ilvl="0" w:tplc="F2B84160">
      <w:start w:val="1"/>
      <w:numFmt w:val="bullet"/>
      <w:lvlText w:val="●"/>
      <w:lvlJc w:val="left"/>
      <w:pPr>
        <w:ind w:left="720" w:hanging="360"/>
      </w:pPr>
    </w:lvl>
    <w:lvl w:ilvl="1" w:tplc="7A021EA2">
      <w:start w:val="1"/>
      <w:numFmt w:val="bullet"/>
      <w:lvlText w:val="○"/>
      <w:lvlJc w:val="left"/>
      <w:pPr>
        <w:ind w:left="1440" w:hanging="360"/>
      </w:pPr>
    </w:lvl>
    <w:lvl w:ilvl="2" w:tplc="AE8A6B88">
      <w:start w:val="1"/>
      <w:numFmt w:val="bullet"/>
      <w:lvlText w:val="■"/>
      <w:lvlJc w:val="left"/>
      <w:pPr>
        <w:ind w:left="2160" w:hanging="360"/>
      </w:pPr>
    </w:lvl>
    <w:lvl w:ilvl="3" w:tplc="9F1C9428">
      <w:start w:val="1"/>
      <w:numFmt w:val="bullet"/>
      <w:lvlText w:val="●"/>
      <w:lvlJc w:val="left"/>
      <w:pPr>
        <w:ind w:left="2880" w:hanging="360"/>
      </w:pPr>
    </w:lvl>
    <w:lvl w:ilvl="4" w:tplc="329C0962">
      <w:start w:val="1"/>
      <w:numFmt w:val="bullet"/>
      <w:lvlText w:val="○"/>
      <w:lvlJc w:val="left"/>
      <w:pPr>
        <w:ind w:left="3600" w:hanging="360"/>
      </w:pPr>
    </w:lvl>
    <w:lvl w:ilvl="5" w:tplc="5A200206">
      <w:start w:val="1"/>
      <w:numFmt w:val="bullet"/>
      <w:lvlText w:val="■"/>
      <w:lvlJc w:val="left"/>
      <w:pPr>
        <w:ind w:left="4320" w:hanging="360"/>
      </w:pPr>
    </w:lvl>
    <w:lvl w:ilvl="6" w:tplc="DAE05642">
      <w:start w:val="1"/>
      <w:numFmt w:val="bullet"/>
      <w:lvlText w:val="●"/>
      <w:lvlJc w:val="left"/>
      <w:pPr>
        <w:ind w:left="5040" w:hanging="360"/>
      </w:pPr>
    </w:lvl>
    <w:lvl w:ilvl="7" w:tplc="760668AA">
      <w:start w:val="1"/>
      <w:numFmt w:val="bullet"/>
      <w:lvlText w:val="●"/>
      <w:lvlJc w:val="left"/>
      <w:pPr>
        <w:ind w:left="5760" w:hanging="360"/>
      </w:pPr>
    </w:lvl>
    <w:lvl w:ilvl="8" w:tplc="A8EE25A4">
      <w:start w:val="1"/>
      <w:numFmt w:val="bullet"/>
      <w:lvlText w:val="●"/>
      <w:lvlJc w:val="left"/>
      <w:pPr>
        <w:ind w:left="6480" w:hanging="360"/>
      </w:pPr>
    </w:lvl>
  </w:abstractNum>
  <w:abstractNum w:abstractNumId="6" w15:restartNumberingAfterBreak="0">
    <w:nsid w:val="3F8C14E1"/>
    <w:multiLevelType w:val="hybridMultilevel"/>
    <w:tmpl w:val="523AE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E25CCF"/>
    <w:multiLevelType w:val="hybridMultilevel"/>
    <w:tmpl w:val="5A74ACC4"/>
    <w:lvl w:ilvl="0" w:tplc="57CEFCA4">
      <w:start w:val="1"/>
      <w:numFmt w:val="bullet"/>
      <w:lvlText w:val="•"/>
      <w:lvlJc w:val="left"/>
      <w:pPr>
        <w:ind w:left="504" w:hanging="288"/>
      </w:pPr>
    </w:lvl>
    <w:lvl w:ilvl="1" w:tplc="D2C43D6E">
      <w:numFmt w:val="decimal"/>
      <w:lvlText w:val=""/>
      <w:lvlJc w:val="left"/>
    </w:lvl>
    <w:lvl w:ilvl="2" w:tplc="FE4E7B56">
      <w:numFmt w:val="decimal"/>
      <w:lvlText w:val=""/>
      <w:lvlJc w:val="left"/>
    </w:lvl>
    <w:lvl w:ilvl="3" w:tplc="EE8C279C">
      <w:numFmt w:val="decimal"/>
      <w:lvlText w:val=""/>
      <w:lvlJc w:val="left"/>
    </w:lvl>
    <w:lvl w:ilvl="4" w:tplc="031ED010">
      <w:numFmt w:val="decimal"/>
      <w:lvlText w:val=""/>
      <w:lvlJc w:val="left"/>
    </w:lvl>
    <w:lvl w:ilvl="5" w:tplc="8F60FDBA">
      <w:numFmt w:val="decimal"/>
      <w:lvlText w:val=""/>
      <w:lvlJc w:val="left"/>
    </w:lvl>
    <w:lvl w:ilvl="6" w:tplc="5AE80FD2">
      <w:numFmt w:val="decimal"/>
      <w:lvlText w:val=""/>
      <w:lvlJc w:val="left"/>
    </w:lvl>
    <w:lvl w:ilvl="7" w:tplc="2CEA8704">
      <w:numFmt w:val="decimal"/>
      <w:lvlText w:val=""/>
      <w:lvlJc w:val="left"/>
    </w:lvl>
    <w:lvl w:ilvl="8" w:tplc="1D14E5E0">
      <w:numFmt w:val="decimal"/>
      <w:lvlText w:val=""/>
      <w:lvlJc w:val="left"/>
    </w:lvl>
  </w:abstractNum>
  <w:abstractNum w:abstractNumId="8" w15:restartNumberingAfterBreak="0">
    <w:nsid w:val="5D75133D"/>
    <w:multiLevelType w:val="hybridMultilevel"/>
    <w:tmpl w:val="C79C5842"/>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9" w15:restartNumberingAfterBreak="0">
    <w:nsid w:val="66AE7250"/>
    <w:multiLevelType w:val="hybridMultilevel"/>
    <w:tmpl w:val="57E4195C"/>
    <w:lvl w:ilvl="0" w:tplc="1F6A854C">
      <w:start w:val="1"/>
      <w:numFmt w:val="bullet"/>
      <w:lvlText w:val="●"/>
      <w:lvlJc w:val="left"/>
      <w:pPr>
        <w:ind w:left="720" w:hanging="360"/>
      </w:pPr>
    </w:lvl>
    <w:lvl w:ilvl="1" w:tplc="4B906B14">
      <w:start w:val="1"/>
      <w:numFmt w:val="bullet"/>
      <w:lvlText w:val="○"/>
      <w:lvlJc w:val="left"/>
      <w:pPr>
        <w:ind w:left="1440" w:hanging="360"/>
      </w:pPr>
    </w:lvl>
    <w:lvl w:ilvl="2" w:tplc="4476B4DA">
      <w:start w:val="1"/>
      <w:numFmt w:val="bullet"/>
      <w:lvlText w:val="■"/>
      <w:lvlJc w:val="left"/>
      <w:pPr>
        <w:ind w:left="2160" w:hanging="360"/>
      </w:pPr>
    </w:lvl>
    <w:lvl w:ilvl="3" w:tplc="8910C1A8">
      <w:start w:val="1"/>
      <w:numFmt w:val="bullet"/>
      <w:lvlText w:val="●"/>
      <w:lvlJc w:val="left"/>
      <w:pPr>
        <w:ind w:left="2880" w:hanging="360"/>
      </w:pPr>
    </w:lvl>
    <w:lvl w:ilvl="4" w:tplc="CF02F626">
      <w:start w:val="1"/>
      <w:numFmt w:val="bullet"/>
      <w:lvlText w:val="○"/>
      <w:lvlJc w:val="left"/>
      <w:pPr>
        <w:ind w:left="3600" w:hanging="360"/>
      </w:pPr>
    </w:lvl>
    <w:lvl w:ilvl="5" w:tplc="9D86B564">
      <w:start w:val="1"/>
      <w:numFmt w:val="bullet"/>
      <w:lvlText w:val="■"/>
      <w:lvlJc w:val="left"/>
      <w:pPr>
        <w:ind w:left="4320" w:hanging="360"/>
      </w:pPr>
    </w:lvl>
    <w:lvl w:ilvl="6" w:tplc="2D52EA26">
      <w:start w:val="1"/>
      <w:numFmt w:val="bullet"/>
      <w:lvlText w:val="●"/>
      <w:lvlJc w:val="left"/>
      <w:pPr>
        <w:ind w:left="5040" w:hanging="360"/>
      </w:pPr>
    </w:lvl>
    <w:lvl w:ilvl="7" w:tplc="6E2E6A14">
      <w:start w:val="1"/>
      <w:numFmt w:val="bullet"/>
      <w:lvlText w:val="●"/>
      <w:lvlJc w:val="left"/>
      <w:pPr>
        <w:ind w:left="5760" w:hanging="360"/>
      </w:pPr>
    </w:lvl>
    <w:lvl w:ilvl="8" w:tplc="E976EAE4">
      <w:start w:val="1"/>
      <w:numFmt w:val="bullet"/>
      <w:lvlText w:val="●"/>
      <w:lvlJc w:val="left"/>
      <w:pPr>
        <w:ind w:left="6480" w:hanging="360"/>
      </w:pPr>
    </w:lvl>
  </w:abstractNum>
  <w:abstractNum w:abstractNumId="10" w15:restartNumberingAfterBreak="0">
    <w:nsid w:val="70DD0FA9"/>
    <w:multiLevelType w:val="multilevel"/>
    <w:tmpl w:val="D612286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9D366F4"/>
    <w:multiLevelType w:val="multilevel"/>
    <w:tmpl w:val="D85AA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lvlOverride w:ilvl="0">
      <w:startOverride w:val="1"/>
    </w:lvlOverride>
  </w:num>
  <w:num w:numId="2">
    <w:abstractNumId w:val="7"/>
    <w:lvlOverride w:ilvl="0">
      <w:startOverride w:val="1"/>
    </w:lvlOverride>
  </w:num>
  <w:num w:numId="3">
    <w:abstractNumId w:val="2"/>
  </w:num>
  <w:num w:numId="4">
    <w:abstractNumId w:val="10"/>
  </w:num>
  <w:num w:numId="5">
    <w:abstractNumId w:val="5"/>
    <w:lvlOverride w:ilvl="0">
      <w:startOverride w:val="1"/>
    </w:lvlOverride>
  </w:num>
  <w:num w:numId="6">
    <w:abstractNumId w:val="11"/>
  </w:num>
  <w:num w:numId="7">
    <w:abstractNumId w:val="6"/>
  </w:num>
  <w:num w:numId="8">
    <w:abstractNumId w:val="0"/>
  </w:num>
  <w:num w:numId="9">
    <w:abstractNumId w:val="4"/>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3979"/>
    <w:rsid w:val="00007291"/>
    <w:rsid w:val="0001265D"/>
    <w:rsid w:val="000370A9"/>
    <w:rsid w:val="00082D5E"/>
    <w:rsid w:val="00181311"/>
    <w:rsid w:val="001A6E28"/>
    <w:rsid w:val="002276A6"/>
    <w:rsid w:val="0023220B"/>
    <w:rsid w:val="00253979"/>
    <w:rsid w:val="002E7856"/>
    <w:rsid w:val="00307997"/>
    <w:rsid w:val="00316219"/>
    <w:rsid w:val="00333A49"/>
    <w:rsid w:val="00352EE3"/>
    <w:rsid w:val="003B4BE4"/>
    <w:rsid w:val="005204DF"/>
    <w:rsid w:val="00560D58"/>
    <w:rsid w:val="005C0D07"/>
    <w:rsid w:val="005C298D"/>
    <w:rsid w:val="00624BD6"/>
    <w:rsid w:val="00643676"/>
    <w:rsid w:val="00697701"/>
    <w:rsid w:val="006C4591"/>
    <w:rsid w:val="006C7F2A"/>
    <w:rsid w:val="0077629D"/>
    <w:rsid w:val="00791097"/>
    <w:rsid w:val="007D294F"/>
    <w:rsid w:val="008A7F2C"/>
    <w:rsid w:val="00941F61"/>
    <w:rsid w:val="009A7427"/>
    <w:rsid w:val="00A428CB"/>
    <w:rsid w:val="00A61BCB"/>
    <w:rsid w:val="00AE4BDA"/>
    <w:rsid w:val="00B1441E"/>
    <w:rsid w:val="00B2479C"/>
    <w:rsid w:val="00B62E7D"/>
    <w:rsid w:val="00B75155"/>
    <w:rsid w:val="00B85ECE"/>
    <w:rsid w:val="00BD7565"/>
    <w:rsid w:val="00BE33A8"/>
    <w:rsid w:val="00BF648E"/>
    <w:rsid w:val="00C80D20"/>
    <w:rsid w:val="00C8546C"/>
    <w:rsid w:val="00E51EB4"/>
    <w:rsid w:val="00EF5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97492"/>
  <w15:docId w15:val="{8B7E9C39-D9CF-4E82-AB98-9A6DB9F22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unhideWhenUsed/>
    <w:rsid w:val="00624BD6"/>
    <w:pPr>
      <w:spacing w:before="100" w:beforeAutospacing="1" w:after="100" w:afterAutospacing="1"/>
    </w:pPr>
    <w:rPr>
      <w:sz w:val="24"/>
      <w:szCs w:val="24"/>
    </w:rPr>
  </w:style>
  <w:style w:type="character" w:styleId="HTMLCode">
    <w:name w:val="HTML Code"/>
    <w:basedOn w:val="DefaultParagraphFont"/>
    <w:uiPriority w:val="99"/>
    <w:semiHidden/>
    <w:unhideWhenUsed/>
    <w:rsid w:val="00624BD6"/>
    <w:rPr>
      <w:rFonts w:ascii="Courier New" w:eastAsia="Times New Roman" w:hAnsi="Courier New" w:cs="Courier New"/>
      <w:sz w:val="20"/>
      <w:szCs w:val="20"/>
    </w:rPr>
  </w:style>
  <w:style w:type="character" w:customStyle="1" w:styleId="citation-165">
    <w:name w:val="citation-165"/>
    <w:basedOn w:val="DefaultParagraphFont"/>
    <w:rsid w:val="00624BD6"/>
  </w:style>
  <w:style w:type="character" w:customStyle="1" w:styleId="citation-164">
    <w:name w:val="citation-164"/>
    <w:basedOn w:val="DefaultParagraphFont"/>
    <w:rsid w:val="00624BD6"/>
  </w:style>
  <w:style w:type="character" w:customStyle="1" w:styleId="citation-163">
    <w:name w:val="citation-163"/>
    <w:basedOn w:val="DefaultParagraphFont"/>
    <w:rsid w:val="00624BD6"/>
  </w:style>
  <w:style w:type="paragraph" w:styleId="Header">
    <w:name w:val="header"/>
    <w:basedOn w:val="Normal"/>
    <w:link w:val="HeaderChar"/>
    <w:uiPriority w:val="99"/>
    <w:unhideWhenUsed/>
    <w:rsid w:val="00791097"/>
    <w:pPr>
      <w:tabs>
        <w:tab w:val="center" w:pos="4513"/>
        <w:tab w:val="right" w:pos="9026"/>
      </w:tabs>
    </w:pPr>
  </w:style>
  <w:style w:type="character" w:customStyle="1" w:styleId="HeaderChar">
    <w:name w:val="Header Char"/>
    <w:basedOn w:val="DefaultParagraphFont"/>
    <w:link w:val="Header"/>
    <w:uiPriority w:val="99"/>
    <w:rsid w:val="00791097"/>
  </w:style>
  <w:style w:type="paragraph" w:styleId="Footer">
    <w:name w:val="footer"/>
    <w:basedOn w:val="Normal"/>
    <w:link w:val="FooterChar"/>
    <w:uiPriority w:val="99"/>
    <w:unhideWhenUsed/>
    <w:rsid w:val="00791097"/>
    <w:pPr>
      <w:tabs>
        <w:tab w:val="center" w:pos="4513"/>
        <w:tab w:val="right" w:pos="9026"/>
      </w:tabs>
    </w:pPr>
  </w:style>
  <w:style w:type="character" w:customStyle="1" w:styleId="FooterChar">
    <w:name w:val="Footer Char"/>
    <w:basedOn w:val="DefaultParagraphFont"/>
    <w:link w:val="Footer"/>
    <w:uiPriority w:val="99"/>
    <w:rsid w:val="00791097"/>
  </w:style>
  <w:style w:type="paragraph" w:styleId="NoSpacing">
    <w:name w:val="No Spacing"/>
    <w:uiPriority w:val="1"/>
    <w:qFormat/>
    <w:rsid w:val="009A7427"/>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526419">
      <w:bodyDiv w:val="1"/>
      <w:marLeft w:val="0"/>
      <w:marRight w:val="0"/>
      <w:marTop w:val="0"/>
      <w:marBottom w:val="0"/>
      <w:divBdr>
        <w:top w:val="none" w:sz="0" w:space="0" w:color="auto"/>
        <w:left w:val="none" w:sz="0" w:space="0" w:color="auto"/>
        <w:bottom w:val="none" w:sz="0" w:space="0" w:color="auto"/>
        <w:right w:val="none" w:sz="0" w:space="0" w:color="auto"/>
      </w:divBdr>
    </w:div>
    <w:div w:id="1026101190">
      <w:bodyDiv w:val="1"/>
      <w:marLeft w:val="0"/>
      <w:marRight w:val="0"/>
      <w:marTop w:val="0"/>
      <w:marBottom w:val="0"/>
      <w:divBdr>
        <w:top w:val="none" w:sz="0" w:space="0" w:color="auto"/>
        <w:left w:val="none" w:sz="0" w:space="0" w:color="auto"/>
        <w:bottom w:val="none" w:sz="0" w:space="0" w:color="auto"/>
        <w:right w:val="none" w:sz="0" w:space="0" w:color="auto"/>
      </w:divBdr>
    </w:div>
    <w:div w:id="1086225005">
      <w:bodyDiv w:val="1"/>
      <w:marLeft w:val="0"/>
      <w:marRight w:val="0"/>
      <w:marTop w:val="0"/>
      <w:marBottom w:val="0"/>
      <w:divBdr>
        <w:top w:val="none" w:sz="0" w:space="0" w:color="auto"/>
        <w:left w:val="none" w:sz="0" w:space="0" w:color="auto"/>
        <w:bottom w:val="none" w:sz="0" w:space="0" w:color="auto"/>
        <w:right w:val="none" w:sz="0" w:space="0" w:color="auto"/>
      </w:divBdr>
    </w:div>
    <w:div w:id="14277293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37</Pages>
  <Words>12544</Words>
  <Characters>71504</Characters>
  <Application>Microsoft Office Word</Application>
  <DocSecurity>0</DocSecurity>
  <Lines>595</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Farjana Akter Rimu (2519813)</cp:lastModifiedBy>
  <cp:revision>27</cp:revision>
  <dcterms:created xsi:type="dcterms:W3CDTF">2026-07-29T07:58:00Z</dcterms:created>
  <dcterms:modified xsi:type="dcterms:W3CDTF">2026-07-31T00:40:00Z</dcterms:modified>
</cp:coreProperties>
</file>