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E0A83" w:rsidRDefault="004E0A83" w:rsidP="00525620">
      <w:pPr>
        <w:spacing w:line="480" w:lineRule="auto"/>
        <w:rPr>
          <w:rFonts w:ascii="Times New Roman" w:eastAsia="Times New Roman" w:hAnsi="Times New Roman" w:cs="Times New Roman"/>
          <w:color w:val="222222"/>
          <w:sz w:val="32"/>
          <w:szCs w:val="32"/>
          <w:highlight w:val="white"/>
        </w:rPr>
      </w:pPr>
    </w:p>
    <w:p w14:paraId="00000005" w14:textId="0B47FE24" w:rsidR="004E0A83" w:rsidRDefault="00525620" w:rsidP="00525620">
      <w:pPr>
        <w:spacing w:line="480" w:lineRule="auto"/>
        <w:rPr>
          <w:rFonts w:ascii="Times New Roman" w:eastAsia="Times New Roman" w:hAnsi="Times New Roman" w:cs="Times New Roman"/>
          <w:color w:val="222222"/>
          <w:sz w:val="32"/>
          <w:szCs w:val="32"/>
          <w:highlight w:val="white"/>
        </w:rPr>
      </w:pPr>
      <w:r>
        <w:rPr>
          <w:rFonts w:ascii="Times New Roman" w:eastAsia="Times New Roman" w:hAnsi="Times New Roman" w:cs="Times New Roman"/>
          <w:noProof/>
          <w:color w:val="222222"/>
          <w:sz w:val="32"/>
          <w:szCs w:val="32"/>
        </w:rPr>
        <w:drawing>
          <wp:inline distT="0" distB="0" distL="0" distR="0" wp14:anchorId="63ED6C1D" wp14:editId="150EDF7A">
            <wp:extent cx="4052729" cy="1554480"/>
            <wp:effectExtent l="0" t="0" r="5080" b="7620"/>
            <wp:docPr id="1228690189"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90189"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64318" cy="1558925"/>
                    </a:xfrm>
                    <a:prstGeom prst="rect">
                      <a:avLst/>
                    </a:prstGeom>
                  </pic:spPr>
                </pic:pic>
              </a:graphicData>
            </a:graphic>
          </wp:inline>
        </w:drawing>
      </w:r>
    </w:p>
    <w:p w14:paraId="6BB974FF" w14:textId="77777777" w:rsidR="00A01FFD" w:rsidRDefault="00A01FFD" w:rsidP="00DE1319">
      <w:pPr>
        <w:pStyle w:val="TOC1"/>
        <w:tabs>
          <w:tab w:val="right" w:leader="dot" w:pos="9350"/>
        </w:tabs>
        <w:rPr>
          <w:rStyle w:val="Hyperlink"/>
          <w:noProof/>
        </w:rPr>
      </w:pPr>
    </w:p>
    <w:p w14:paraId="1DEFAB30" w14:textId="77777777" w:rsidR="00A01FFD" w:rsidRDefault="00A01FFD" w:rsidP="00DE1319">
      <w:pPr>
        <w:pStyle w:val="TOC1"/>
        <w:tabs>
          <w:tab w:val="right" w:leader="dot" w:pos="9350"/>
        </w:tabs>
        <w:rPr>
          <w:rStyle w:val="Hyperlink"/>
          <w:noProof/>
        </w:rPr>
      </w:pPr>
    </w:p>
    <w:p w14:paraId="6F79B97A" w14:textId="77777777" w:rsidR="00A01FFD" w:rsidRDefault="00A01FFD" w:rsidP="00DE1319">
      <w:pPr>
        <w:pStyle w:val="TOC1"/>
        <w:tabs>
          <w:tab w:val="right" w:leader="dot" w:pos="9350"/>
        </w:tabs>
        <w:rPr>
          <w:rStyle w:val="Hyperlink"/>
          <w:noProof/>
        </w:rPr>
      </w:pPr>
    </w:p>
    <w:p w14:paraId="651E72C1" w14:textId="0E871693" w:rsidR="00DE1319" w:rsidRPr="004A0491" w:rsidRDefault="00DE1319" w:rsidP="00DE1319">
      <w:pPr>
        <w:pStyle w:val="TOC1"/>
        <w:tabs>
          <w:tab w:val="right" w:leader="dot" w:pos="9350"/>
        </w:tabs>
        <w:rPr>
          <w:rStyle w:val="Hyperlink"/>
          <w:noProof/>
        </w:rPr>
      </w:pPr>
      <w:r w:rsidRPr="004A0491">
        <w:rPr>
          <w:rStyle w:val="Hyperlink"/>
          <w:noProof/>
        </w:rPr>
        <w:t>Course: BA (Hons) Business Management</w:t>
      </w:r>
    </w:p>
    <w:p w14:paraId="5C2547EE" w14:textId="524A541F" w:rsidR="00DE1319" w:rsidRPr="004A0491" w:rsidRDefault="00DE1319" w:rsidP="00DE1319">
      <w:pPr>
        <w:pStyle w:val="TOC1"/>
        <w:tabs>
          <w:tab w:val="right" w:leader="dot" w:pos="9350"/>
        </w:tabs>
        <w:rPr>
          <w:rStyle w:val="Hyperlink"/>
          <w:noProof/>
        </w:rPr>
      </w:pPr>
      <w:r w:rsidRPr="004A0491">
        <w:rPr>
          <w:rStyle w:val="Hyperlink"/>
          <w:noProof/>
        </w:rPr>
        <w:t xml:space="preserve">Level </w:t>
      </w:r>
      <w:r w:rsidR="00A01FFD">
        <w:rPr>
          <w:rStyle w:val="Hyperlink"/>
          <w:noProof/>
        </w:rPr>
        <w:t>6</w:t>
      </w:r>
      <w:r w:rsidRPr="004A0491">
        <w:rPr>
          <w:rStyle w:val="Hyperlink"/>
          <w:noProof/>
        </w:rPr>
        <w:t xml:space="preserve"> – Term </w:t>
      </w:r>
      <w:r w:rsidR="00A01FFD">
        <w:rPr>
          <w:rStyle w:val="Hyperlink"/>
          <w:noProof/>
        </w:rPr>
        <w:t>1</w:t>
      </w:r>
      <w:r w:rsidRPr="004A0491">
        <w:rPr>
          <w:rStyle w:val="Hyperlink"/>
          <w:noProof/>
        </w:rPr>
        <w:t xml:space="preserve"> - Weekend</w:t>
      </w:r>
    </w:p>
    <w:p w14:paraId="1D454BEE" w14:textId="319689D0" w:rsidR="00DE1319" w:rsidRDefault="00AC5A47" w:rsidP="00DE1319">
      <w:pPr>
        <w:pStyle w:val="TOC1"/>
        <w:tabs>
          <w:tab w:val="right" w:leader="dot" w:pos="9350"/>
        </w:tabs>
        <w:rPr>
          <w:rStyle w:val="Hyperlink"/>
          <w:noProof/>
        </w:rPr>
      </w:pPr>
      <w:r>
        <w:rPr>
          <w:rStyle w:val="Hyperlink"/>
          <w:noProof/>
        </w:rPr>
        <w:t>Internationl Financil Management</w:t>
      </w:r>
      <w:r w:rsidR="00DE1319">
        <w:rPr>
          <w:rStyle w:val="Hyperlink"/>
          <w:noProof/>
        </w:rPr>
        <w:t xml:space="preserve"> (LCBB</w:t>
      </w:r>
      <w:r w:rsidR="00306C6B">
        <w:rPr>
          <w:rStyle w:val="Hyperlink"/>
          <w:noProof/>
        </w:rPr>
        <w:t>6</w:t>
      </w:r>
      <w:r w:rsidR="00DE1319">
        <w:rPr>
          <w:rStyle w:val="Hyperlink"/>
          <w:noProof/>
        </w:rPr>
        <w:t>002)</w:t>
      </w:r>
    </w:p>
    <w:p w14:paraId="067EB478" w14:textId="3C1EFF8F" w:rsidR="00DE1319" w:rsidRDefault="00DE1319" w:rsidP="00DE1319">
      <w:pPr>
        <w:pStyle w:val="TOC1"/>
        <w:tabs>
          <w:tab w:val="right" w:leader="dot" w:pos="9350"/>
        </w:tabs>
        <w:rPr>
          <w:rStyle w:val="Hyperlink"/>
          <w:noProof/>
        </w:rPr>
      </w:pPr>
    </w:p>
    <w:p w14:paraId="45DE0C40" w14:textId="77777777" w:rsidR="00DE1319" w:rsidRPr="004A0491" w:rsidRDefault="00DE1319" w:rsidP="00DE1319">
      <w:pPr>
        <w:pStyle w:val="TOC1"/>
        <w:tabs>
          <w:tab w:val="right" w:leader="dot" w:pos="9350"/>
        </w:tabs>
        <w:rPr>
          <w:rStyle w:val="Hyperlink"/>
          <w:noProof/>
        </w:rPr>
      </w:pPr>
      <w:r w:rsidRPr="004A0491">
        <w:rPr>
          <w:rStyle w:val="Hyperlink"/>
          <w:noProof/>
        </w:rPr>
        <w:t>Assignment – A</w:t>
      </w:r>
      <w:r>
        <w:rPr>
          <w:rStyle w:val="Hyperlink"/>
          <w:noProof/>
        </w:rPr>
        <w:t>1</w:t>
      </w:r>
    </w:p>
    <w:p w14:paraId="7288D6FA" w14:textId="77777777" w:rsidR="00DE1319" w:rsidRDefault="00DE1319" w:rsidP="00DE1319">
      <w:pPr>
        <w:autoSpaceDE w:val="0"/>
        <w:autoSpaceDN w:val="0"/>
        <w:adjustRightInd w:val="0"/>
        <w:spacing w:line="240" w:lineRule="auto"/>
        <w:rPr>
          <w:rFonts w:ascii="Calibri" w:hAnsi="Calibri" w:cs="Calibri"/>
        </w:rPr>
      </w:pPr>
    </w:p>
    <w:p w14:paraId="06AC2BF6" w14:textId="77777777" w:rsidR="00DE1319" w:rsidRPr="004A0491" w:rsidRDefault="00DE1319" w:rsidP="00DE1319">
      <w:pPr>
        <w:pStyle w:val="TOC1"/>
        <w:tabs>
          <w:tab w:val="right" w:leader="dot" w:pos="9350"/>
        </w:tabs>
        <w:rPr>
          <w:rStyle w:val="Hyperlink"/>
          <w:noProof/>
        </w:rPr>
      </w:pPr>
    </w:p>
    <w:p w14:paraId="161F28A7" w14:textId="77777777" w:rsidR="00DE1319" w:rsidRPr="004A0491" w:rsidRDefault="00DE1319" w:rsidP="00DE1319">
      <w:pPr>
        <w:pStyle w:val="TOC1"/>
        <w:tabs>
          <w:tab w:val="right" w:leader="dot" w:pos="9350"/>
        </w:tabs>
        <w:rPr>
          <w:rStyle w:val="Hyperlink"/>
          <w:noProof/>
        </w:rPr>
      </w:pPr>
    </w:p>
    <w:p w14:paraId="44674F8E" w14:textId="77777777" w:rsidR="00DE1319" w:rsidRPr="004A0491" w:rsidRDefault="00DE1319" w:rsidP="00DE1319">
      <w:pPr>
        <w:pStyle w:val="TOC1"/>
        <w:tabs>
          <w:tab w:val="right" w:leader="dot" w:pos="9350"/>
        </w:tabs>
        <w:rPr>
          <w:rStyle w:val="Hyperlink"/>
          <w:noProof/>
        </w:rPr>
      </w:pPr>
      <w:r>
        <w:rPr>
          <w:rStyle w:val="Hyperlink"/>
          <w:noProof/>
        </w:rPr>
        <w:t>Sandra Iulia Ghinescu</w:t>
      </w:r>
    </w:p>
    <w:p w14:paraId="4A63DFF7" w14:textId="77777777" w:rsidR="00DE1319" w:rsidRPr="00B93DA1" w:rsidRDefault="00DE1319" w:rsidP="00DE1319">
      <w:pPr>
        <w:pStyle w:val="TOC1"/>
        <w:tabs>
          <w:tab w:val="right" w:leader="dot" w:pos="9350"/>
        </w:tabs>
        <w:rPr>
          <w:rStyle w:val="Hyperlink"/>
          <w:noProof/>
        </w:rPr>
      </w:pPr>
      <w:r w:rsidRPr="00B93DA1">
        <w:rPr>
          <w:rStyle w:val="Hyperlink"/>
          <w:noProof/>
        </w:rPr>
        <w:t>2</w:t>
      </w:r>
      <w:r>
        <w:rPr>
          <w:rStyle w:val="Hyperlink"/>
          <w:noProof/>
        </w:rPr>
        <w:t>118454</w:t>
      </w:r>
    </w:p>
    <w:p w14:paraId="00000008" w14:textId="7E78388D" w:rsidR="004E0A83" w:rsidRDefault="00A01FFD" w:rsidP="00DE1319">
      <w:pPr>
        <w:spacing w:line="480" w:lineRule="auto"/>
        <w:rPr>
          <w:rFonts w:ascii="Times New Roman" w:eastAsia="Times New Roman" w:hAnsi="Times New Roman" w:cs="Times New Roman"/>
          <w:b/>
          <w:color w:val="222222"/>
          <w:sz w:val="32"/>
          <w:szCs w:val="32"/>
          <w:highlight w:val="white"/>
        </w:rPr>
      </w:pPr>
      <w:r>
        <w:br w:type="page"/>
      </w:r>
    </w:p>
    <w:p w14:paraId="00000009" w14:textId="77777777" w:rsidR="004E0A83" w:rsidRDefault="00A01FFD">
      <w:pPr>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Executive Summary</w:t>
      </w:r>
    </w:p>
    <w:p w14:paraId="0000000A" w14:textId="214D221B" w:rsidR="00143746"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report includes a background consideration of an important issue related to international financial management, which considers foreign </w:t>
      </w:r>
      <w:r>
        <w:rPr>
          <w:rFonts w:ascii="Times New Roman" w:eastAsia="Times New Roman" w:hAnsi="Times New Roman" w:cs="Times New Roman"/>
          <w:color w:val="222222"/>
          <w:sz w:val="24"/>
          <w:szCs w:val="24"/>
          <w:highlight w:val="white"/>
        </w:rPr>
        <w:t>exchange transactions and their associated risk factors.  It draws on some theories and models, which develop a detailed understanding of the application of integrated approaches to financial management systems.</w:t>
      </w:r>
    </w:p>
    <w:p w14:paraId="27223BC1" w14:textId="77777777" w:rsidR="00143746" w:rsidRDefault="00143746">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5E028249" w14:textId="77777777" w:rsidR="004E0A83" w:rsidRDefault="004E0A83">
      <w:pPr>
        <w:spacing w:line="480" w:lineRule="auto"/>
        <w:jc w:val="both"/>
        <w:rPr>
          <w:rFonts w:ascii="Times New Roman" w:eastAsia="Times New Roman" w:hAnsi="Times New Roman" w:cs="Times New Roman"/>
          <w:color w:val="222222"/>
          <w:sz w:val="24"/>
          <w:szCs w:val="24"/>
          <w:highlight w:val="white"/>
        </w:rPr>
      </w:pPr>
    </w:p>
    <w:p w14:paraId="0000000B" w14:textId="77777777" w:rsidR="004E0A83" w:rsidRDefault="004E0A83">
      <w:pPr>
        <w:spacing w:line="480" w:lineRule="auto"/>
        <w:jc w:val="both"/>
        <w:rPr>
          <w:rFonts w:ascii="Times New Roman" w:eastAsia="Times New Roman" w:hAnsi="Times New Roman" w:cs="Times New Roman"/>
          <w:color w:val="222222"/>
          <w:sz w:val="24"/>
          <w:szCs w:val="24"/>
          <w:highlight w:val="white"/>
        </w:rPr>
      </w:pPr>
    </w:p>
    <w:sdt>
      <w:sdtPr>
        <w:rPr>
          <w:rFonts w:ascii="Times New Roman" w:eastAsia="Arial" w:hAnsi="Times New Roman" w:cs="Times New Roman"/>
          <w:color w:val="auto"/>
          <w:sz w:val="24"/>
          <w:szCs w:val="24"/>
          <w:lang w:val="en"/>
        </w:rPr>
        <w:id w:val="-1252041724"/>
        <w:docPartObj>
          <w:docPartGallery w:val="Table of Contents"/>
          <w:docPartUnique/>
        </w:docPartObj>
      </w:sdtPr>
      <w:sdtEndPr>
        <w:rPr>
          <w:b/>
          <w:bCs/>
          <w:noProof/>
        </w:rPr>
      </w:sdtEndPr>
      <w:sdtContent>
        <w:p w14:paraId="231D840C" w14:textId="4BBFE467" w:rsidR="00143746" w:rsidRPr="00143746" w:rsidRDefault="00143746" w:rsidP="00143746">
          <w:pPr>
            <w:pStyle w:val="TOCHeading"/>
            <w:spacing w:line="480" w:lineRule="auto"/>
            <w:jc w:val="both"/>
            <w:rPr>
              <w:rFonts w:ascii="Times New Roman" w:hAnsi="Times New Roman" w:cs="Times New Roman"/>
              <w:b/>
              <w:bCs/>
              <w:sz w:val="24"/>
              <w:szCs w:val="24"/>
            </w:rPr>
          </w:pPr>
          <w:r w:rsidRPr="00143746">
            <w:rPr>
              <w:rFonts w:ascii="Times New Roman" w:hAnsi="Times New Roman" w:cs="Times New Roman"/>
              <w:b/>
              <w:bCs/>
              <w:sz w:val="24"/>
              <w:szCs w:val="24"/>
            </w:rPr>
            <w:t>Table of Contents</w:t>
          </w:r>
        </w:p>
        <w:p w14:paraId="098BF638" w14:textId="5B8985A6" w:rsidR="00143746" w:rsidRPr="00143746" w:rsidRDefault="00143746" w:rsidP="00143746">
          <w:pPr>
            <w:pStyle w:val="TOC1"/>
            <w:tabs>
              <w:tab w:val="right" w:leader="dot" w:pos="9350"/>
            </w:tabs>
            <w:spacing w:line="480" w:lineRule="auto"/>
            <w:jc w:val="both"/>
            <w:rPr>
              <w:rFonts w:ascii="Times New Roman" w:hAnsi="Times New Roman" w:cs="Times New Roman"/>
              <w:noProof/>
              <w:sz w:val="24"/>
              <w:szCs w:val="24"/>
            </w:rPr>
          </w:pPr>
          <w:r w:rsidRPr="00143746">
            <w:rPr>
              <w:rFonts w:ascii="Times New Roman" w:hAnsi="Times New Roman" w:cs="Times New Roman"/>
              <w:sz w:val="24"/>
              <w:szCs w:val="24"/>
            </w:rPr>
            <w:fldChar w:fldCharType="begin"/>
          </w:r>
          <w:r w:rsidRPr="00143746">
            <w:rPr>
              <w:rFonts w:ascii="Times New Roman" w:hAnsi="Times New Roman" w:cs="Times New Roman"/>
              <w:sz w:val="24"/>
              <w:szCs w:val="24"/>
            </w:rPr>
            <w:instrText xml:space="preserve"> TOC \o "1-3" \h \z \u </w:instrText>
          </w:r>
          <w:r w:rsidRPr="00143746">
            <w:rPr>
              <w:rFonts w:ascii="Times New Roman" w:hAnsi="Times New Roman" w:cs="Times New Roman"/>
              <w:sz w:val="24"/>
              <w:szCs w:val="24"/>
            </w:rPr>
            <w:fldChar w:fldCharType="separate"/>
          </w:r>
          <w:hyperlink w:anchor="_Toc160512258" w:history="1">
            <w:r w:rsidRPr="00143746">
              <w:rPr>
                <w:rStyle w:val="Hyperlink"/>
                <w:rFonts w:ascii="Times New Roman" w:hAnsi="Times New Roman" w:cs="Times New Roman"/>
                <w:noProof/>
                <w:sz w:val="24"/>
                <w:szCs w:val="24"/>
                <w:highlight w:val="white"/>
              </w:rPr>
              <w:t>Introduction</w:t>
            </w:r>
            <w:r w:rsidRPr="00143746">
              <w:rPr>
                <w:rFonts w:ascii="Times New Roman" w:hAnsi="Times New Roman" w:cs="Times New Roman"/>
                <w:noProof/>
                <w:webHidden/>
                <w:sz w:val="24"/>
                <w:szCs w:val="24"/>
              </w:rPr>
              <w:tab/>
            </w:r>
            <w:r w:rsidRPr="00143746">
              <w:rPr>
                <w:rFonts w:ascii="Times New Roman" w:hAnsi="Times New Roman" w:cs="Times New Roman"/>
                <w:noProof/>
                <w:webHidden/>
                <w:sz w:val="24"/>
                <w:szCs w:val="24"/>
              </w:rPr>
              <w:fldChar w:fldCharType="begin"/>
            </w:r>
            <w:r w:rsidRPr="00143746">
              <w:rPr>
                <w:rFonts w:ascii="Times New Roman" w:hAnsi="Times New Roman" w:cs="Times New Roman"/>
                <w:noProof/>
                <w:webHidden/>
                <w:sz w:val="24"/>
                <w:szCs w:val="24"/>
              </w:rPr>
              <w:instrText xml:space="preserve"> PAGEREF _Toc160512258 \h </w:instrText>
            </w:r>
            <w:r w:rsidRPr="00143746">
              <w:rPr>
                <w:rFonts w:ascii="Times New Roman" w:hAnsi="Times New Roman" w:cs="Times New Roman"/>
                <w:noProof/>
                <w:webHidden/>
                <w:sz w:val="24"/>
                <w:szCs w:val="24"/>
              </w:rPr>
            </w:r>
            <w:r w:rsidRPr="00143746">
              <w:rPr>
                <w:rFonts w:ascii="Times New Roman" w:hAnsi="Times New Roman" w:cs="Times New Roman"/>
                <w:noProof/>
                <w:webHidden/>
                <w:sz w:val="24"/>
                <w:szCs w:val="24"/>
              </w:rPr>
              <w:fldChar w:fldCharType="separate"/>
            </w:r>
            <w:r w:rsidRPr="00143746">
              <w:rPr>
                <w:rFonts w:ascii="Times New Roman" w:hAnsi="Times New Roman" w:cs="Times New Roman"/>
                <w:noProof/>
                <w:webHidden/>
                <w:sz w:val="24"/>
                <w:szCs w:val="24"/>
              </w:rPr>
              <w:t>4</w:t>
            </w:r>
            <w:r w:rsidRPr="00143746">
              <w:rPr>
                <w:rFonts w:ascii="Times New Roman" w:hAnsi="Times New Roman" w:cs="Times New Roman"/>
                <w:noProof/>
                <w:webHidden/>
                <w:sz w:val="24"/>
                <w:szCs w:val="24"/>
              </w:rPr>
              <w:fldChar w:fldCharType="end"/>
            </w:r>
          </w:hyperlink>
        </w:p>
        <w:p w14:paraId="59717E23" w14:textId="1FEC3377" w:rsidR="00143746" w:rsidRPr="00143746" w:rsidRDefault="00A01FFD" w:rsidP="00143746">
          <w:pPr>
            <w:pStyle w:val="TOC2"/>
            <w:tabs>
              <w:tab w:val="right" w:leader="dot" w:pos="9350"/>
            </w:tabs>
            <w:spacing w:line="480" w:lineRule="auto"/>
            <w:jc w:val="both"/>
            <w:rPr>
              <w:rFonts w:ascii="Times New Roman" w:hAnsi="Times New Roman" w:cs="Times New Roman"/>
              <w:noProof/>
              <w:sz w:val="24"/>
              <w:szCs w:val="24"/>
            </w:rPr>
          </w:pPr>
          <w:hyperlink w:anchor="_Toc160512259" w:history="1">
            <w:r w:rsidR="00143746" w:rsidRPr="00143746">
              <w:rPr>
                <w:rStyle w:val="Hyperlink"/>
                <w:rFonts w:ascii="Times New Roman" w:hAnsi="Times New Roman" w:cs="Times New Roman"/>
                <w:noProof/>
                <w:sz w:val="24"/>
                <w:szCs w:val="24"/>
                <w:highlight w:val="white"/>
              </w:rPr>
              <w:t>Evaluation of the International Finance Management</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_Toc160512259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5</w:t>
            </w:r>
            <w:r w:rsidR="00143746" w:rsidRPr="00143746">
              <w:rPr>
                <w:rFonts w:ascii="Times New Roman" w:hAnsi="Times New Roman" w:cs="Times New Roman"/>
                <w:noProof/>
                <w:webHidden/>
                <w:sz w:val="24"/>
                <w:szCs w:val="24"/>
              </w:rPr>
              <w:fldChar w:fldCharType="end"/>
            </w:r>
          </w:hyperlink>
        </w:p>
        <w:p w14:paraId="7200DC9A" w14:textId="591D7B74" w:rsidR="00143746" w:rsidRPr="00143746" w:rsidRDefault="00A01FFD" w:rsidP="00143746">
          <w:pPr>
            <w:pStyle w:val="TOC2"/>
            <w:tabs>
              <w:tab w:val="right" w:leader="dot" w:pos="9350"/>
            </w:tabs>
            <w:spacing w:line="480" w:lineRule="auto"/>
            <w:jc w:val="both"/>
            <w:rPr>
              <w:rFonts w:ascii="Times New Roman" w:hAnsi="Times New Roman" w:cs="Times New Roman"/>
              <w:noProof/>
              <w:sz w:val="24"/>
              <w:szCs w:val="24"/>
            </w:rPr>
          </w:pPr>
          <w:hyperlink w:anchor="_Toc160512260" w:history="1">
            <w:r w:rsidR="00143746" w:rsidRPr="00143746">
              <w:rPr>
                <w:rStyle w:val="Hyperlink"/>
                <w:rFonts w:ascii="Times New Roman" w:hAnsi="Times New Roman" w:cs="Times New Roman"/>
                <w:noProof/>
                <w:sz w:val="24"/>
                <w:szCs w:val="24"/>
                <w:highlight w:val="white"/>
              </w:rPr>
              <w:t>Theories and Practices of IFM</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_Toc160512260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6</w:t>
            </w:r>
            <w:r w:rsidR="00143746" w:rsidRPr="00143746">
              <w:rPr>
                <w:rFonts w:ascii="Times New Roman" w:hAnsi="Times New Roman" w:cs="Times New Roman"/>
                <w:noProof/>
                <w:webHidden/>
                <w:sz w:val="24"/>
                <w:szCs w:val="24"/>
              </w:rPr>
              <w:fldChar w:fldCharType="end"/>
            </w:r>
          </w:hyperlink>
        </w:p>
        <w:p w14:paraId="261C029F" w14:textId="32EC4093" w:rsidR="00143746" w:rsidRPr="00143746" w:rsidRDefault="00A01FFD" w:rsidP="00143746">
          <w:pPr>
            <w:pStyle w:val="TOC2"/>
            <w:tabs>
              <w:tab w:val="right" w:leader="dot" w:pos="9350"/>
            </w:tabs>
            <w:spacing w:line="480" w:lineRule="auto"/>
            <w:jc w:val="both"/>
            <w:rPr>
              <w:rFonts w:ascii="Times New Roman" w:hAnsi="Times New Roman" w:cs="Times New Roman"/>
              <w:noProof/>
              <w:sz w:val="24"/>
              <w:szCs w:val="24"/>
            </w:rPr>
          </w:pPr>
          <w:hyperlink w:anchor="_Toc160512261" w:history="1">
            <w:r w:rsidR="00143746" w:rsidRPr="00143746">
              <w:rPr>
                <w:rStyle w:val="Hyperlink"/>
                <w:rFonts w:ascii="Times New Roman" w:hAnsi="Times New Roman" w:cs="Times New Roman"/>
                <w:noProof/>
                <w:sz w:val="24"/>
                <w:szCs w:val="24"/>
                <w:highlight w:val="white"/>
              </w:rPr>
              <w:t>Understanding Of Foreign Exchange Risks</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_Toc160512261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6</w:t>
            </w:r>
            <w:r w:rsidR="00143746" w:rsidRPr="00143746">
              <w:rPr>
                <w:rFonts w:ascii="Times New Roman" w:hAnsi="Times New Roman" w:cs="Times New Roman"/>
                <w:noProof/>
                <w:webHidden/>
                <w:sz w:val="24"/>
                <w:szCs w:val="24"/>
              </w:rPr>
              <w:fldChar w:fldCharType="end"/>
            </w:r>
          </w:hyperlink>
        </w:p>
        <w:p w14:paraId="1B9D5F36" w14:textId="623EC172" w:rsidR="00143746" w:rsidRPr="00143746" w:rsidRDefault="00A01FFD" w:rsidP="00143746">
          <w:pPr>
            <w:pStyle w:val="TOC2"/>
            <w:tabs>
              <w:tab w:val="right" w:leader="dot" w:pos="9350"/>
            </w:tabs>
            <w:spacing w:line="480" w:lineRule="auto"/>
            <w:jc w:val="both"/>
            <w:rPr>
              <w:rFonts w:ascii="Times New Roman" w:hAnsi="Times New Roman" w:cs="Times New Roman"/>
              <w:noProof/>
              <w:sz w:val="24"/>
              <w:szCs w:val="24"/>
            </w:rPr>
          </w:pPr>
          <w:hyperlink w:anchor="_Toc160512262" w:history="1">
            <w:r w:rsidR="00143746" w:rsidRPr="00143746">
              <w:rPr>
                <w:rStyle w:val="Hyperlink"/>
                <w:rFonts w:ascii="Times New Roman" w:hAnsi="Times New Roman" w:cs="Times New Roman"/>
                <w:noProof/>
                <w:sz w:val="24"/>
                <w:szCs w:val="24"/>
                <w:highlight w:val="white"/>
              </w:rPr>
              <w:t>The adoption of multinational corporations often manages their exposure to foreign exchange risks</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_Toc160512262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8</w:t>
            </w:r>
            <w:r w:rsidR="00143746" w:rsidRPr="00143746">
              <w:rPr>
                <w:rFonts w:ascii="Times New Roman" w:hAnsi="Times New Roman" w:cs="Times New Roman"/>
                <w:noProof/>
                <w:webHidden/>
                <w:sz w:val="24"/>
                <w:szCs w:val="24"/>
              </w:rPr>
              <w:fldChar w:fldCharType="end"/>
            </w:r>
          </w:hyperlink>
        </w:p>
        <w:p w14:paraId="7F5A5F19" w14:textId="2BC073C3" w:rsidR="00143746" w:rsidRPr="00143746" w:rsidRDefault="00A01FFD" w:rsidP="00143746">
          <w:pPr>
            <w:pStyle w:val="TOC2"/>
            <w:tabs>
              <w:tab w:val="right" w:leader="dot" w:pos="9350"/>
            </w:tabs>
            <w:spacing w:line="480" w:lineRule="auto"/>
            <w:jc w:val="both"/>
            <w:rPr>
              <w:rFonts w:ascii="Times New Roman" w:hAnsi="Times New Roman" w:cs="Times New Roman"/>
              <w:noProof/>
              <w:sz w:val="24"/>
              <w:szCs w:val="24"/>
            </w:rPr>
          </w:pPr>
          <w:hyperlink w:anchor="_Toc160512263" w:history="1">
            <w:r w:rsidR="00143746" w:rsidRPr="00143746">
              <w:rPr>
                <w:rStyle w:val="Hyperlink"/>
                <w:rFonts w:ascii="Times New Roman" w:hAnsi="Times New Roman" w:cs="Times New Roman"/>
                <w:noProof/>
                <w:sz w:val="24"/>
                <w:szCs w:val="24"/>
                <w:highlight w:val="white"/>
              </w:rPr>
              <w:t>Recommendations</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_Toc160512263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10</w:t>
            </w:r>
            <w:r w:rsidR="00143746" w:rsidRPr="00143746">
              <w:rPr>
                <w:rFonts w:ascii="Times New Roman" w:hAnsi="Times New Roman" w:cs="Times New Roman"/>
                <w:noProof/>
                <w:webHidden/>
                <w:sz w:val="24"/>
                <w:szCs w:val="24"/>
              </w:rPr>
              <w:fldChar w:fldCharType="end"/>
            </w:r>
          </w:hyperlink>
        </w:p>
        <w:p w14:paraId="48FF4309" w14:textId="4DF63D1F" w:rsidR="00143746" w:rsidRPr="00143746" w:rsidRDefault="00A01FFD" w:rsidP="00143746">
          <w:pPr>
            <w:pStyle w:val="TOC1"/>
            <w:tabs>
              <w:tab w:val="right" w:leader="dot" w:pos="9350"/>
            </w:tabs>
            <w:spacing w:line="480" w:lineRule="auto"/>
            <w:jc w:val="both"/>
            <w:rPr>
              <w:rFonts w:ascii="Times New Roman" w:hAnsi="Times New Roman" w:cs="Times New Roman"/>
              <w:noProof/>
              <w:sz w:val="24"/>
              <w:szCs w:val="24"/>
            </w:rPr>
          </w:pPr>
          <w:hyperlink w:anchor="_Toc160512264" w:history="1">
            <w:r w:rsidR="00143746" w:rsidRPr="00143746">
              <w:rPr>
                <w:rStyle w:val="Hyperlink"/>
                <w:rFonts w:ascii="Times New Roman" w:hAnsi="Times New Roman" w:cs="Times New Roman"/>
                <w:noProof/>
                <w:sz w:val="24"/>
                <w:szCs w:val="24"/>
                <w:highlight w:val="white"/>
              </w:rPr>
              <w:t>Conclusion</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_Toc160512264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11</w:t>
            </w:r>
            <w:r w:rsidR="00143746" w:rsidRPr="00143746">
              <w:rPr>
                <w:rFonts w:ascii="Times New Roman" w:hAnsi="Times New Roman" w:cs="Times New Roman"/>
                <w:noProof/>
                <w:webHidden/>
                <w:sz w:val="24"/>
                <w:szCs w:val="24"/>
              </w:rPr>
              <w:fldChar w:fldCharType="end"/>
            </w:r>
          </w:hyperlink>
        </w:p>
        <w:p w14:paraId="03BB7AFA" w14:textId="3EF73AE9" w:rsidR="00143746" w:rsidRPr="00143746" w:rsidRDefault="00A01FFD" w:rsidP="00143746">
          <w:pPr>
            <w:pStyle w:val="TOC1"/>
            <w:tabs>
              <w:tab w:val="right" w:leader="dot" w:pos="9350"/>
            </w:tabs>
            <w:spacing w:line="480" w:lineRule="auto"/>
            <w:jc w:val="both"/>
            <w:rPr>
              <w:rFonts w:ascii="Times New Roman" w:hAnsi="Times New Roman" w:cs="Times New Roman"/>
              <w:noProof/>
              <w:sz w:val="24"/>
              <w:szCs w:val="24"/>
            </w:rPr>
          </w:pPr>
          <w:hyperlink w:anchor="_Toc160512265" w:history="1">
            <w:r w:rsidR="00143746" w:rsidRPr="00143746">
              <w:rPr>
                <w:rStyle w:val="Hyperlink"/>
                <w:rFonts w:ascii="Times New Roman" w:hAnsi="Times New Roman" w:cs="Times New Roman"/>
                <w:noProof/>
                <w:sz w:val="24"/>
                <w:szCs w:val="24"/>
                <w:highlight w:val="white"/>
              </w:rPr>
              <w:t>References</w:t>
            </w:r>
            <w:r w:rsidR="00143746" w:rsidRPr="00143746">
              <w:rPr>
                <w:rFonts w:ascii="Times New Roman" w:hAnsi="Times New Roman" w:cs="Times New Roman"/>
                <w:noProof/>
                <w:webHidden/>
                <w:sz w:val="24"/>
                <w:szCs w:val="24"/>
              </w:rPr>
              <w:tab/>
            </w:r>
            <w:r w:rsidR="00143746" w:rsidRPr="00143746">
              <w:rPr>
                <w:rFonts w:ascii="Times New Roman" w:hAnsi="Times New Roman" w:cs="Times New Roman"/>
                <w:noProof/>
                <w:webHidden/>
                <w:sz w:val="24"/>
                <w:szCs w:val="24"/>
              </w:rPr>
              <w:fldChar w:fldCharType="begin"/>
            </w:r>
            <w:r w:rsidR="00143746" w:rsidRPr="00143746">
              <w:rPr>
                <w:rFonts w:ascii="Times New Roman" w:hAnsi="Times New Roman" w:cs="Times New Roman"/>
                <w:noProof/>
                <w:webHidden/>
                <w:sz w:val="24"/>
                <w:szCs w:val="24"/>
              </w:rPr>
              <w:instrText xml:space="preserve"> PAGEREF _Toc160512265 \h </w:instrText>
            </w:r>
            <w:r w:rsidR="00143746" w:rsidRPr="00143746">
              <w:rPr>
                <w:rFonts w:ascii="Times New Roman" w:hAnsi="Times New Roman" w:cs="Times New Roman"/>
                <w:noProof/>
                <w:webHidden/>
                <w:sz w:val="24"/>
                <w:szCs w:val="24"/>
              </w:rPr>
            </w:r>
            <w:r w:rsidR="00143746" w:rsidRPr="00143746">
              <w:rPr>
                <w:rFonts w:ascii="Times New Roman" w:hAnsi="Times New Roman" w:cs="Times New Roman"/>
                <w:noProof/>
                <w:webHidden/>
                <w:sz w:val="24"/>
                <w:szCs w:val="24"/>
              </w:rPr>
              <w:fldChar w:fldCharType="separate"/>
            </w:r>
            <w:r w:rsidR="00143746" w:rsidRPr="00143746">
              <w:rPr>
                <w:rFonts w:ascii="Times New Roman" w:hAnsi="Times New Roman" w:cs="Times New Roman"/>
                <w:noProof/>
                <w:webHidden/>
                <w:sz w:val="24"/>
                <w:szCs w:val="24"/>
              </w:rPr>
              <w:t>12</w:t>
            </w:r>
            <w:r w:rsidR="00143746" w:rsidRPr="00143746">
              <w:rPr>
                <w:rFonts w:ascii="Times New Roman" w:hAnsi="Times New Roman" w:cs="Times New Roman"/>
                <w:noProof/>
                <w:webHidden/>
                <w:sz w:val="24"/>
                <w:szCs w:val="24"/>
              </w:rPr>
              <w:fldChar w:fldCharType="end"/>
            </w:r>
          </w:hyperlink>
        </w:p>
        <w:p w14:paraId="3E5F7C27" w14:textId="2D9BC421" w:rsidR="00143746" w:rsidRPr="00143746" w:rsidRDefault="00143746" w:rsidP="00143746">
          <w:pPr>
            <w:spacing w:line="480" w:lineRule="auto"/>
            <w:jc w:val="both"/>
            <w:rPr>
              <w:rFonts w:ascii="Times New Roman" w:hAnsi="Times New Roman" w:cs="Times New Roman"/>
              <w:sz w:val="24"/>
              <w:szCs w:val="24"/>
            </w:rPr>
          </w:pPr>
          <w:r w:rsidRPr="00143746">
            <w:rPr>
              <w:rFonts w:ascii="Times New Roman" w:hAnsi="Times New Roman" w:cs="Times New Roman"/>
              <w:b/>
              <w:bCs/>
              <w:noProof/>
              <w:sz w:val="24"/>
              <w:szCs w:val="24"/>
            </w:rPr>
            <w:fldChar w:fldCharType="end"/>
          </w:r>
        </w:p>
      </w:sdtContent>
    </w:sdt>
    <w:p w14:paraId="0000000C" w14:textId="77777777" w:rsidR="004E0A83" w:rsidRDefault="00A01FFD">
      <w:pPr>
        <w:spacing w:line="480" w:lineRule="auto"/>
        <w:jc w:val="both"/>
        <w:rPr>
          <w:rFonts w:ascii="Times New Roman" w:eastAsia="Times New Roman" w:hAnsi="Times New Roman" w:cs="Times New Roman"/>
          <w:b/>
          <w:color w:val="222222"/>
          <w:sz w:val="32"/>
          <w:szCs w:val="32"/>
          <w:highlight w:val="white"/>
        </w:rPr>
      </w:pPr>
      <w:r>
        <w:br w:type="page"/>
      </w:r>
    </w:p>
    <w:p w14:paraId="0000000D" w14:textId="77777777" w:rsidR="004E0A83" w:rsidRPr="00143746" w:rsidRDefault="00A01FFD" w:rsidP="00143746">
      <w:pPr>
        <w:pStyle w:val="Heading1"/>
        <w:rPr>
          <w:highlight w:val="white"/>
        </w:rPr>
      </w:pPr>
      <w:bookmarkStart w:id="0" w:name="_Toc160512258"/>
      <w:r w:rsidRPr="00143746">
        <w:rPr>
          <w:highlight w:val="white"/>
        </w:rPr>
        <w:t>Introduction</w:t>
      </w:r>
      <w:bookmarkEnd w:id="0"/>
    </w:p>
    <w:p w14:paraId="0000000E" w14:textId="3551B4AA" w:rsidR="004E0A83" w:rsidRDefault="00A01FFD">
      <w:pPr>
        <w:spacing w:line="48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color w:val="222222"/>
          <w:sz w:val="24"/>
          <w:szCs w:val="24"/>
          <w:highlight w:val="white"/>
        </w:rPr>
        <w:t xml:space="preserve">The report will discuss the role and importance of international </w:t>
      </w:r>
      <w:r w:rsidR="00143746">
        <w:rPr>
          <w:rFonts w:ascii="Times New Roman" w:eastAsia="Times New Roman" w:hAnsi="Times New Roman" w:cs="Times New Roman"/>
          <w:color w:val="222222"/>
          <w:sz w:val="24"/>
          <w:szCs w:val="24"/>
          <w:highlight w:val="white"/>
        </w:rPr>
        <w:t>financial</w:t>
      </w:r>
      <w:r>
        <w:rPr>
          <w:rFonts w:ascii="Times New Roman" w:eastAsia="Times New Roman" w:hAnsi="Times New Roman" w:cs="Times New Roman"/>
          <w:color w:val="222222"/>
          <w:sz w:val="24"/>
          <w:szCs w:val="24"/>
          <w:highlight w:val="white"/>
        </w:rPr>
        <w:t xml:space="preserve"> management. The risks associated with foreign money exchange and their impacts will also be assessed through this report. The report also focused on some relevant theories and models that can be implemented to enhance the performances effectively and efficiently. The financial performance management practices and their practical implementations will also be assessed by this report as well as examples of various multinational companies.</w:t>
      </w:r>
      <w:r>
        <w:br w:type="page"/>
      </w:r>
    </w:p>
    <w:p w14:paraId="0000000F" w14:textId="77777777" w:rsidR="004E0A83" w:rsidRPr="00143746" w:rsidRDefault="00A01FFD" w:rsidP="00143746">
      <w:pPr>
        <w:pStyle w:val="Heading2"/>
        <w:rPr>
          <w:highlight w:val="white"/>
        </w:rPr>
      </w:pPr>
      <w:bookmarkStart w:id="1" w:name="_Toc160512259"/>
      <w:r w:rsidRPr="00143746">
        <w:rPr>
          <w:highlight w:val="white"/>
        </w:rPr>
        <w:t>Evaluation of the International Finance Management</w:t>
      </w:r>
      <w:bookmarkEnd w:id="1"/>
    </w:p>
    <w:p w14:paraId="00000010"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definition of international finance management has been associated with the process of managing the financial cash flow in the international business context. The concept of international business management has also been associated with managing the financial and collaborating risk factors in the global business context as well. The competition in the local market has also been associated with the processes of managing the associated risk factors effectively. </w:t>
      </w:r>
    </w:p>
    <w:p w14:paraId="00000011"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Therefore, the process of managing the risks effectively with the help of the IFM-related pieces of knowledge and their evaluation has also been considered in this case. The strategic concepts of strategic management and their activities across the national borders of countries and international context as well. The risk factors related to the conceptual framework of the marketing and business management field have also been associated with it (</w:t>
      </w:r>
      <w:r>
        <w:rPr>
          <w:rFonts w:ascii="Times New Roman" w:eastAsia="Times New Roman" w:hAnsi="Times New Roman" w:cs="Times New Roman"/>
          <w:sz w:val="24"/>
          <w:szCs w:val="24"/>
          <w:highlight w:val="white"/>
        </w:rPr>
        <w:t>Crosby et al., 2020</w:t>
      </w:r>
      <w:r>
        <w:rPr>
          <w:rFonts w:ascii="Times New Roman" w:eastAsia="Times New Roman" w:hAnsi="Times New Roman" w:cs="Times New Roman"/>
          <w:color w:val="222222"/>
          <w:sz w:val="24"/>
          <w:szCs w:val="24"/>
          <w:highlight w:val="white"/>
        </w:rPr>
        <w:t xml:space="preserve">). </w:t>
      </w:r>
    </w:p>
    <w:p w14:paraId="00000012" w14:textId="20B4998E"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w:t>
      </w:r>
      <w:r w:rsidR="00143746">
        <w:rPr>
          <w:rFonts w:ascii="Times New Roman" w:eastAsia="Times New Roman" w:hAnsi="Times New Roman" w:cs="Times New Roman"/>
          <w:color w:val="222222"/>
          <w:sz w:val="24"/>
          <w:szCs w:val="24"/>
          <w:highlight w:val="white"/>
        </w:rPr>
        <w:t>Organizations</w:t>
      </w:r>
      <w:r>
        <w:rPr>
          <w:rFonts w:ascii="Times New Roman" w:eastAsia="Times New Roman" w:hAnsi="Times New Roman" w:cs="Times New Roman"/>
          <w:color w:val="222222"/>
          <w:sz w:val="24"/>
          <w:szCs w:val="24"/>
          <w:highlight w:val="white"/>
        </w:rPr>
        <w:t xml:space="preserve"> can get support by managing the risk factors related to the international financial strategies and their management procedures as well. </w:t>
      </w:r>
    </w:p>
    <w:p w14:paraId="00000013" w14:textId="2ED5F872"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goal of international financial management has been associated with the maximisation of the wealth and economy of the </w:t>
      </w:r>
      <w:r w:rsidR="00143746">
        <w:rPr>
          <w:rFonts w:ascii="Times New Roman" w:eastAsia="Times New Roman" w:hAnsi="Times New Roman" w:cs="Times New Roman"/>
          <w:color w:val="222222"/>
          <w:sz w:val="24"/>
          <w:szCs w:val="24"/>
          <w:highlight w:val="white"/>
        </w:rPr>
        <w:t>nations</w:t>
      </w:r>
      <w:r>
        <w:rPr>
          <w:rFonts w:ascii="Times New Roman" w:eastAsia="Times New Roman" w:hAnsi="Times New Roman" w:cs="Times New Roman"/>
          <w:color w:val="222222"/>
          <w:sz w:val="24"/>
          <w:szCs w:val="24"/>
          <w:highlight w:val="white"/>
        </w:rPr>
        <w:t xml:space="preserve"> effectively. By enhancing the cash flow position in the national and multinational contexts, the interest rates of the banks can be reduced effectively. Along with that, it critically impacts their social and economic factors as well. Such as Brexit, inflation has also been associated with it. Cultural factors have also been associated with it, which impacts the socio-cultural customer perception and their </w:t>
      </w:r>
      <w:r w:rsidR="00143746">
        <w:rPr>
          <w:rFonts w:ascii="Times New Roman" w:eastAsia="Times New Roman" w:hAnsi="Times New Roman" w:cs="Times New Roman"/>
          <w:color w:val="222222"/>
          <w:sz w:val="24"/>
          <w:szCs w:val="24"/>
          <w:highlight w:val="white"/>
        </w:rPr>
        <w:t>evaluator</w:t>
      </w:r>
      <w:r>
        <w:rPr>
          <w:rFonts w:ascii="Times New Roman" w:eastAsia="Times New Roman" w:hAnsi="Times New Roman" w:cs="Times New Roman"/>
          <w:color w:val="222222"/>
          <w:sz w:val="24"/>
          <w:szCs w:val="24"/>
          <w:highlight w:val="white"/>
        </w:rPr>
        <w:t xml:space="preserve"> processes effectively (</w:t>
      </w:r>
      <w:r>
        <w:rPr>
          <w:rFonts w:ascii="Times New Roman" w:eastAsia="Times New Roman" w:hAnsi="Times New Roman" w:cs="Times New Roman"/>
          <w:sz w:val="24"/>
          <w:szCs w:val="24"/>
          <w:highlight w:val="white"/>
        </w:rPr>
        <w:t>Nguyen and Barth, 2020</w:t>
      </w:r>
      <w:r>
        <w:rPr>
          <w:rFonts w:ascii="Times New Roman" w:eastAsia="Times New Roman" w:hAnsi="Times New Roman" w:cs="Times New Roman"/>
          <w:color w:val="222222"/>
          <w:sz w:val="24"/>
          <w:szCs w:val="24"/>
          <w:highlight w:val="white"/>
        </w:rPr>
        <w:t xml:space="preserve">). </w:t>
      </w:r>
    </w:p>
    <w:p w14:paraId="00000014"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Financial management practices have been associated with managing the associated risk factors that have impacts on communicating strategies effectively. International financial management has also been associated with influencing the risk management factors related to financial management as well. The process of developing financial management and effective strategies has also been associated with the process of developing the financial factors as well. The process of developing financial management applica</w:t>
      </w:r>
      <w:r>
        <w:rPr>
          <w:rFonts w:ascii="Times New Roman" w:eastAsia="Times New Roman" w:hAnsi="Times New Roman" w:cs="Times New Roman"/>
          <w:color w:val="222222"/>
          <w:sz w:val="24"/>
          <w:szCs w:val="24"/>
          <w:highlight w:val="white"/>
        </w:rPr>
        <w:t xml:space="preserve">tions has also been associated with developing communication between the decision-making process effectively. </w:t>
      </w:r>
    </w:p>
    <w:p w14:paraId="00000015"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financial development of the managerial process has also been associated with the process of developing smooth cash flow in an extensive label as well. </w:t>
      </w:r>
    </w:p>
    <w:p w14:paraId="00000016" w14:textId="77777777" w:rsidR="004E0A83" w:rsidRDefault="00A01FFD" w:rsidP="00143746">
      <w:pPr>
        <w:pStyle w:val="Heading2"/>
        <w:rPr>
          <w:highlight w:val="white"/>
        </w:rPr>
      </w:pPr>
      <w:bookmarkStart w:id="2" w:name="_Toc160512260"/>
      <w:r>
        <w:rPr>
          <w:highlight w:val="white"/>
        </w:rPr>
        <w:t>Theories and Practices of IFM</w:t>
      </w:r>
      <w:bookmarkEnd w:id="2"/>
    </w:p>
    <w:p w14:paraId="00000017"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 are several theories and practices of international financial management that have been associated with management practices and their development processes effectively. The process of developing communication in management practices has also been associated with it. The process of new trade theory has been associated with it. Along with that, the theory of comparative advantage has also been associated with it. The theoretical underpinning of the IFM has also been associated with the theory of the ab</w:t>
      </w:r>
      <w:r>
        <w:rPr>
          <w:rFonts w:ascii="Times New Roman" w:eastAsia="Times New Roman" w:hAnsi="Times New Roman" w:cs="Times New Roman"/>
          <w:color w:val="222222"/>
          <w:sz w:val="24"/>
          <w:szCs w:val="24"/>
          <w:highlight w:val="white"/>
        </w:rPr>
        <w:t xml:space="preserve">solute advantage as well. The theories of the product life cycle and supply of the funds have also been associated with it. These theories have also had impacts on the management practices and operational activities of the firms and their development procedures as well.  </w:t>
      </w:r>
    </w:p>
    <w:p w14:paraId="00000018" w14:textId="293B004F"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 the other hand, the traditional concepts associated with mercantilism, and </w:t>
      </w:r>
      <w:r w:rsidR="00143746">
        <w:rPr>
          <w:rFonts w:ascii="Times New Roman" w:eastAsia="Times New Roman" w:hAnsi="Times New Roman" w:cs="Times New Roman"/>
          <w:color w:val="222222"/>
          <w:sz w:val="24"/>
          <w:szCs w:val="24"/>
          <w:highlight w:val="white"/>
        </w:rPr>
        <w:t>Hecker</w:t>
      </w:r>
      <w:r>
        <w:rPr>
          <w:rFonts w:ascii="Times New Roman" w:eastAsia="Times New Roman" w:hAnsi="Times New Roman" w:cs="Times New Roman"/>
          <w:color w:val="222222"/>
          <w:sz w:val="24"/>
          <w:szCs w:val="24"/>
          <w:highlight w:val="white"/>
        </w:rPr>
        <w:t xml:space="preserve">-Ohlin theories as well. These are also associated with the global strategic rivalry concept and the conceptual framework of Porter’s five forces of national competitive advantages as well (Smith et al., 2019). </w:t>
      </w:r>
    </w:p>
    <w:p w14:paraId="00000019" w14:textId="77777777" w:rsidR="004E0A83" w:rsidRDefault="00A01FFD" w:rsidP="00143746">
      <w:pPr>
        <w:pStyle w:val="Heading2"/>
        <w:rPr>
          <w:highlight w:val="white"/>
        </w:rPr>
      </w:pPr>
      <w:bookmarkStart w:id="3" w:name="_Toc160512261"/>
      <w:r>
        <w:rPr>
          <w:highlight w:val="white"/>
        </w:rPr>
        <w:t>Understanding Of Foreign Exchange Risks</w:t>
      </w:r>
      <w:bookmarkEnd w:id="3"/>
    </w:p>
    <w:p w14:paraId="0000001A"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foreign exchange risk factors have been associated with the chance that a company can take to mitigate the additional issues of monetary exchange across the border areas as well. Currency fluctuations have also been associated with it (</w:t>
      </w:r>
      <w:r>
        <w:rPr>
          <w:rFonts w:ascii="Times New Roman" w:eastAsia="Times New Roman" w:hAnsi="Times New Roman" w:cs="Times New Roman"/>
          <w:sz w:val="24"/>
          <w:szCs w:val="24"/>
        </w:rPr>
        <w:t>Paolone, 2020</w:t>
      </w:r>
      <w:r>
        <w:rPr>
          <w:rFonts w:ascii="Times New Roman" w:eastAsia="Times New Roman" w:hAnsi="Times New Roman" w:cs="Times New Roman"/>
          <w:color w:val="222222"/>
          <w:sz w:val="24"/>
          <w:szCs w:val="24"/>
          <w:highlight w:val="white"/>
        </w:rPr>
        <w:t xml:space="preserve">). </w:t>
      </w:r>
    </w:p>
    <w:p w14:paraId="0000001B"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currency risk factors that are related to management practices in an organisational context have been negatively impacted as well. The process of developing the monetary funding and their management practices within the organisation has been associated with it effectively. </w:t>
      </w:r>
    </w:p>
    <w:p w14:paraId="0000001C"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risk of FX and the inflation rate of a country have been associated with each other. The rate of inflation has been reducing the buying power of customers and the currency as well. The rate of bank interest has been associated with creating effective managerial processes and national economic balances as well (</w:t>
      </w:r>
      <w:r>
        <w:rPr>
          <w:rFonts w:ascii="Times New Roman" w:eastAsia="Times New Roman" w:hAnsi="Times New Roman" w:cs="Times New Roman"/>
          <w:sz w:val="24"/>
          <w:szCs w:val="24"/>
        </w:rPr>
        <w:t>Hosaka, 2019</w:t>
      </w:r>
      <w:r>
        <w:rPr>
          <w:rFonts w:ascii="Times New Roman" w:eastAsia="Times New Roman" w:hAnsi="Times New Roman" w:cs="Times New Roman"/>
          <w:color w:val="222222"/>
          <w:sz w:val="24"/>
          <w:szCs w:val="24"/>
          <w:highlight w:val="white"/>
        </w:rPr>
        <w:t xml:space="preserve">). </w:t>
      </w:r>
    </w:p>
    <w:p w14:paraId="0000001D"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adoption of managerial practices and their current practices has also been associated with the process of developing the concepts of financial management practices in the contemporary business context effectively. The process involves recognising the profitability and stability of a country and helps to evaluate its budgetary scope as well. The practical implementations of the risk management theories in the context of the national economy have been associated with the process of developing economic man</w:t>
      </w:r>
      <w:r>
        <w:rPr>
          <w:rFonts w:ascii="Times New Roman" w:eastAsia="Times New Roman" w:hAnsi="Times New Roman" w:cs="Times New Roman"/>
          <w:color w:val="222222"/>
          <w:sz w:val="24"/>
          <w:szCs w:val="24"/>
          <w:highlight w:val="white"/>
        </w:rPr>
        <w:t>agement as well (</w:t>
      </w:r>
      <w:r>
        <w:rPr>
          <w:rFonts w:ascii="Times New Roman" w:eastAsia="Times New Roman" w:hAnsi="Times New Roman" w:cs="Times New Roman"/>
          <w:sz w:val="24"/>
          <w:szCs w:val="24"/>
        </w:rPr>
        <w:t>Stewart et al., 2020</w:t>
      </w:r>
      <w:r>
        <w:rPr>
          <w:rFonts w:ascii="Times New Roman" w:eastAsia="Times New Roman" w:hAnsi="Times New Roman" w:cs="Times New Roman"/>
          <w:color w:val="222222"/>
          <w:sz w:val="24"/>
          <w:szCs w:val="24"/>
          <w:highlight w:val="white"/>
        </w:rPr>
        <w:t xml:space="preserve">). </w:t>
      </w:r>
    </w:p>
    <w:p w14:paraId="0000001E"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Hence, it can be considered that the foreign exchange crisis is associated with exchange rate fluctuations.  This has a major impact on cash flow, and profitability in the case of MNCs.  These include financial transactions, fluctuations in economic rates, and inflation due to foreign exchange effects.  Trade contracts involving foreign currencies involve the preparation of financial statements.  On the other hand, various economic exposures hurt future cash flows and exchange rates in competitive markets o</w:t>
      </w:r>
      <w:r>
        <w:rPr>
          <w:rFonts w:ascii="Times New Roman" w:eastAsia="Times New Roman" w:hAnsi="Times New Roman" w:cs="Times New Roman"/>
          <w:color w:val="222222"/>
          <w:sz w:val="24"/>
          <w:szCs w:val="24"/>
          <w:highlight w:val="white"/>
        </w:rPr>
        <w:t>f the UK.</w:t>
      </w:r>
    </w:p>
    <w:p w14:paraId="0000001F"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process of managing the adoptable concepts such as the absolute risk management strategy and theories has been associated with mitigating the risk of ROI in an organisational context as well. Therefore, the process of evaluating the economic recession process in the UK has been associated with mitigating their additional budgetary risk through this strategy effectively (Willetts et al., 2022).</w:t>
      </w:r>
    </w:p>
    <w:p w14:paraId="00000020"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strategy of competitive advantages has been adopted by the multinational organisation Amazon. They have also been associated with creating effective strategic plans to mitigate the issues of their reduced profitability risk as well. The financial structure of the business management practices effectively (</w:t>
      </w:r>
      <w:r>
        <w:rPr>
          <w:rFonts w:ascii="Times New Roman" w:eastAsia="Times New Roman" w:hAnsi="Times New Roman" w:cs="Times New Roman"/>
          <w:sz w:val="24"/>
          <w:szCs w:val="24"/>
          <w:highlight w:val="white"/>
        </w:rPr>
        <w:t>Tönnissen et al., 2020</w:t>
      </w:r>
      <w:r>
        <w:rPr>
          <w:rFonts w:ascii="Times New Roman" w:eastAsia="Times New Roman" w:hAnsi="Times New Roman" w:cs="Times New Roman"/>
          <w:color w:val="222222"/>
          <w:sz w:val="24"/>
          <w:szCs w:val="24"/>
          <w:highlight w:val="white"/>
        </w:rPr>
        <w:t xml:space="preserve">). </w:t>
      </w:r>
    </w:p>
    <w:p w14:paraId="00000021"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international business management process of the company Tesco Plc has also been associated with the concept. This has played a helpful role in mitigating their financial strategy with the help of Porter’s competitive theory effectively. </w:t>
      </w:r>
    </w:p>
    <w:p w14:paraId="00000022"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growth and development related to cross-sectional concepts of financial management and accounting management have direct impacts on the process of developing business management practices effectively. Therefore, the process of developing the collaboration of the partnership business in the international value chain and corporate culture has been associated with the process of developing risk management appreciation effectively. </w:t>
      </w:r>
      <w:r>
        <w:rPr>
          <w:rFonts w:ascii="Times New Roman" w:eastAsia="Times New Roman" w:hAnsi="Times New Roman" w:cs="Times New Roman"/>
          <w:color w:val="222222"/>
          <w:sz w:val="24"/>
          <w:szCs w:val="24"/>
          <w:highlight w:val="white"/>
        </w:rPr>
        <w:tab/>
      </w:r>
    </w:p>
    <w:p w14:paraId="00000023" w14:textId="77777777" w:rsidR="004E0A83" w:rsidRDefault="00A01FFD" w:rsidP="00143746">
      <w:pPr>
        <w:pStyle w:val="Heading2"/>
        <w:rPr>
          <w:highlight w:val="white"/>
        </w:rPr>
      </w:pPr>
      <w:bookmarkStart w:id="4" w:name="_Toc160512262"/>
      <w:r>
        <w:rPr>
          <w:highlight w:val="white"/>
        </w:rPr>
        <w:t>The adoption of multinational corporations often manages their exposure to foreign exchange risks</w:t>
      </w:r>
      <w:bookmarkEnd w:id="4"/>
    </w:p>
    <w:p w14:paraId="00000024"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adoption of the multinational corporations has been associated with managing the foreign exchange risk as well. This has been associated with enhancing the foreign exchange risks as well. The process of managing the risk of financial management has been associated with the concepts of accounting in business policy and their effectiveness as well. </w:t>
      </w:r>
    </w:p>
    <w:p w14:paraId="00000025"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Multinational organisations such as Apple Inc. have been associated with risk management factors such as business management strategies as well, helping to mitigate the financial risk factors effectively. The process of developing effective financial management practices in the context of the contemporary business environment has been associated with developing managerial practices effectively. </w:t>
      </w:r>
    </w:p>
    <w:p w14:paraId="00000026" w14:textId="77777777" w:rsidR="004E0A83" w:rsidRDefault="00A01FFD">
      <w:pPr>
        <w:spacing w:line="48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color w:val="222222"/>
          <w:sz w:val="24"/>
          <w:szCs w:val="24"/>
          <w:highlight w:val="white"/>
        </w:rPr>
        <w:t xml:space="preserve">Therefore, the contribution of business management and their evaluation has also been associated with it. The process of developing financial exchange risk management practices has significant impacts on the financial risk mitigating factors effectively. The financial data flow and their management strategy can also be calculated through the help of the financial growth and their management procedures effectively. </w:t>
      </w:r>
      <w:r>
        <w:br w:type="page"/>
      </w:r>
    </w:p>
    <w:p w14:paraId="00000027" w14:textId="77777777" w:rsidR="004E0A83" w:rsidRDefault="00A01FFD" w:rsidP="00143746">
      <w:pPr>
        <w:pStyle w:val="Heading2"/>
        <w:rPr>
          <w:highlight w:val="white"/>
        </w:rPr>
      </w:pPr>
      <w:bookmarkStart w:id="5" w:name="_Toc160512263"/>
      <w:r>
        <w:rPr>
          <w:highlight w:val="white"/>
        </w:rPr>
        <w:t>Recommendations</w:t>
      </w:r>
      <w:bookmarkEnd w:id="5"/>
    </w:p>
    <w:p w14:paraId="00000028"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Financial management in the international business context has also been associated with the risk mitigation process and its development procedures effectively. Therefore, the strategic management and their evaluation also need to be evaluated with the help of a financial risk mitigation strategy as well. Financial management and its critical evaluation need to be associated with the management process of developing financial management effectiveness as well. The business management process in financial dev</w:t>
      </w:r>
      <w:r>
        <w:rPr>
          <w:rFonts w:ascii="Times New Roman" w:eastAsia="Times New Roman" w:hAnsi="Times New Roman" w:cs="Times New Roman"/>
          <w:color w:val="222222"/>
          <w:sz w:val="24"/>
          <w:szCs w:val="24"/>
          <w:highlight w:val="white"/>
        </w:rPr>
        <w:t xml:space="preserve">elopment has also been associated with developing the collaboration and communication of the management process effectively (Langner et al., 2020). </w:t>
      </w:r>
    </w:p>
    <w:p w14:paraId="00000029" w14:textId="09140C43"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Forward contracts can therefore be adopted by MNCs to manage foreign exchange risk.  This affects short-term currency exchange rates.  Option contracts reduce transaction exposure to contingent cash flows.  A natural hedging mechanism can again be considered essential in the European </w:t>
      </w:r>
      <w:r w:rsidR="00143746">
        <w:rPr>
          <w:rFonts w:ascii="Times New Roman" w:eastAsia="Times New Roman" w:hAnsi="Times New Roman" w:cs="Times New Roman"/>
          <w:color w:val="222222"/>
          <w:sz w:val="24"/>
          <w:szCs w:val="24"/>
          <w:highlight w:val="white"/>
        </w:rPr>
        <w:t>labor</w:t>
      </w:r>
      <w:r>
        <w:rPr>
          <w:rFonts w:ascii="Times New Roman" w:eastAsia="Times New Roman" w:hAnsi="Times New Roman" w:cs="Times New Roman"/>
          <w:color w:val="222222"/>
          <w:sz w:val="24"/>
          <w:szCs w:val="24"/>
          <w:highlight w:val="white"/>
        </w:rPr>
        <w:t xml:space="preserve"> market.  In this case, strategies should be adopted to hedge long-term exposures by reducing transaction costs.</w:t>
      </w:r>
    </w:p>
    <w:p w14:paraId="0000002A"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Therefore, it can be suggested that, to mitigate the foreign exchange-related issues the MNC and global businesses can adopt the strategies of building financial performance management practices, which should include the accounting management as well. </w:t>
      </w:r>
    </w:p>
    <w:p w14:paraId="0000002B" w14:textId="77777777" w:rsidR="004E0A83" w:rsidRDefault="004E0A83">
      <w:pPr>
        <w:spacing w:line="480" w:lineRule="auto"/>
        <w:jc w:val="both"/>
        <w:rPr>
          <w:rFonts w:ascii="Times New Roman" w:eastAsia="Times New Roman" w:hAnsi="Times New Roman" w:cs="Times New Roman"/>
          <w:color w:val="222222"/>
          <w:sz w:val="24"/>
          <w:szCs w:val="24"/>
          <w:highlight w:val="white"/>
        </w:rPr>
      </w:pPr>
    </w:p>
    <w:p w14:paraId="0000002C" w14:textId="77777777" w:rsidR="004E0A83" w:rsidRDefault="00A01FFD">
      <w:pPr>
        <w:spacing w:line="480" w:lineRule="auto"/>
        <w:jc w:val="both"/>
        <w:rPr>
          <w:rFonts w:ascii="Times New Roman" w:eastAsia="Times New Roman" w:hAnsi="Times New Roman" w:cs="Times New Roman"/>
          <w:b/>
          <w:color w:val="222222"/>
          <w:sz w:val="28"/>
          <w:szCs w:val="28"/>
          <w:highlight w:val="white"/>
        </w:rPr>
      </w:pPr>
      <w:r>
        <w:br w:type="page"/>
      </w:r>
    </w:p>
    <w:p w14:paraId="0000002D" w14:textId="77777777" w:rsidR="004E0A83" w:rsidRDefault="00A01FFD" w:rsidP="00143746">
      <w:pPr>
        <w:pStyle w:val="Heading1"/>
        <w:rPr>
          <w:highlight w:val="white"/>
        </w:rPr>
      </w:pPr>
      <w:bookmarkStart w:id="6" w:name="_Toc160512264"/>
      <w:r>
        <w:rPr>
          <w:highlight w:val="white"/>
        </w:rPr>
        <w:t>Conclusion</w:t>
      </w:r>
      <w:bookmarkEnd w:id="6"/>
    </w:p>
    <w:p w14:paraId="0000002E"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Several ideas can be developed including hedging as a possible means of controlling foreign exchange risk.  By considering these multinational companies, they can demonstrate the quantification of financial transactions and their implementation.  It involves a discussion of factors such as financial objectives and market position.  In this case, the need to adopt strategies to increase shareholder value can be considered, which plays a helpful role in maintaining the volume of the national economy properly.</w:t>
      </w:r>
    </w:p>
    <w:p w14:paraId="0000002F"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report showcases the role and importance of various international financial management activities in the UK context.  These are discussed in the context of various multinational industries in this report.  It provides an idea of ​​Foreign Money Transfer and its related challenges.</w:t>
      </w:r>
    </w:p>
    <w:p w14:paraId="00000030" w14:textId="77777777" w:rsidR="004E0A83" w:rsidRDefault="00A01FFD">
      <w:pPr>
        <w:spacing w:line="480" w:lineRule="auto"/>
        <w:jc w:val="both"/>
        <w:rPr>
          <w:rFonts w:ascii="Times New Roman" w:eastAsia="Times New Roman" w:hAnsi="Times New Roman" w:cs="Times New Roman"/>
          <w:b/>
          <w:color w:val="222222"/>
          <w:sz w:val="28"/>
          <w:szCs w:val="28"/>
          <w:highlight w:val="white"/>
        </w:rPr>
      </w:pPr>
      <w:r>
        <w:br w:type="page"/>
      </w:r>
    </w:p>
    <w:p w14:paraId="00000031" w14:textId="77777777" w:rsidR="004E0A83" w:rsidRDefault="00A01FFD" w:rsidP="00143746">
      <w:pPr>
        <w:pStyle w:val="Heading1"/>
        <w:rPr>
          <w:highlight w:val="white"/>
        </w:rPr>
      </w:pPr>
      <w:bookmarkStart w:id="7" w:name="_Toc160512265"/>
      <w:r>
        <w:rPr>
          <w:highlight w:val="white"/>
        </w:rPr>
        <w:t>References</w:t>
      </w:r>
      <w:bookmarkEnd w:id="7"/>
    </w:p>
    <w:p w14:paraId="6FC70BB8" w14:textId="77777777" w:rsidR="00143746" w:rsidRDefault="00143746">
      <w:pPr>
        <w:spacing w:before="240" w:after="16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Crosby, N., Devaney, S. and Wyatt, P., (2020). Performance metrics and required returns for UK real estate development schemes. </w:t>
      </w:r>
      <w:r>
        <w:rPr>
          <w:rFonts w:ascii="Times New Roman" w:eastAsia="Times New Roman" w:hAnsi="Times New Roman" w:cs="Times New Roman"/>
          <w:i/>
          <w:sz w:val="24"/>
          <w:szCs w:val="24"/>
          <w:highlight w:val="white"/>
        </w:rPr>
        <w:t>Journal of Property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(2), pp.171-193.</w:t>
      </w:r>
    </w:p>
    <w:p w14:paraId="42197220" w14:textId="77777777" w:rsidR="00143746" w:rsidRDefault="0014374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Hosaka, T., (2019). Bankruptcy prediction using imaged financial ratios and convolutional neural networks. Expert systems with applications, 117, pp.287-299.</w:t>
      </w:r>
    </w:p>
    <w:p w14:paraId="653C1F32" w14:textId="77777777" w:rsidR="00143746" w:rsidRDefault="00143746">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Langner, T., Strand, R., Ahlström, H. and Kullberg, J., (2020). Large-scale biometry with interpretable neural network regression on UK Biobank body MRI. </w:t>
      </w:r>
      <w:r>
        <w:rPr>
          <w:rFonts w:ascii="Times New Roman" w:eastAsia="Times New Roman" w:hAnsi="Times New Roman" w:cs="Times New Roman"/>
          <w:i/>
          <w:color w:val="222222"/>
          <w:sz w:val="24"/>
          <w:szCs w:val="24"/>
          <w:highlight w:val="white"/>
        </w:rPr>
        <w:t>Scientific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p.17752.</w:t>
      </w:r>
    </w:p>
    <w:p w14:paraId="4E85BEBE" w14:textId="77777777" w:rsidR="00143746" w:rsidRDefault="00143746">
      <w:pPr>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Nguyen, N.T. and Barth, J.R., (2020). Community banks vs. non-community banks: Where is the advantage in local small business funding?. </w:t>
      </w:r>
      <w:r>
        <w:rPr>
          <w:rFonts w:ascii="Times New Roman" w:eastAsia="Times New Roman" w:hAnsi="Times New Roman" w:cs="Times New Roman"/>
          <w:i/>
          <w:sz w:val="24"/>
          <w:szCs w:val="24"/>
          <w:highlight w:val="white"/>
        </w:rPr>
        <w:t>Atlantic Economic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48</w:t>
      </w:r>
      <w:r>
        <w:rPr>
          <w:rFonts w:ascii="Times New Roman" w:eastAsia="Times New Roman" w:hAnsi="Times New Roman" w:cs="Times New Roman"/>
          <w:sz w:val="24"/>
          <w:szCs w:val="24"/>
          <w:highlight w:val="white"/>
        </w:rPr>
        <w:t>, pp.161-174.</w:t>
      </w:r>
    </w:p>
    <w:p w14:paraId="7BF36958" w14:textId="77777777" w:rsidR="00143746" w:rsidRDefault="0014374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Paolone, F., (2020). Accounting, Cash Flow and Value Relevance. Springer International Publishing.</w:t>
      </w:r>
    </w:p>
    <w:p w14:paraId="441D4B81" w14:textId="77777777" w:rsidR="00143746" w:rsidRDefault="00143746">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Smith, L.E., Potts, H.W., Amlȏt, R., Fear, N.T., Michie, S. and Rubin, G.J., (2020). Adherence to the test, trace, and isolate system: results from a time series of 21 nationally representative surveys in the UK (the COVID-19 Rapid Survey of Adherence to Interventions and Responses [CORSAIR] study). </w:t>
      </w:r>
      <w:r>
        <w:rPr>
          <w:rFonts w:ascii="Times New Roman" w:eastAsia="Times New Roman" w:hAnsi="Times New Roman" w:cs="Times New Roman"/>
          <w:i/>
          <w:color w:val="222222"/>
          <w:sz w:val="24"/>
          <w:szCs w:val="24"/>
          <w:highlight w:val="white"/>
        </w:rPr>
        <w:t>MedRxiv</w:t>
      </w:r>
      <w:r>
        <w:rPr>
          <w:rFonts w:ascii="Times New Roman" w:eastAsia="Times New Roman" w:hAnsi="Times New Roman" w:cs="Times New Roman"/>
          <w:color w:val="222222"/>
          <w:sz w:val="24"/>
          <w:szCs w:val="24"/>
          <w:highlight w:val="white"/>
        </w:rPr>
        <w:t>, pp.2020-09.</w:t>
      </w:r>
    </w:p>
    <w:p w14:paraId="32E67B7D" w14:textId="77777777" w:rsidR="00143746" w:rsidRDefault="00143746">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Stewart, R.B., (2021). The reformation of American administrative law. In The Political Economy: Readings in the Politics and Economics of American Public Policy (pp. 203-223). Routledge.</w:t>
      </w:r>
    </w:p>
    <w:p w14:paraId="4F1C4C44" w14:textId="77777777" w:rsidR="00143746" w:rsidRDefault="00143746">
      <w:pPr>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Tönnissen, S., Beinke, J.H. and Teuteberg, F., (2020). Understanding token-based ecosystems–a taxonomy of blockchain-based business models of start-ups. </w:t>
      </w:r>
      <w:r>
        <w:rPr>
          <w:rFonts w:ascii="Times New Roman" w:eastAsia="Times New Roman" w:hAnsi="Times New Roman" w:cs="Times New Roman"/>
          <w:i/>
          <w:sz w:val="24"/>
          <w:szCs w:val="24"/>
          <w:highlight w:val="white"/>
        </w:rPr>
        <w:t>Electronic Markets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 pp.307-323.</w:t>
      </w:r>
    </w:p>
    <w:p w14:paraId="0BA6AF16" w14:textId="77777777" w:rsidR="00143746" w:rsidRDefault="00143746">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Willetts, M., Atkins, A.S. and Stanier, C., (2022). Quantitative study on barriers to adopting big data analytics for UK and Eire SMEs. In </w:t>
      </w:r>
      <w:r>
        <w:rPr>
          <w:rFonts w:ascii="Times New Roman" w:eastAsia="Times New Roman" w:hAnsi="Times New Roman" w:cs="Times New Roman"/>
          <w:i/>
          <w:color w:val="222222"/>
          <w:sz w:val="24"/>
          <w:szCs w:val="24"/>
          <w:highlight w:val="white"/>
        </w:rPr>
        <w:t>Data Management, Analytics and Innovation: Proceedings of ICDMAI 2021, Volume 2</w:t>
      </w:r>
      <w:r>
        <w:rPr>
          <w:rFonts w:ascii="Times New Roman" w:eastAsia="Times New Roman" w:hAnsi="Times New Roman" w:cs="Times New Roman"/>
          <w:color w:val="222222"/>
          <w:sz w:val="24"/>
          <w:szCs w:val="24"/>
          <w:highlight w:val="white"/>
        </w:rPr>
        <w:t xml:space="preserve"> (pp. 349-373). Springer Singapore.</w:t>
      </w:r>
    </w:p>
    <w:p w14:paraId="0000003B" w14:textId="77777777" w:rsidR="004E0A83" w:rsidRDefault="004E0A83">
      <w:pPr>
        <w:spacing w:before="240" w:after="240" w:line="480" w:lineRule="auto"/>
        <w:jc w:val="both"/>
        <w:rPr>
          <w:rFonts w:ascii="Times New Roman" w:eastAsia="Times New Roman" w:hAnsi="Times New Roman" w:cs="Times New Roman"/>
          <w:sz w:val="24"/>
          <w:szCs w:val="24"/>
          <w:highlight w:val="white"/>
        </w:rPr>
      </w:pPr>
    </w:p>
    <w:p w14:paraId="0000003C" w14:textId="77777777" w:rsidR="004E0A83" w:rsidRDefault="00A01FFD">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0000003D" w14:textId="77777777" w:rsidR="004E0A83" w:rsidRDefault="004E0A83">
      <w:pPr>
        <w:spacing w:line="480" w:lineRule="auto"/>
        <w:jc w:val="both"/>
        <w:rPr>
          <w:rFonts w:ascii="Times New Roman" w:eastAsia="Times New Roman" w:hAnsi="Times New Roman" w:cs="Times New Roman"/>
          <w:color w:val="222222"/>
          <w:sz w:val="24"/>
          <w:szCs w:val="24"/>
          <w:highlight w:val="white"/>
        </w:rPr>
      </w:pPr>
    </w:p>
    <w:p w14:paraId="0000003E" w14:textId="77777777" w:rsidR="004E0A83" w:rsidRDefault="004E0A83">
      <w:pPr>
        <w:spacing w:line="480" w:lineRule="auto"/>
        <w:jc w:val="both"/>
        <w:rPr>
          <w:rFonts w:ascii="Times New Roman" w:eastAsia="Times New Roman" w:hAnsi="Times New Roman" w:cs="Times New Roman"/>
          <w:b/>
          <w:color w:val="222222"/>
          <w:sz w:val="28"/>
          <w:szCs w:val="28"/>
          <w:highlight w:val="white"/>
        </w:rPr>
      </w:pPr>
    </w:p>
    <w:sectPr w:rsidR="004E0A83" w:rsidSect="00295B89">
      <w:headerReference w:type="default"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2C2A7" w14:textId="77777777" w:rsidR="00664E38" w:rsidRDefault="00664E38" w:rsidP="00295B89">
      <w:pPr>
        <w:spacing w:line="240" w:lineRule="auto"/>
      </w:pPr>
      <w:r>
        <w:separator/>
      </w:r>
    </w:p>
  </w:endnote>
  <w:endnote w:type="continuationSeparator" w:id="0">
    <w:p w14:paraId="5AB837F8" w14:textId="77777777" w:rsidR="00664E38" w:rsidRDefault="00664E38" w:rsidP="00295B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5762758"/>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2EFAE10A" w14:textId="07A65409" w:rsidR="00295B89" w:rsidRPr="00295B89" w:rsidRDefault="00295B89">
            <w:pPr>
              <w:pStyle w:val="Footer"/>
              <w:jc w:val="right"/>
              <w:rPr>
                <w:rFonts w:ascii="Times New Roman" w:hAnsi="Times New Roman" w:cs="Times New Roman"/>
                <w:sz w:val="24"/>
                <w:szCs w:val="24"/>
              </w:rPr>
            </w:pPr>
            <w:r w:rsidRPr="00295B89">
              <w:rPr>
                <w:rFonts w:ascii="Times New Roman" w:hAnsi="Times New Roman" w:cs="Times New Roman"/>
                <w:sz w:val="24"/>
                <w:szCs w:val="24"/>
              </w:rPr>
              <w:t xml:space="preserve">Page </w:t>
            </w:r>
            <w:r w:rsidRPr="00295B89">
              <w:rPr>
                <w:rFonts w:ascii="Times New Roman" w:hAnsi="Times New Roman" w:cs="Times New Roman"/>
                <w:b/>
                <w:bCs/>
                <w:sz w:val="24"/>
                <w:szCs w:val="24"/>
              </w:rPr>
              <w:fldChar w:fldCharType="begin"/>
            </w:r>
            <w:r w:rsidRPr="00295B89">
              <w:rPr>
                <w:rFonts w:ascii="Times New Roman" w:hAnsi="Times New Roman" w:cs="Times New Roman"/>
                <w:b/>
                <w:bCs/>
                <w:sz w:val="24"/>
                <w:szCs w:val="24"/>
              </w:rPr>
              <w:instrText xml:space="preserve"> PAGE </w:instrText>
            </w:r>
            <w:r w:rsidRPr="00295B89">
              <w:rPr>
                <w:rFonts w:ascii="Times New Roman" w:hAnsi="Times New Roman" w:cs="Times New Roman"/>
                <w:b/>
                <w:bCs/>
                <w:sz w:val="24"/>
                <w:szCs w:val="24"/>
              </w:rPr>
              <w:fldChar w:fldCharType="separate"/>
            </w:r>
            <w:r w:rsidRPr="00295B89">
              <w:rPr>
                <w:rFonts w:ascii="Times New Roman" w:hAnsi="Times New Roman" w:cs="Times New Roman"/>
                <w:b/>
                <w:bCs/>
                <w:noProof/>
                <w:sz w:val="24"/>
                <w:szCs w:val="24"/>
              </w:rPr>
              <w:t>2</w:t>
            </w:r>
            <w:r w:rsidRPr="00295B89">
              <w:rPr>
                <w:rFonts w:ascii="Times New Roman" w:hAnsi="Times New Roman" w:cs="Times New Roman"/>
                <w:b/>
                <w:bCs/>
                <w:sz w:val="24"/>
                <w:szCs w:val="24"/>
              </w:rPr>
              <w:fldChar w:fldCharType="end"/>
            </w:r>
            <w:r w:rsidRPr="00295B89">
              <w:rPr>
                <w:rFonts w:ascii="Times New Roman" w:hAnsi="Times New Roman" w:cs="Times New Roman"/>
                <w:sz w:val="24"/>
                <w:szCs w:val="24"/>
              </w:rPr>
              <w:t xml:space="preserve"> of </w:t>
            </w:r>
            <w:r w:rsidRPr="00295B89">
              <w:rPr>
                <w:rFonts w:ascii="Times New Roman" w:hAnsi="Times New Roman" w:cs="Times New Roman"/>
                <w:b/>
                <w:bCs/>
                <w:sz w:val="24"/>
                <w:szCs w:val="24"/>
              </w:rPr>
              <w:fldChar w:fldCharType="begin"/>
            </w:r>
            <w:r w:rsidRPr="00295B89">
              <w:rPr>
                <w:rFonts w:ascii="Times New Roman" w:hAnsi="Times New Roman" w:cs="Times New Roman"/>
                <w:b/>
                <w:bCs/>
                <w:sz w:val="24"/>
                <w:szCs w:val="24"/>
              </w:rPr>
              <w:instrText xml:space="preserve"> NUMPAGES  </w:instrText>
            </w:r>
            <w:r w:rsidRPr="00295B89">
              <w:rPr>
                <w:rFonts w:ascii="Times New Roman" w:hAnsi="Times New Roman" w:cs="Times New Roman"/>
                <w:b/>
                <w:bCs/>
                <w:sz w:val="24"/>
                <w:szCs w:val="24"/>
              </w:rPr>
              <w:fldChar w:fldCharType="separate"/>
            </w:r>
            <w:r w:rsidRPr="00295B89">
              <w:rPr>
                <w:rFonts w:ascii="Times New Roman" w:hAnsi="Times New Roman" w:cs="Times New Roman"/>
                <w:b/>
                <w:bCs/>
                <w:noProof/>
                <w:sz w:val="24"/>
                <w:szCs w:val="24"/>
              </w:rPr>
              <w:t>2</w:t>
            </w:r>
            <w:r w:rsidRPr="00295B89">
              <w:rPr>
                <w:rFonts w:ascii="Times New Roman" w:hAnsi="Times New Roman" w:cs="Times New Roman"/>
                <w:b/>
                <w:bCs/>
                <w:sz w:val="24"/>
                <w:szCs w:val="24"/>
              </w:rPr>
              <w:fldChar w:fldCharType="end"/>
            </w:r>
          </w:p>
        </w:sdtContent>
      </w:sdt>
    </w:sdtContent>
  </w:sdt>
  <w:p w14:paraId="2C2B9E15" w14:textId="77777777" w:rsidR="00295B89" w:rsidRDefault="00295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C9AD6" w14:textId="77777777" w:rsidR="00664E38" w:rsidRDefault="00664E38" w:rsidP="00295B89">
      <w:pPr>
        <w:spacing w:line="240" w:lineRule="auto"/>
      </w:pPr>
      <w:r>
        <w:separator/>
      </w:r>
    </w:p>
  </w:footnote>
  <w:footnote w:type="continuationSeparator" w:id="0">
    <w:p w14:paraId="2FC4D9AB" w14:textId="77777777" w:rsidR="00664E38" w:rsidRDefault="00664E38" w:rsidP="00295B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0F470" w14:textId="52F9FB94" w:rsidR="00295B89" w:rsidRPr="00295B89" w:rsidRDefault="00295B89" w:rsidP="00295B89">
    <w:pPr>
      <w:pStyle w:val="Header"/>
      <w:spacing w:line="480" w:lineRule="auto"/>
      <w:jc w:val="right"/>
      <w:rPr>
        <w:rFonts w:ascii="Times New Roman" w:hAnsi="Times New Roman" w:cs="Times New Roman"/>
        <w:lang w:val="en-US"/>
      </w:rPr>
    </w:pPr>
    <w:r w:rsidRPr="00295B89">
      <w:rPr>
        <w:rFonts w:ascii="Times New Roman" w:hAnsi="Times New Roman" w:cs="Times New Roman"/>
        <w:lang w:val="en-US"/>
      </w:rPr>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0A83"/>
    <w:rsid w:val="00143746"/>
    <w:rsid w:val="00295B89"/>
    <w:rsid w:val="00306C6B"/>
    <w:rsid w:val="003748F3"/>
    <w:rsid w:val="004742BC"/>
    <w:rsid w:val="004E0A83"/>
    <w:rsid w:val="00525620"/>
    <w:rsid w:val="00664E38"/>
    <w:rsid w:val="008D3667"/>
    <w:rsid w:val="00A01FFD"/>
    <w:rsid w:val="00AC5A47"/>
    <w:rsid w:val="00DE1319"/>
    <w:rsid w:val="00E03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D3497"/>
  <w15:docId w15:val="{F34BEE37-D13B-40FB-9692-2BE4DFFC4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43746"/>
    <w:pPr>
      <w:spacing w:line="480" w:lineRule="auto"/>
      <w:jc w:val="both"/>
      <w:outlineLvl w:val="0"/>
    </w:pPr>
    <w:rPr>
      <w:rFonts w:ascii="Times New Roman" w:eastAsia="Times New Roman" w:hAnsi="Times New Roman" w:cs="Times New Roman"/>
      <w:b/>
      <w:color w:val="222222"/>
      <w:sz w:val="28"/>
      <w:szCs w:val="28"/>
    </w:rPr>
  </w:style>
  <w:style w:type="paragraph" w:styleId="Heading2">
    <w:name w:val="heading 2"/>
    <w:basedOn w:val="Normal"/>
    <w:next w:val="Normal"/>
    <w:uiPriority w:val="9"/>
    <w:unhideWhenUsed/>
    <w:qFormat/>
    <w:rsid w:val="00143746"/>
    <w:pPr>
      <w:spacing w:line="480" w:lineRule="auto"/>
      <w:jc w:val="both"/>
      <w:outlineLvl w:val="1"/>
    </w:pPr>
    <w:rPr>
      <w:rFonts w:ascii="Times New Roman" w:eastAsia="Times New Roman" w:hAnsi="Times New Roman" w:cs="Times New Roman"/>
      <w:b/>
      <w:color w:val="222222"/>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4374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43746"/>
    <w:pPr>
      <w:spacing w:after="100"/>
    </w:pPr>
  </w:style>
  <w:style w:type="paragraph" w:styleId="TOC2">
    <w:name w:val="toc 2"/>
    <w:basedOn w:val="Normal"/>
    <w:next w:val="Normal"/>
    <w:autoRedefine/>
    <w:uiPriority w:val="39"/>
    <w:unhideWhenUsed/>
    <w:rsid w:val="00143746"/>
    <w:pPr>
      <w:spacing w:after="100"/>
      <w:ind w:left="220"/>
    </w:pPr>
  </w:style>
  <w:style w:type="character" w:styleId="Hyperlink">
    <w:name w:val="Hyperlink"/>
    <w:basedOn w:val="DefaultParagraphFont"/>
    <w:uiPriority w:val="99"/>
    <w:unhideWhenUsed/>
    <w:rsid w:val="00143746"/>
    <w:rPr>
      <w:color w:val="0000FF" w:themeColor="hyperlink"/>
      <w:u w:val="single"/>
    </w:rPr>
  </w:style>
  <w:style w:type="paragraph" w:styleId="Header">
    <w:name w:val="header"/>
    <w:basedOn w:val="Normal"/>
    <w:link w:val="HeaderChar"/>
    <w:uiPriority w:val="99"/>
    <w:unhideWhenUsed/>
    <w:rsid w:val="00295B89"/>
    <w:pPr>
      <w:tabs>
        <w:tab w:val="center" w:pos="4680"/>
        <w:tab w:val="right" w:pos="9360"/>
      </w:tabs>
      <w:spacing w:line="240" w:lineRule="auto"/>
    </w:pPr>
  </w:style>
  <w:style w:type="character" w:customStyle="1" w:styleId="HeaderChar">
    <w:name w:val="Header Char"/>
    <w:basedOn w:val="DefaultParagraphFont"/>
    <w:link w:val="Header"/>
    <w:uiPriority w:val="99"/>
    <w:rsid w:val="00295B89"/>
  </w:style>
  <w:style w:type="paragraph" w:styleId="Footer">
    <w:name w:val="footer"/>
    <w:basedOn w:val="Normal"/>
    <w:link w:val="FooterChar"/>
    <w:uiPriority w:val="99"/>
    <w:unhideWhenUsed/>
    <w:rsid w:val="00295B89"/>
    <w:pPr>
      <w:tabs>
        <w:tab w:val="center" w:pos="4680"/>
        <w:tab w:val="right" w:pos="9360"/>
      </w:tabs>
      <w:spacing w:line="240" w:lineRule="auto"/>
    </w:pPr>
  </w:style>
  <w:style w:type="character" w:customStyle="1" w:styleId="FooterChar">
    <w:name w:val="Footer Char"/>
    <w:basedOn w:val="DefaultParagraphFont"/>
    <w:link w:val="Footer"/>
    <w:uiPriority w:val="99"/>
    <w:rsid w:val="00295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A283B0-61B7-4338-9C1B-DF1CF9171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2110</Words>
  <Characters>12028</Characters>
  <Application>Microsoft Office Word</Application>
  <DocSecurity>0</DocSecurity>
  <Lines>100</Lines>
  <Paragraphs>28</Paragraphs>
  <ScaleCrop>false</ScaleCrop>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SABYASACHI</dc:creator>
  <cp:lastModifiedBy>Sandra Ghinescu</cp:lastModifiedBy>
  <cp:revision>7</cp:revision>
  <dcterms:created xsi:type="dcterms:W3CDTF">2024-03-30T12:42:00Z</dcterms:created>
  <dcterms:modified xsi:type="dcterms:W3CDTF">2024-03-30T12:50:00Z</dcterms:modified>
</cp:coreProperties>
</file>