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A52CE3" w14:textId="240113BE" w:rsidR="00913A88"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CD33A8">
      <w:pPr>
        <w:tabs>
          <w:tab w:val="left" w:pos="6540"/>
        </w:tabs>
        <w:spacing w:line="360" w:lineRule="auto"/>
        <w:rPr>
          <w:rFonts w:asciiTheme="minorBidi" w:hAnsiTheme="minorBidi"/>
          <w:sz w:val="22"/>
        </w:rPr>
      </w:pPr>
    </w:p>
    <w:p w14:paraId="7D557BA5" w14:textId="26BE8369" w:rsidR="00CD33A8" w:rsidRPr="007B7B9E" w:rsidRDefault="00CD33A8" w:rsidP="00CD33A8">
      <w:pPr>
        <w:tabs>
          <w:tab w:val="left" w:pos="6540"/>
        </w:tabs>
        <w:spacing w:line="360" w:lineRule="auto"/>
        <w:rPr>
          <w:rFonts w:ascii="Arial" w:hAnsi="Arial" w:cs="Arial"/>
          <w:sz w:val="28"/>
          <w:szCs w:val="28"/>
        </w:rPr>
      </w:pPr>
      <w:r w:rsidRPr="007B7B9E">
        <w:rPr>
          <w:rFonts w:ascii="Arial" w:hAnsi="Arial" w:cs="Arial"/>
          <w:b/>
          <w:bCs/>
          <w:sz w:val="28"/>
          <w:szCs w:val="28"/>
        </w:rPr>
        <w:t>Module name</w:t>
      </w:r>
      <w:r w:rsidRPr="007B7B9E">
        <w:rPr>
          <w:rFonts w:ascii="Arial" w:hAnsi="Arial" w:cs="Arial"/>
          <w:sz w:val="28"/>
          <w:szCs w:val="28"/>
        </w:rPr>
        <w:t xml:space="preserve">: </w:t>
      </w:r>
      <w:r w:rsidR="007B7B9E">
        <w:rPr>
          <w:rFonts w:ascii="Arial" w:hAnsi="Arial" w:cs="Arial"/>
          <w:sz w:val="28"/>
          <w:szCs w:val="28"/>
        </w:rPr>
        <w:t>Introduction to Public Health</w:t>
      </w:r>
    </w:p>
    <w:p w14:paraId="537571AF" w14:textId="2A4E63A7"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7B7B9E">
        <w:rPr>
          <w:rFonts w:ascii="Arial" w:hAnsi="Arial" w:cs="Arial"/>
          <w:sz w:val="28"/>
          <w:szCs w:val="28"/>
        </w:rPr>
        <w:t xml:space="preserve"> LCHS4008_LONDON</w:t>
      </w:r>
    </w:p>
    <w:p w14:paraId="529D7354" w14:textId="77777777" w:rsidR="00CD33A8" w:rsidRPr="007B7B9E" w:rsidRDefault="00CD33A8" w:rsidP="00CD33A8">
      <w:pPr>
        <w:tabs>
          <w:tab w:val="left" w:pos="6540"/>
        </w:tabs>
        <w:spacing w:line="360" w:lineRule="auto"/>
        <w:rPr>
          <w:rFonts w:ascii="Arial" w:hAnsi="Arial" w:cs="Arial"/>
          <w:b/>
          <w:bCs/>
          <w:sz w:val="28"/>
          <w:szCs w:val="28"/>
        </w:rPr>
      </w:pPr>
    </w:p>
    <w:p w14:paraId="0A48766D" w14:textId="1C4E3B4E" w:rsidR="00074402" w:rsidRPr="007B7B9E" w:rsidRDefault="00074402" w:rsidP="00CD33A8">
      <w:pPr>
        <w:tabs>
          <w:tab w:val="left" w:pos="6540"/>
        </w:tabs>
        <w:spacing w:line="360" w:lineRule="auto"/>
        <w:rPr>
          <w:rFonts w:ascii="Arial" w:hAnsi="Arial" w:cs="Arial"/>
          <w:sz w:val="28"/>
          <w:szCs w:val="28"/>
          <w:lang w:val="nl-NL"/>
        </w:rPr>
      </w:pPr>
      <w:r w:rsidRPr="007B7B9E">
        <w:rPr>
          <w:rFonts w:ascii="Arial" w:hAnsi="Arial" w:cs="Arial"/>
          <w:b/>
          <w:bCs/>
          <w:sz w:val="28"/>
          <w:szCs w:val="28"/>
          <w:lang w:val="nl-NL"/>
        </w:rPr>
        <w:t>Student name</w:t>
      </w:r>
      <w:r w:rsidRPr="007B7B9E">
        <w:rPr>
          <w:rFonts w:ascii="Arial" w:hAnsi="Arial" w:cs="Arial"/>
          <w:sz w:val="28"/>
          <w:szCs w:val="28"/>
          <w:lang w:val="nl-NL"/>
        </w:rPr>
        <w:t>:</w:t>
      </w:r>
      <w:r w:rsidR="007B7B9E" w:rsidRPr="007B7B9E">
        <w:rPr>
          <w:rFonts w:ascii="Arial" w:hAnsi="Arial" w:cs="Arial"/>
          <w:sz w:val="28"/>
          <w:szCs w:val="28"/>
          <w:lang w:val="nl-NL"/>
        </w:rPr>
        <w:t xml:space="preserve"> Kamilla S</w:t>
      </w:r>
      <w:r w:rsidR="007B7B9E">
        <w:rPr>
          <w:rFonts w:ascii="Arial" w:hAnsi="Arial" w:cs="Arial"/>
          <w:sz w:val="28"/>
          <w:szCs w:val="28"/>
          <w:lang w:val="nl-NL"/>
        </w:rPr>
        <w:t xml:space="preserve">ydykbekova </w:t>
      </w:r>
    </w:p>
    <w:p w14:paraId="39AA4413" w14:textId="110386B1" w:rsidR="00074402" w:rsidRPr="007B7B9E" w:rsidRDefault="00074402" w:rsidP="00CD33A8">
      <w:pPr>
        <w:tabs>
          <w:tab w:val="left" w:pos="6540"/>
        </w:tabs>
        <w:spacing w:line="360" w:lineRule="auto"/>
        <w:rPr>
          <w:rFonts w:ascii="Arial" w:hAnsi="Arial" w:cs="Arial"/>
          <w:sz w:val="28"/>
          <w:szCs w:val="28"/>
        </w:rPr>
      </w:pPr>
      <w:r w:rsidRPr="007B7B9E">
        <w:rPr>
          <w:rFonts w:ascii="Arial" w:hAnsi="Arial" w:cs="Arial"/>
          <w:b/>
          <w:bCs/>
          <w:sz w:val="28"/>
          <w:szCs w:val="28"/>
        </w:rPr>
        <w:t>Student ID</w:t>
      </w:r>
      <w:r w:rsidRPr="007B7B9E">
        <w:rPr>
          <w:rFonts w:ascii="Arial" w:hAnsi="Arial" w:cs="Arial"/>
          <w:sz w:val="28"/>
          <w:szCs w:val="28"/>
        </w:rPr>
        <w:t>:</w:t>
      </w:r>
      <w:r w:rsidR="007B7B9E" w:rsidRPr="007B7B9E">
        <w:rPr>
          <w:rFonts w:ascii="Arial" w:hAnsi="Arial" w:cs="Arial"/>
          <w:sz w:val="28"/>
          <w:szCs w:val="28"/>
        </w:rPr>
        <w:t xml:space="preserve"> 2530431</w:t>
      </w:r>
    </w:p>
    <w:p w14:paraId="5E81F6AD" w14:textId="77777777" w:rsidR="00074402" w:rsidRPr="007B7B9E" w:rsidRDefault="00074402" w:rsidP="00CD33A8">
      <w:pPr>
        <w:tabs>
          <w:tab w:val="left" w:pos="6540"/>
        </w:tabs>
        <w:spacing w:line="360" w:lineRule="auto"/>
        <w:rPr>
          <w:rFonts w:ascii="Arial" w:hAnsi="Arial" w:cs="Arial"/>
          <w:sz w:val="28"/>
          <w:szCs w:val="28"/>
        </w:rPr>
      </w:pPr>
    </w:p>
    <w:p w14:paraId="1A0B2D2B" w14:textId="01F4C4D9"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7B7B9E">
        <w:rPr>
          <w:rFonts w:ascii="Arial" w:hAnsi="Arial" w:cs="Arial"/>
          <w:sz w:val="28"/>
          <w:szCs w:val="28"/>
        </w:rPr>
        <w:t xml:space="preserve"> Tonia Babalola</w:t>
      </w:r>
    </w:p>
    <w:p w14:paraId="39D08584" w14:textId="77777777" w:rsidR="00074402" w:rsidRPr="00CD33A8" w:rsidRDefault="00074402" w:rsidP="00CD33A8">
      <w:pPr>
        <w:tabs>
          <w:tab w:val="left" w:pos="6540"/>
        </w:tabs>
        <w:spacing w:line="360" w:lineRule="auto"/>
        <w:rPr>
          <w:rFonts w:asciiTheme="minorBidi" w:hAnsiTheme="minorBidi"/>
          <w:sz w:val="22"/>
        </w:rPr>
      </w:pPr>
    </w:p>
    <w:p w14:paraId="5B66D125" w14:textId="77777777" w:rsidR="00074402" w:rsidRPr="00CD33A8" w:rsidRDefault="00074402" w:rsidP="00CD33A8">
      <w:pPr>
        <w:tabs>
          <w:tab w:val="left" w:pos="6540"/>
        </w:tabs>
        <w:spacing w:line="360" w:lineRule="auto"/>
        <w:rPr>
          <w:rFonts w:asciiTheme="minorBidi" w:hAnsiTheme="minorBidi"/>
          <w:sz w:val="22"/>
        </w:rPr>
      </w:pPr>
    </w:p>
    <w:p w14:paraId="291524A2" w14:textId="2CBFF360" w:rsidR="00074402" w:rsidRPr="00CD33A8" w:rsidRDefault="00074402" w:rsidP="00CD33A8">
      <w:pPr>
        <w:tabs>
          <w:tab w:val="left" w:pos="6540"/>
        </w:tabs>
        <w:spacing w:line="360" w:lineRule="auto"/>
        <w:rPr>
          <w:rFonts w:asciiTheme="minorBidi" w:hAnsiTheme="minorBidi"/>
          <w:sz w:val="22"/>
        </w:rPr>
      </w:pPr>
    </w:p>
    <w:p w14:paraId="5AE88297" w14:textId="24E6B718" w:rsidR="00B87E75" w:rsidRPr="00CD33A8" w:rsidRDefault="00B87E75" w:rsidP="00CD33A8">
      <w:pPr>
        <w:tabs>
          <w:tab w:val="left" w:pos="6540"/>
        </w:tabs>
        <w:spacing w:line="360" w:lineRule="auto"/>
        <w:rPr>
          <w:rFonts w:asciiTheme="minorBidi" w:hAnsiTheme="minorBidi"/>
          <w:sz w:val="22"/>
        </w:rPr>
      </w:pPr>
    </w:p>
    <w:p w14:paraId="420ADE33" w14:textId="35FB1322" w:rsidR="00B87E75" w:rsidRPr="00CD33A8" w:rsidRDefault="00B87E75" w:rsidP="00CD33A8">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E620E7">
      <w:pPr>
        <w:pStyle w:val="Heading1"/>
      </w:pPr>
      <w:r w:rsidRPr="00CD33A8">
        <w:lastRenderedPageBreak/>
        <w:t>Table of contents</w:t>
      </w:r>
    </w:p>
    <w:p w14:paraId="13E00080" w14:textId="24822287" w:rsidR="00B87E75" w:rsidRPr="007B7B9E" w:rsidRDefault="007B7B9E" w:rsidP="00CD33A8">
      <w:pPr>
        <w:spacing w:line="360" w:lineRule="auto"/>
        <w:rPr>
          <w:rFonts w:asciiTheme="minorBidi" w:hAnsiTheme="minorBidi"/>
          <w:b/>
          <w:bCs/>
          <w:sz w:val="22"/>
        </w:rPr>
      </w:pPr>
      <w:r w:rsidRPr="007B7B9E">
        <w:rPr>
          <w:rFonts w:asciiTheme="minorBidi" w:hAnsiTheme="minorBidi"/>
          <w:b/>
          <w:bCs/>
          <w:sz w:val="22"/>
        </w:rPr>
        <w:t>Poliomyelitis (Polio)</w:t>
      </w:r>
    </w:p>
    <w:p w14:paraId="2E79F7ED" w14:textId="182913C0" w:rsidR="00B87E75" w:rsidRPr="00CD33A8" w:rsidRDefault="00B87E75" w:rsidP="00CD33A8">
      <w:pPr>
        <w:spacing w:line="360" w:lineRule="auto"/>
        <w:rPr>
          <w:rFonts w:asciiTheme="minorBidi" w:hAnsiTheme="minorBidi"/>
          <w:sz w:val="22"/>
        </w:rPr>
      </w:pPr>
    </w:p>
    <w:p w14:paraId="7AE771D5" w14:textId="1C06E45A" w:rsidR="00B87E75" w:rsidRPr="00CD33A8" w:rsidRDefault="00B87E75" w:rsidP="00CD33A8">
      <w:pPr>
        <w:spacing w:line="360" w:lineRule="auto"/>
        <w:rPr>
          <w:rFonts w:asciiTheme="minorBidi" w:hAnsiTheme="minorBidi"/>
          <w:sz w:val="22"/>
        </w:rPr>
      </w:pPr>
    </w:p>
    <w:p w14:paraId="12D76753" w14:textId="738706AE" w:rsidR="00B87E75" w:rsidRPr="007B7B9E" w:rsidRDefault="00B87E75" w:rsidP="007B7B9E">
      <w:pPr>
        <w:spacing w:line="360" w:lineRule="auto"/>
        <w:rPr>
          <w:rFonts w:asciiTheme="minorBidi" w:hAnsiTheme="minorBidi"/>
          <w:b/>
          <w:bCs/>
          <w:sz w:val="40"/>
          <w:szCs w:val="40"/>
        </w:rPr>
      </w:pPr>
      <w:r w:rsidRPr="00CD33A8">
        <w:rPr>
          <w:rFonts w:asciiTheme="minorBidi" w:hAnsiTheme="minorBidi"/>
          <w:sz w:val="22"/>
        </w:rPr>
        <w:br w:type="page"/>
      </w:r>
      <w:r w:rsidRPr="007B7B9E">
        <w:rPr>
          <w:b/>
          <w:bCs/>
          <w:sz w:val="40"/>
          <w:szCs w:val="40"/>
        </w:rPr>
        <w:lastRenderedPageBreak/>
        <w:t xml:space="preserve"> Introduction</w:t>
      </w:r>
    </w:p>
    <w:p w14:paraId="68C53673" w14:textId="6CD5FA35" w:rsidR="008E3943" w:rsidRPr="00CD33A8" w:rsidRDefault="007B7B9E" w:rsidP="008E3943">
      <w:pPr>
        <w:tabs>
          <w:tab w:val="left" w:pos="6540"/>
        </w:tabs>
        <w:spacing w:line="360" w:lineRule="auto"/>
        <w:rPr>
          <w:rFonts w:ascii="Arial" w:hAnsi="Arial" w:cs="Arial"/>
          <w:sz w:val="22"/>
        </w:rPr>
      </w:pPr>
      <w:r w:rsidRPr="007B7B9E">
        <w:rPr>
          <w:rFonts w:ascii="Arial" w:hAnsi="Arial" w:cs="Arial"/>
          <w:sz w:val="22"/>
        </w:rPr>
        <w:t>Poliomyelitis, more commonly known as polio, is an infectious disease caused by the poliovirus. It can affect people of different ages, although children under the age of five are particularly at risk. The virus mainly spreads from one person to another through the faecal-oral route. This means that it can be transmitted through contaminated food, water or contact with infected faeces. Once the virus enters the body, it multiplies in the intestine and, in more serious cases, can attack the nervous system.</w:t>
      </w:r>
      <w:r w:rsidRPr="007B7B9E">
        <w:rPr>
          <w:rFonts w:ascii="Arial" w:hAnsi="Arial" w:cs="Arial"/>
          <w:sz w:val="22"/>
        </w:rPr>
        <w:br/>
        <w:t>Many people who become infected with poliovirus do not realise that they have it because they either have no symptoms or only experience a mild illness. When symptoms do occur, they can include fever, tiredness, headache, vomiting, stiffness in the neck and pain in the arms or legs. In rare cases, the infection becomes much more serious and can lead to permanent paralysis.</w:t>
      </w:r>
      <w:r w:rsidRPr="007B7B9E">
        <w:rPr>
          <w:rFonts w:ascii="Arial" w:hAnsi="Arial" w:cs="Arial"/>
          <w:sz w:val="22"/>
        </w:rPr>
        <w:br/>
        <w:t>Polio used to be a major health problem across the world. In 1988, there were an estimated 350,000 cases in more than 125 countries where polio was endemic</w:t>
      </w:r>
      <w:r>
        <w:rPr>
          <w:rFonts w:ascii="Arial" w:hAnsi="Arial" w:cs="Arial"/>
          <w:sz w:val="22"/>
        </w:rPr>
        <w:t>.</w:t>
      </w:r>
    </w:p>
    <w:p w14:paraId="52010A5E" w14:textId="77777777" w:rsidR="0026393A" w:rsidRPr="00CD33A8" w:rsidRDefault="0026393A" w:rsidP="00CD33A8">
      <w:pPr>
        <w:tabs>
          <w:tab w:val="left" w:pos="6540"/>
        </w:tabs>
        <w:spacing w:line="360" w:lineRule="auto"/>
        <w:rPr>
          <w:rFonts w:ascii="Arial" w:hAnsi="Arial" w:cs="Arial"/>
          <w:sz w:val="22"/>
        </w:rPr>
      </w:pPr>
    </w:p>
    <w:p w14:paraId="0537CEF5" w14:textId="3C191614" w:rsidR="003E4ECF" w:rsidRDefault="007B7B9E" w:rsidP="00CD33A8">
      <w:pPr>
        <w:tabs>
          <w:tab w:val="left" w:pos="6540"/>
        </w:tabs>
        <w:spacing w:line="360" w:lineRule="auto"/>
        <w:rPr>
          <w:rFonts w:asciiTheme="minorBidi" w:hAnsiTheme="minorBidi"/>
          <w:sz w:val="22"/>
        </w:rPr>
      </w:pPr>
      <w:r w:rsidRPr="007B7B9E">
        <w:rPr>
          <w:rFonts w:asciiTheme="minorBidi" w:hAnsiTheme="minorBidi"/>
          <w:b/>
          <w:bCs/>
          <w:sz w:val="22"/>
        </w:rPr>
        <w:t>How Polio Is Measured and Monitored</w:t>
      </w:r>
      <w:r w:rsidRPr="007B7B9E">
        <w:rPr>
          <w:rFonts w:asciiTheme="minorBidi" w:hAnsiTheme="minorBidi"/>
          <w:sz w:val="22"/>
        </w:rPr>
        <w:br/>
      </w:r>
      <w:r w:rsidRPr="007B7B9E">
        <w:rPr>
          <w:rFonts w:asciiTheme="minorBidi" w:hAnsiTheme="minorBidi"/>
          <w:sz w:val="22"/>
        </w:rPr>
        <w:br/>
        <w:t>Monitoring polio is very important because an infected person may spread the virus without showing obvious signs of illness. Health authorities therefore cannot depend only on people visiting hospitals with symptoms. Different surveillance methods are used to identify possible cases and detect whether the virus is circulating within a community.</w:t>
      </w:r>
      <w:r w:rsidRPr="007B7B9E">
        <w:rPr>
          <w:rFonts w:asciiTheme="minorBidi" w:hAnsiTheme="minorBidi"/>
          <w:sz w:val="22"/>
        </w:rPr>
        <w:br/>
        <w:t>One of these methods is Acute Flaccid Paralysis (AFP) surveillance. Acute flaccid paralysis is a sudden weakness or loss of movement in muscles. When a possible case is identified, particularly in a child, healthcare professionals can report and investigate it. Samples can then be tested in a specialist laboratory to find out whether poliovirus is responsible.</w:t>
      </w:r>
      <w:r w:rsidRPr="007B7B9E">
        <w:rPr>
          <w:rFonts w:asciiTheme="minorBidi" w:hAnsiTheme="minorBidi"/>
          <w:sz w:val="22"/>
        </w:rPr>
        <w:br/>
        <w:t>Another important method is environmental surveillance. This involves collecting sewage or wastewater samples and testing them for poliovirus. This is useful because infected individuals can release the virus in their faeces even when they have no symptoms. Therefore, sewage testing can sometimes identify circulation of the virus before serious cases appear.</w:t>
      </w:r>
      <w:r w:rsidRPr="007B7B9E">
        <w:rPr>
          <w:rFonts w:asciiTheme="minorBidi" w:hAnsiTheme="minorBidi"/>
          <w:sz w:val="22"/>
        </w:rPr>
        <w:br/>
        <w:t>The importance of this system was demonstrated in London in 2022. Poliovirus was repeatedly identified in sewage samples collected from the Beckton Sewage Treatment Works. Further investigation found closely related vaccine-derived polioviruses, suggesting that some transmission had occurred between individuals in North and East London. Importantly, no associated cases of paralysis were reported (UKHSA, 2022).</w:t>
      </w:r>
      <w:r w:rsidRPr="007B7B9E">
        <w:rPr>
          <w:rFonts w:asciiTheme="minorBidi" w:hAnsiTheme="minorBidi"/>
          <w:sz w:val="22"/>
        </w:rPr>
        <w:br/>
      </w:r>
      <w:r w:rsidRPr="007B7B9E">
        <w:rPr>
          <w:rFonts w:asciiTheme="minorBidi" w:hAnsiTheme="minorBidi"/>
          <w:sz w:val="22"/>
        </w:rPr>
        <w:lastRenderedPageBreak/>
        <w:br/>
        <w:t>Laboratory testing and genetic sequencing are also useful. Scientists can analyse samples to identify the type of poliovirus and compare different samples. This can provide information about whether cases may be connected and can help public-health teams understand how the virus is spreading.</w:t>
      </w:r>
      <w:r w:rsidRPr="007B7B9E">
        <w:rPr>
          <w:rFonts w:asciiTheme="minorBidi" w:hAnsiTheme="minorBidi"/>
          <w:sz w:val="22"/>
        </w:rPr>
        <w:br/>
        <w:t>Vaccination rates are another important part of monitoring. Areas where fewer children have received their vaccinations may be more vulnerable to an outbreak. For example, UK vaccination statistics for 2024–2025 showed that 91.7% of children had received the primary 6-in-1 vaccine, which includes protection against polio, by 12 months of age (UKHSA, 2025). Monitoring these figures allows health services to identify areas where vaccination uptake needs to improve.</w:t>
      </w:r>
      <w:r w:rsidRPr="007B7B9E">
        <w:rPr>
          <w:rFonts w:asciiTheme="minorBidi" w:hAnsiTheme="minorBidi"/>
          <w:sz w:val="22"/>
        </w:rPr>
        <w:br/>
      </w:r>
      <w:r w:rsidRPr="007B7B9E">
        <w:rPr>
          <w:rFonts w:asciiTheme="minorBidi" w:hAnsiTheme="minorBidi"/>
          <w:sz w:val="22"/>
        </w:rPr>
        <w:br/>
      </w:r>
      <w:r w:rsidRPr="007B7B9E">
        <w:rPr>
          <w:rFonts w:asciiTheme="minorBidi" w:hAnsiTheme="minorBidi"/>
          <w:b/>
          <w:bCs/>
          <w:sz w:val="22"/>
        </w:rPr>
        <w:t>How Polio Is Prevented and Controlled</w:t>
      </w:r>
      <w:r w:rsidRPr="007B7B9E">
        <w:rPr>
          <w:rFonts w:asciiTheme="minorBidi" w:hAnsiTheme="minorBidi"/>
          <w:sz w:val="22"/>
        </w:rPr>
        <w:br/>
      </w:r>
      <w:r w:rsidRPr="007B7B9E">
        <w:rPr>
          <w:rFonts w:asciiTheme="minorBidi" w:hAnsiTheme="minorBidi"/>
          <w:sz w:val="22"/>
        </w:rPr>
        <w:br/>
        <w:t>There is currently no cure for polio, which means that prevention is extremely important. Vaccination is the main way of protecting people against the disease.</w:t>
      </w:r>
      <w:r w:rsidRPr="007B7B9E">
        <w:rPr>
          <w:rFonts w:asciiTheme="minorBidi" w:hAnsiTheme="minorBidi"/>
          <w:sz w:val="22"/>
        </w:rPr>
        <w:br/>
        <w:t>In the UK, protection against polio is included within the routine childhood vaccination programme. The inactivated poliovirus vaccine (IPV) is given as part of combined childhood vaccines. Children receive doses at different ages to build and maintain protection.</w:t>
      </w:r>
      <w:r w:rsidRPr="007B7B9E">
        <w:rPr>
          <w:rFonts w:asciiTheme="minorBidi" w:hAnsiTheme="minorBidi"/>
          <w:sz w:val="22"/>
        </w:rPr>
        <w:br/>
        <w:t>Even though the UK is considered polio-free, vaccination is still necessary. International travel means that viruses can move between countries. If poliovirus is introduced into a community where many people are not fully vaccinated, there is a possibility that it could spread.</w:t>
      </w:r>
      <w:r w:rsidRPr="007B7B9E">
        <w:rPr>
          <w:rFonts w:asciiTheme="minorBidi" w:hAnsiTheme="minorBidi"/>
          <w:sz w:val="22"/>
        </w:rPr>
        <w:br/>
        <w:t>Oral polio vaccine (OPV) has also played a major role in worldwide efforts to control the disease. It is easy to administer and has been particularly useful during large vaccination campaigns. However, the weakened virus used in some oral vaccines can very rarely continue circulating in communities with low vaccination coverage and change genetically. This can lead to vaccine-derived poliovirus. This is one reason why maintaining high vaccination rates is so important.</w:t>
      </w:r>
      <w:r w:rsidRPr="007B7B9E">
        <w:rPr>
          <w:rFonts w:asciiTheme="minorBidi" w:hAnsiTheme="minorBidi"/>
          <w:sz w:val="22"/>
        </w:rPr>
        <w:br/>
        <w:t>Other methods of controlling polio include investigating suspected cases, testing contacts, monitoring wastewater and organising additional vaccination campaigns when necessary. Good sanitation and hygiene are also important because the virus is mainly spread through the faecal-oral route.</w:t>
      </w:r>
      <w:r w:rsidRPr="007B7B9E">
        <w:rPr>
          <w:rFonts w:asciiTheme="minorBidi" w:hAnsiTheme="minorBidi"/>
          <w:sz w:val="22"/>
        </w:rPr>
        <w:br/>
        <w:t xml:space="preserve">Polio control also requires cooperation between different countries and organisations. The Global Polio Eradication Initiative was launched in 1988 and has involved WHO, UNICEF, governments and other international organisations. These programmes have helped reduce wild poliovirus cases by more than 99%. However, complete eradication has still not been </w:t>
      </w:r>
      <w:r w:rsidRPr="007B7B9E">
        <w:rPr>
          <w:rFonts w:asciiTheme="minorBidi" w:hAnsiTheme="minorBidi"/>
          <w:sz w:val="22"/>
        </w:rPr>
        <w:lastRenderedPageBreak/>
        <w:t>achieved, so vaccination and surveillance need to continue.</w:t>
      </w:r>
      <w:r w:rsidRPr="007B7B9E">
        <w:rPr>
          <w:rFonts w:asciiTheme="minorBidi" w:hAnsiTheme="minorBidi"/>
          <w:sz w:val="22"/>
        </w:rPr>
        <w:br/>
        <w:t>Effects of Polio on Individuals and the Community</w:t>
      </w:r>
      <w:r w:rsidRPr="007B7B9E">
        <w:rPr>
          <w:rFonts w:asciiTheme="minorBidi" w:hAnsiTheme="minorBidi"/>
          <w:sz w:val="22"/>
        </w:rPr>
        <w:br/>
        <w:t>Polio can have serious long-term effects on a person’s life. Although only a small proportion of infected people develop paralysis, the consequences for those individuals can be permanent.</w:t>
      </w:r>
      <w:r w:rsidRPr="007B7B9E">
        <w:rPr>
          <w:rFonts w:asciiTheme="minorBidi" w:hAnsiTheme="minorBidi"/>
          <w:sz w:val="22"/>
        </w:rPr>
        <w:br/>
        <w:t>Paralytic polio can cause weakness or loss of movement in different parts of the body, particularly the legs. Some people may find it difficult to walk and may require braces, walking aids or a wheelchair. In very serious cases, polio can affect the muscles responsible for breathing and swallowing.</w:t>
      </w:r>
      <w:r w:rsidRPr="007B7B9E">
        <w:rPr>
          <w:rFonts w:asciiTheme="minorBidi" w:hAnsiTheme="minorBidi"/>
          <w:sz w:val="22"/>
        </w:rPr>
        <w:br/>
        <w:t>Permanent disability can also affect a person’s independence. Everyday activities such as getting dressed, washing, travelling or working may become more difficult. A child with physical disabilities may need extra support at school, while an adult may need changes to their workplace or may no longer be able to carry out the same type of employment.</w:t>
      </w:r>
      <w:r w:rsidRPr="007B7B9E">
        <w:rPr>
          <w:rFonts w:asciiTheme="minorBidi" w:hAnsiTheme="minorBidi"/>
          <w:sz w:val="22"/>
        </w:rPr>
        <w:br/>
        <w:t>There can also be psychological and social effects. Living with a long-term physical disability may affect confidence and emotional wellbeing. Some people may experience anxiety, depression or social isolation. Family members can also be affected because they may need to provide care and support.</w:t>
      </w:r>
      <w:r w:rsidRPr="007B7B9E">
        <w:rPr>
          <w:rFonts w:asciiTheme="minorBidi" w:hAnsiTheme="minorBidi"/>
          <w:sz w:val="22"/>
        </w:rPr>
        <w:br/>
        <w:t>Another possible long-term problem is post-polio syndrome (PPS). This can affect some people many years after their original polio infection. Symptoms may include new muscle weakness, tiredness, muscle and joint pain and difficulty with mobility. This means that the effects of polio can sometimes return or become more noticeable decades after the original illness.</w:t>
      </w:r>
      <w:r w:rsidRPr="007B7B9E">
        <w:rPr>
          <w:rFonts w:asciiTheme="minorBidi" w:hAnsiTheme="minorBidi"/>
          <w:sz w:val="22"/>
        </w:rPr>
        <w:br/>
        <w:t>Public-health organisations may need to spend additional resources on testing, vaccination programmes, surveillance and public information. If people are worried about vaccines or receive incorrect information, it may also make it more difficult for health professionals to maintain high vaccination levels.</w:t>
      </w:r>
      <w:r w:rsidRPr="007B7B9E">
        <w:rPr>
          <w:rFonts w:asciiTheme="minorBidi" w:hAnsiTheme="minorBidi"/>
          <w:sz w:val="22"/>
        </w:rPr>
        <w:br/>
      </w:r>
      <w:r w:rsidRPr="007B7B9E">
        <w:rPr>
          <w:rFonts w:asciiTheme="minorBidi" w:hAnsiTheme="minorBidi"/>
          <w:sz w:val="22"/>
        </w:rPr>
        <w:br/>
      </w:r>
      <w:r w:rsidRPr="007B7B9E">
        <w:rPr>
          <w:rFonts w:asciiTheme="minorBidi" w:hAnsiTheme="minorBidi"/>
          <w:b/>
          <w:bCs/>
          <w:sz w:val="22"/>
        </w:rPr>
        <w:t>Health and Social Care Support</w:t>
      </w:r>
      <w:r w:rsidRPr="007B7B9E">
        <w:rPr>
          <w:rFonts w:asciiTheme="minorBidi" w:hAnsiTheme="minorBidi"/>
          <w:sz w:val="22"/>
        </w:rPr>
        <w:br/>
      </w:r>
      <w:r w:rsidRPr="007B7B9E">
        <w:rPr>
          <w:rFonts w:asciiTheme="minorBidi" w:hAnsiTheme="minorBidi"/>
          <w:sz w:val="22"/>
        </w:rPr>
        <w:br/>
        <w:t>People living with the long-term effects of polio may require support from several different health and social care professionals.</w:t>
      </w:r>
      <w:r w:rsidRPr="007B7B9E">
        <w:rPr>
          <w:rFonts w:asciiTheme="minorBidi" w:hAnsiTheme="minorBidi"/>
          <w:sz w:val="22"/>
        </w:rPr>
        <w:br/>
        <w:t>A GP may be the first healthcare professional a person contacts. The GP can monitor their general health, investigate new symptoms and make referrals to specialist services. A neurologist may be needed when there are problems involving the nervous system or when post-polio syndrome is suspected.</w:t>
      </w:r>
      <w:r w:rsidRPr="007B7B9E">
        <w:rPr>
          <w:rFonts w:asciiTheme="minorBidi" w:hAnsiTheme="minorBidi"/>
          <w:sz w:val="22"/>
        </w:rPr>
        <w:br/>
        <w:t xml:space="preserve">Physiotherapists can help people maintain mobility and muscle function. They can develop suitable exercise programmes and provide advice about movement. Exercise needs to be </w:t>
      </w:r>
      <w:r w:rsidRPr="007B7B9E">
        <w:rPr>
          <w:rFonts w:asciiTheme="minorBidi" w:hAnsiTheme="minorBidi"/>
          <w:sz w:val="22"/>
        </w:rPr>
        <w:lastRenderedPageBreak/>
        <w:t>managed carefully because too much physical activity can increase tiredness in some people affected by post-polio syndrome.</w:t>
      </w:r>
      <w:r w:rsidRPr="007B7B9E">
        <w:rPr>
          <w:rFonts w:asciiTheme="minorBidi" w:hAnsiTheme="minorBidi"/>
          <w:sz w:val="22"/>
        </w:rPr>
        <w:br/>
        <w:t>Occupational therapists can help people remain independent in everyday life. They may recommend equipment or changes to a person’s home or workplace. For example, a person may benefit from handrails, bathroom adaptations, mobility equipment or changes to their working environment.</w:t>
      </w:r>
      <w:r w:rsidRPr="007B7B9E">
        <w:rPr>
          <w:rFonts w:asciiTheme="minorBidi" w:hAnsiTheme="minorBidi"/>
          <w:sz w:val="22"/>
        </w:rPr>
        <w:br/>
        <w:t>Some people may also need support from respiratory specialists, pain-management teams, orthopaedic services or speech and language therapists. This is particularly important if polio has affected breathing, swallowing or movement.</w:t>
      </w:r>
      <w:r w:rsidRPr="007B7B9E">
        <w:rPr>
          <w:rFonts w:asciiTheme="minorBidi" w:hAnsiTheme="minorBidi"/>
          <w:sz w:val="22"/>
        </w:rPr>
        <w:br/>
        <w:t>Social care can provide additional help when a person’s disability makes daily activities difficult. This may include personal care, support at home, adaptations to the home or assistance for family members who provide care.</w:t>
      </w:r>
      <w:r w:rsidRPr="007B7B9E">
        <w:rPr>
          <w:rFonts w:asciiTheme="minorBidi" w:hAnsiTheme="minorBidi"/>
          <w:sz w:val="22"/>
        </w:rPr>
        <w:br/>
        <w:t>Health and social care professionals also have an important role in preventing polio. GPs, nurses, vaccination teams and public-health services can encourage people to keep their vaccinations up to date. They can also identify children or adults who have missed vaccinations and help them receive the necessary doses.</w:t>
      </w:r>
    </w:p>
    <w:p w14:paraId="3A742EE2" w14:textId="77777777" w:rsidR="008E3943" w:rsidRPr="00CD33A8" w:rsidRDefault="008E3943" w:rsidP="00CD33A8">
      <w:pPr>
        <w:tabs>
          <w:tab w:val="left" w:pos="6540"/>
        </w:tabs>
        <w:spacing w:line="360" w:lineRule="auto"/>
        <w:rPr>
          <w:rFonts w:asciiTheme="minorBidi" w:hAnsiTheme="minorBidi"/>
          <w:sz w:val="22"/>
        </w:rPr>
      </w:pPr>
    </w:p>
    <w:p w14:paraId="16FAF0EA" w14:textId="2F93A55A" w:rsidR="00B87E75" w:rsidRPr="00CD33A8" w:rsidRDefault="008E3943" w:rsidP="00E620E7">
      <w:pPr>
        <w:pStyle w:val="Heading1"/>
      </w:pPr>
      <w:r>
        <w:t>5</w:t>
      </w:r>
      <w:r w:rsidR="00B87E75" w:rsidRPr="00CD33A8">
        <w:t>. Conclusion</w:t>
      </w:r>
      <w:r w:rsidR="00CD33A8">
        <w:t xml:space="preserve"> </w:t>
      </w:r>
    </w:p>
    <w:p w14:paraId="6812580D" w14:textId="22103BBC" w:rsidR="0090040D" w:rsidRPr="00CD33A8" w:rsidRDefault="00376C6C" w:rsidP="00CD33A8">
      <w:pPr>
        <w:tabs>
          <w:tab w:val="left" w:pos="6540"/>
        </w:tabs>
        <w:spacing w:line="360" w:lineRule="auto"/>
        <w:rPr>
          <w:rFonts w:asciiTheme="minorBidi" w:hAnsiTheme="minorBidi"/>
          <w:sz w:val="22"/>
        </w:rPr>
      </w:pPr>
      <w:r w:rsidRPr="00376C6C">
        <w:rPr>
          <w:rFonts w:asciiTheme="minorBidi" w:hAnsiTheme="minorBidi"/>
          <w:sz w:val="22"/>
        </w:rPr>
        <w:t>Polio is a serious infectious disease that can cause permanent disability and, in some cases, death. Although enormous progress has been made in controlling the disease, it has not yet been completely eradicated worldwide.</w:t>
      </w:r>
      <w:r w:rsidRPr="00376C6C">
        <w:rPr>
          <w:rFonts w:asciiTheme="minorBidi" w:hAnsiTheme="minorBidi"/>
          <w:sz w:val="22"/>
        </w:rPr>
        <w:br/>
        <w:t>Vaccination remains the most effective method of preventing polio. Surveillance is also essential because infected people may spread the virus without developing symptoms. Methods such as monitoring cases of acute flaccid paralysis, laboratory testing, genetic sequencing and wastewater surveillance allow health authorities to identify possible transmission and respond quickly.</w:t>
      </w:r>
      <w:r w:rsidRPr="00376C6C">
        <w:rPr>
          <w:rFonts w:asciiTheme="minorBidi" w:hAnsiTheme="minorBidi"/>
          <w:sz w:val="22"/>
        </w:rPr>
        <w:br/>
        <w:t>The discovery of vaccine-derived poliovirus in London sewage in 2022 showed that continued monitoring is necessary even in countries where polio has been eliminated for many years.</w:t>
      </w:r>
      <w:r w:rsidRPr="00376C6C">
        <w:rPr>
          <w:rFonts w:asciiTheme="minorBidi" w:hAnsiTheme="minorBidi"/>
          <w:sz w:val="22"/>
        </w:rPr>
        <w:br/>
        <w:t>People who have experienced paralytic polio may require long-term health and social care because of physical disability or post-polio syndrome. Support may involve GPs, physiotherapists, occupational therapists, specialist doctors, mental-health professionals and social care services.</w:t>
      </w:r>
      <w:r w:rsidRPr="00376C6C">
        <w:rPr>
          <w:rFonts w:asciiTheme="minorBidi" w:hAnsiTheme="minorBidi"/>
          <w:sz w:val="22"/>
        </w:rPr>
        <w:br/>
        <w:t xml:space="preserve">Overall, maintaining high vaccination coverage, effective surveillance, good public-health </w:t>
      </w:r>
      <w:r w:rsidRPr="00376C6C">
        <w:rPr>
          <w:rFonts w:asciiTheme="minorBidi" w:hAnsiTheme="minorBidi"/>
          <w:sz w:val="22"/>
        </w:rPr>
        <w:lastRenderedPageBreak/>
        <w:t>education and international cooperation are essential for protecting communities and eventually achieving the worldwide eradication of polio.</w:t>
      </w:r>
    </w:p>
    <w:p w14:paraId="444BAD02" w14:textId="77777777" w:rsidR="00814A9E" w:rsidRPr="00CD33A8" w:rsidRDefault="00814A9E" w:rsidP="00CD33A8">
      <w:pPr>
        <w:tabs>
          <w:tab w:val="left" w:pos="6540"/>
        </w:tabs>
        <w:spacing w:line="360" w:lineRule="auto"/>
        <w:rPr>
          <w:rFonts w:asciiTheme="minorBidi" w:hAnsiTheme="minorBidi"/>
          <w:sz w:val="22"/>
        </w:rPr>
      </w:pPr>
    </w:p>
    <w:p w14:paraId="71022E41" w14:textId="77777777" w:rsidR="00814A9E" w:rsidRPr="00CD33A8" w:rsidRDefault="00814A9E" w:rsidP="00CD33A8">
      <w:pPr>
        <w:tabs>
          <w:tab w:val="left" w:pos="6540"/>
        </w:tabs>
        <w:spacing w:line="360" w:lineRule="auto"/>
        <w:rPr>
          <w:rFonts w:asciiTheme="minorBidi" w:hAnsiTheme="minorBidi"/>
          <w:sz w:val="22"/>
        </w:rPr>
      </w:pPr>
    </w:p>
    <w:p w14:paraId="3EA3C7DD" w14:textId="2C373198" w:rsidR="00F66E1B" w:rsidRPr="00CD33A8" w:rsidRDefault="00F66E1B" w:rsidP="00CD33A8">
      <w:pPr>
        <w:tabs>
          <w:tab w:val="left" w:pos="6540"/>
        </w:tabs>
        <w:spacing w:line="360" w:lineRule="auto"/>
        <w:rPr>
          <w:rFonts w:asciiTheme="minorBidi" w:hAnsiTheme="minorBidi"/>
          <w:sz w:val="22"/>
        </w:rPr>
      </w:pPr>
    </w:p>
    <w:p w14:paraId="5C76528F" w14:textId="77777777" w:rsidR="00F66E1B" w:rsidRPr="00CD33A8" w:rsidRDefault="00F66E1B" w:rsidP="00CD33A8">
      <w:pPr>
        <w:tabs>
          <w:tab w:val="left" w:pos="6540"/>
        </w:tabs>
        <w:spacing w:line="360" w:lineRule="auto"/>
        <w:rPr>
          <w:rFonts w:asciiTheme="minorBidi" w:hAnsiTheme="minorBidi"/>
          <w:sz w:val="22"/>
        </w:rPr>
      </w:pPr>
    </w:p>
    <w:p w14:paraId="18999130" w14:textId="77777777" w:rsidR="00CD33A8" w:rsidRDefault="00CD33A8">
      <w:pPr>
        <w:rPr>
          <w:rFonts w:asciiTheme="minorBidi" w:eastAsiaTheme="majorEastAsia" w:hAnsiTheme="minorBidi"/>
          <w:b/>
          <w:sz w:val="28"/>
        </w:rPr>
      </w:pPr>
      <w:r>
        <w:br w:type="page"/>
      </w:r>
    </w:p>
    <w:p w14:paraId="33F8F0BD" w14:textId="597FD84B" w:rsidR="00B87E75" w:rsidRPr="00CD33A8" w:rsidRDefault="00B87E75" w:rsidP="00E620E7">
      <w:pPr>
        <w:pStyle w:val="Heading1"/>
      </w:pPr>
      <w:r w:rsidRPr="00CD33A8">
        <w:lastRenderedPageBreak/>
        <w:t>References</w:t>
      </w:r>
    </w:p>
    <w:p w14:paraId="1425F4AC" w14:textId="5560E8F2" w:rsidR="001D7C03" w:rsidRPr="00CD33A8" w:rsidRDefault="00376C6C" w:rsidP="00CD33A8">
      <w:pPr>
        <w:tabs>
          <w:tab w:val="left" w:pos="6540"/>
        </w:tabs>
        <w:spacing w:line="360" w:lineRule="auto"/>
        <w:rPr>
          <w:rFonts w:asciiTheme="minorBidi" w:hAnsiTheme="minorBidi"/>
          <w:sz w:val="22"/>
        </w:rPr>
      </w:pPr>
      <w:r w:rsidRPr="00376C6C">
        <w:rPr>
          <w:rFonts w:asciiTheme="minorBidi" w:hAnsiTheme="minorBidi"/>
          <w:sz w:val="22"/>
        </w:rPr>
        <w:t>UK Health Security Agency (2022) Poliovirus detected in sewage from North and East London. </w:t>
      </w:r>
      <w:hyperlink r:id="rId8" w:tgtFrame="_blank" w:history="1">
        <w:r w:rsidRPr="00376C6C">
          <w:rPr>
            <w:rStyle w:val="Hyperlink"/>
            <w:rFonts w:asciiTheme="minorBidi" w:hAnsiTheme="minorBidi"/>
            <w:sz w:val="22"/>
          </w:rPr>
          <w:t>GOV.UK</w:t>
        </w:r>
      </w:hyperlink>
      <w:r w:rsidRPr="00376C6C">
        <w:rPr>
          <w:rFonts w:asciiTheme="minorBidi" w:hAnsiTheme="minorBidi"/>
          <w:sz w:val="22"/>
        </w:rPr>
        <w:t>.</w:t>
      </w:r>
      <w:r w:rsidRPr="00376C6C">
        <w:rPr>
          <w:rFonts w:asciiTheme="minorBidi" w:hAnsiTheme="minorBidi"/>
          <w:sz w:val="22"/>
        </w:rPr>
        <w:br/>
      </w:r>
      <w:r w:rsidRPr="00376C6C">
        <w:rPr>
          <w:rFonts w:asciiTheme="minorBidi" w:hAnsiTheme="minorBidi"/>
          <w:sz w:val="22"/>
        </w:rPr>
        <w:br/>
        <w:t>UK Health Security Agency (2025) Vaccination coverage statistics for children aged up to 5 years, England: COVER programme report, April 2024 to March 2025. </w:t>
      </w:r>
      <w:hyperlink r:id="rId9" w:tgtFrame="_blank" w:history="1">
        <w:r w:rsidRPr="00376C6C">
          <w:rPr>
            <w:rStyle w:val="Hyperlink"/>
            <w:rFonts w:asciiTheme="minorBidi" w:hAnsiTheme="minorBidi"/>
            <w:sz w:val="22"/>
          </w:rPr>
          <w:t>GOV.UK</w:t>
        </w:r>
      </w:hyperlink>
      <w:r w:rsidRPr="00376C6C">
        <w:rPr>
          <w:rFonts w:asciiTheme="minorBidi" w:hAnsiTheme="minorBidi"/>
          <w:sz w:val="22"/>
        </w:rPr>
        <w:t>.</w:t>
      </w:r>
      <w:r w:rsidRPr="00376C6C">
        <w:rPr>
          <w:rFonts w:asciiTheme="minorBidi" w:hAnsiTheme="minorBidi"/>
          <w:sz w:val="22"/>
        </w:rPr>
        <w:br/>
      </w:r>
      <w:r w:rsidRPr="00376C6C">
        <w:rPr>
          <w:rFonts w:asciiTheme="minorBidi" w:hAnsiTheme="minorBidi"/>
          <w:sz w:val="22"/>
        </w:rPr>
        <w:br/>
        <w:t>UK Health Security Agency (2025) Poliomyelitis and post-polio syndrome: migrant health guide. </w:t>
      </w:r>
      <w:hyperlink r:id="rId10" w:tgtFrame="_blank" w:history="1">
        <w:r w:rsidRPr="00376C6C">
          <w:rPr>
            <w:rStyle w:val="Hyperlink"/>
            <w:rFonts w:asciiTheme="minorBidi" w:hAnsiTheme="minorBidi"/>
            <w:sz w:val="22"/>
          </w:rPr>
          <w:t>GOV.UK</w:t>
        </w:r>
      </w:hyperlink>
      <w:r w:rsidRPr="00376C6C">
        <w:rPr>
          <w:rFonts w:asciiTheme="minorBidi" w:hAnsiTheme="minorBidi"/>
          <w:sz w:val="22"/>
        </w:rPr>
        <w:t>.</w:t>
      </w:r>
      <w:r w:rsidRPr="00376C6C">
        <w:rPr>
          <w:rFonts w:asciiTheme="minorBidi" w:hAnsiTheme="minorBidi"/>
          <w:sz w:val="22"/>
        </w:rPr>
        <w:br/>
      </w:r>
      <w:r w:rsidRPr="00376C6C">
        <w:rPr>
          <w:rFonts w:asciiTheme="minorBidi" w:hAnsiTheme="minorBidi"/>
          <w:sz w:val="22"/>
        </w:rPr>
        <w:br/>
        <w:t>World Health Organization (2025) Poliomyelitis. Geneva: World Health Organization.</w:t>
      </w:r>
      <w:r w:rsidRPr="00376C6C">
        <w:rPr>
          <w:rFonts w:asciiTheme="minorBidi" w:hAnsiTheme="minorBidi"/>
          <w:sz w:val="22"/>
        </w:rPr>
        <w:br/>
      </w:r>
      <w:r w:rsidRPr="00376C6C">
        <w:rPr>
          <w:rFonts w:asciiTheme="minorBidi" w:hAnsiTheme="minorBidi"/>
          <w:sz w:val="22"/>
        </w:rPr>
        <w:br/>
        <w:t>World Health Organization (2024) Global guidance for conducting acute flaccid paralysis surveillance in the context of poliovirus eradication. Geneva: World Health Organization.</w:t>
      </w:r>
    </w:p>
    <w:sectPr w:rsidR="001D7C03" w:rsidRPr="00CD33A8" w:rsidSect="00E620E7">
      <w:foot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8AC87" w14:textId="77777777" w:rsidR="00A85636" w:rsidRDefault="00A85636" w:rsidP="003E4ECF">
      <w:pPr>
        <w:spacing w:after="0" w:line="240" w:lineRule="auto"/>
      </w:pPr>
      <w:r>
        <w:separator/>
      </w:r>
    </w:p>
  </w:endnote>
  <w:endnote w:type="continuationSeparator" w:id="0">
    <w:p w14:paraId="0DA6F889" w14:textId="77777777" w:rsidR="00A85636" w:rsidRDefault="00A85636"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B15FB" w14:textId="77777777" w:rsidR="00A85636" w:rsidRDefault="00A85636" w:rsidP="003E4ECF">
      <w:pPr>
        <w:spacing w:after="0" w:line="240" w:lineRule="auto"/>
      </w:pPr>
      <w:r>
        <w:separator/>
      </w:r>
    </w:p>
  </w:footnote>
  <w:footnote w:type="continuationSeparator" w:id="0">
    <w:p w14:paraId="301D6777" w14:textId="77777777" w:rsidR="00A85636" w:rsidRDefault="00A85636" w:rsidP="003E4E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572BF"/>
    <w:rsid w:val="00074402"/>
    <w:rsid w:val="001D7C03"/>
    <w:rsid w:val="00216C85"/>
    <w:rsid w:val="0026393A"/>
    <w:rsid w:val="00273EDD"/>
    <w:rsid w:val="002C3965"/>
    <w:rsid w:val="00321C4C"/>
    <w:rsid w:val="00376C6C"/>
    <w:rsid w:val="00392BBC"/>
    <w:rsid w:val="003E4ECF"/>
    <w:rsid w:val="004A736E"/>
    <w:rsid w:val="00581FD4"/>
    <w:rsid w:val="006925AA"/>
    <w:rsid w:val="00725177"/>
    <w:rsid w:val="007A1B8D"/>
    <w:rsid w:val="007B7B9E"/>
    <w:rsid w:val="00814A9E"/>
    <w:rsid w:val="008E3943"/>
    <w:rsid w:val="0090040D"/>
    <w:rsid w:val="00913A88"/>
    <w:rsid w:val="009D052C"/>
    <w:rsid w:val="009D1D1E"/>
    <w:rsid w:val="00A035FD"/>
    <w:rsid w:val="00A85636"/>
    <w:rsid w:val="00AD23A0"/>
    <w:rsid w:val="00B87E75"/>
    <w:rsid w:val="00CD33A8"/>
    <w:rsid w:val="00E569FD"/>
    <w:rsid w:val="00E620E7"/>
    <w:rsid w:val="00F66E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376C6C"/>
    <w:rPr>
      <w:color w:val="0563C1" w:themeColor="hyperlink"/>
      <w:u w:val="single"/>
    </w:rPr>
  </w:style>
  <w:style w:type="character" w:styleId="UnresolvedMention">
    <w:name w:val="Unresolved Mention"/>
    <w:basedOn w:val="DefaultParagraphFont"/>
    <w:uiPriority w:val="99"/>
    <w:semiHidden/>
    <w:unhideWhenUsed/>
    <w:rsid w:val="00376C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ov.uk/"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cid:image001.png@01D0EA4A.2BD679A0"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yperlink" Target="http://gov.uk/" TargetMode="External"/><Relationship Id="rId4" Type="http://schemas.openxmlformats.org/officeDocument/2006/relationships/footnotes" Target="footnotes.xml"/><Relationship Id="rId9" Type="http://schemas.openxmlformats.org/officeDocument/2006/relationships/hyperlink" Target="http://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1680</Words>
  <Characters>9576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Kamilla Kerim</cp:lastModifiedBy>
  <cp:revision>2</cp:revision>
  <dcterms:created xsi:type="dcterms:W3CDTF">2026-08-17T22:51:00Z</dcterms:created>
  <dcterms:modified xsi:type="dcterms:W3CDTF">2026-08-17T22:51:00Z</dcterms:modified>
</cp:coreProperties>
</file>