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2ACA0" w14:textId="6815DF11" w:rsidR="00F726E7" w:rsidRPr="00F726E7" w:rsidRDefault="00F726E7" w:rsidP="006E32E8">
      <w:pPr>
        <w:jc w:val="center"/>
        <w:rPr>
          <w:rFonts w:ascii="Arial" w:hAnsi="Arial" w:cs="Arial"/>
          <w:sz w:val="24"/>
          <w:szCs w:val="24"/>
        </w:rPr>
      </w:pPr>
      <w:r w:rsidRPr="00F726E7">
        <w:rPr>
          <w:rFonts w:ascii="Arial" w:hAnsi="Arial" w:cs="Arial"/>
          <w:sz w:val="24"/>
          <w:szCs w:val="24"/>
        </w:rPr>
        <w:t>Consideration</w:t>
      </w:r>
    </w:p>
    <w:p w14:paraId="03FE94D6" w14:textId="29913CCC" w:rsidR="001E28BB" w:rsidRDefault="006E32E8" w:rsidP="001E28BB">
      <w:pPr>
        <w:rPr>
          <w:rFonts w:ascii="Arial" w:hAnsi="Arial" w:cs="Arial"/>
          <w:sz w:val="24"/>
          <w:szCs w:val="24"/>
        </w:rPr>
      </w:pPr>
      <w:r w:rsidRPr="006E32E8">
        <w:rPr>
          <w:rFonts w:ascii="Arial" w:hAnsi="Arial" w:cs="Arial"/>
          <w:sz w:val="24"/>
          <w:szCs w:val="24"/>
        </w:rPr>
        <w:t>Consideration stands as a cornerstone of contract law in England and Wales, embodying the very essence of the exchange that characteri</w:t>
      </w:r>
      <w:r>
        <w:rPr>
          <w:rFonts w:ascii="Arial" w:hAnsi="Arial" w:cs="Arial"/>
          <w:sz w:val="24"/>
          <w:szCs w:val="24"/>
        </w:rPr>
        <w:t>s</w:t>
      </w:r>
      <w:r w:rsidRPr="006E32E8">
        <w:rPr>
          <w:rFonts w:ascii="Arial" w:hAnsi="Arial" w:cs="Arial"/>
          <w:sz w:val="24"/>
          <w:szCs w:val="24"/>
        </w:rPr>
        <w:t>es legally binding agreements. This principle is deeply ingrained in the legal fabric of contractual obligations, acting as a critical determinant in the formation and validation of contracts</w:t>
      </w:r>
      <w:r w:rsidR="005F03FF">
        <w:rPr>
          <w:rFonts w:ascii="Arial" w:hAnsi="Arial" w:cs="Arial"/>
          <w:sz w:val="24"/>
          <w:szCs w:val="24"/>
        </w:rPr>
        <w:t xml:space="preserve"> (Poole, 2020, p.</w:t>
      </w:r>
      <w:r w:rsidR="00DE5D69">
        <w:rPr>
          <w:rFonts w:ascii="Arial" w:hAnsi="Arial" w:cs="Arial"/>
          <w:sz w:val="24"/>
          <w:szCs w:val="24"/>
        </w:rPr>
        <w:t xml:space="preserve">247). </w:t>
      </w:r>
      <w:r w:rsidRPr="006E32E8">
        <w:rPr>
          <w:rFonts w:ascii="Arial" w:hAnsi="Arial" w:cs="Arial"/>
          <w:sz w:val="24"/>
          <w:szCs w:val="24"/>
        </w:rPr>
        <w:t>The doctrine of consideration dictates that for a promise to be enforceable as a contract, there must be something of value exchanged between the parties involved. This 'something of value'—whether it be an act, forbearance, or a promise in return—serves as the price for securing the commitment of the agreement, ensuring that contracts are not merely informal agreements but enforceable promises under the law.</w:t>
      </w:r>
      <w:r>
        <w:rPr>
          <w:rFonts w:ascii="Arial" w:hAnsi="Arial" w:cs="Arial"/>
          <w:sz w:val="24"/>
          <w:szCs w:val="24"/>
        </w:rPr>
        <w:t xml:space="preserve"> </w:t>
      </w:r>
      <w:r w:rsidRPr="006E32E8">
        <w:rPr>
          <w:rFonts w:ascii="Arial" w:hAnsi="Arial" w:cs="Arial"/>
          <w:sz w:val="24"/>
          <w:szCs w:val="24"/>
        </w:rPr>
        <w:t>The legal requirement for consideration is what fundamentally differentiates a contract from a gratuitous promise or a gift. In a world governed by contractual exchanges, from the simplest transactions to the most complex deals, the concept of consideration ensures that there is a tangible or intangible benefit or detriment to both parties, creating a balance that justifies the enforcement of the agreement by the courts</w:t>
      </w:r>
      <w:r w:rsidR="00DE5D69">
        <w:rPr>
          <w:rFonts w:ascii="Arial" w:hAnsi="Arial" w:cs="Arial"/>
          <w:sz w:val="24"/>
          <w:szCs w:val="24"/>
        </w:rPr>
        <w:t xml:space="preserve"> (McKendrick, 2020, p.108)</w:t>
      </w:r>
      <w:r w:rsidRPr="006E32E8">
        <w:rPr>
          <w:rFonts w:ascii="Arial" w:hAnsi="Arial" w:cs="Arial"/>
          <w:sz w:val="24"/>
          <w:szCs w:val="24"/>
        </w:rPr>
        <w:t>. This requirement upholds the principle of reciprocity within contractual relationships, ensuring that each party is obligated to provide something of value in return for receiving the benefits of the contract.</w:t>
      </w:r>
      <w:r>
        <w:rPr>
          <w:rFonts w:ascii="Arial" w:hAnsi="Arial" w:cs="Arial"/>
          <w:sz w:val="24"/>
          <w:szCs w:val="24"/>
        </w:rPr>
        <w:t xml:space="preserve"> </w:t>
      </w:r>
      <w:r w:rsidRPr="006E32E8">
        <w:rPr>
          <w:rFonts w:ascii="Arial" w:hAnsi="Arial" w:cs="Arial"/>
          <w:sz w:val="24"/>
          <w:szCs w:val="24"/>
        </w:rPr>
        <w:t>Exploring the multifaceted role of consideration within contract law reveals its critical function in not only establishing the existence of a contract but also in delineating the scope and enforceability of contractual obligations. The forms of consideration are varied, encompassing anything that constitutes a legal detriment to the promise or a legal benefit to the promisor. Whether it is performing an action that one is not otherwise obligated to perform, refraining from exercising a legal right, or making a promise to act or to abstain from an action, consideration serves as the linchpin that binds parties to their contractual commitments.</w:t>
      </w:r>
      <w:r>
        <w:rPr>
          <w:rFonts w:ascii="Arial" w:hAnsi="Arial" w:cs="Arial"/>
          <w:sz w:val="24"/>
          <w:szCs w:val="24"/>
        </w:rPr>
        <w:t xml:space="preserve"> </w:t>
      </w:r>
      <w:r w:rsidRPr="006E32E8">
        <w:rPr>
          <w:rFonts w:ascii="Arial" w:hAnsi="Arial" w:cs="Arial"/>
          <w:sz w:val="24"/>
          <w:szCs w:val="24"/>
        </w:rPr>
        <w:t xml:space="preserve">Despite its foundational role, the doctrine of consideration is not without its complexities and controversies. Legal scholars and practitioners alike have debated its nuances, critiqued its application, and identified scenarios where the rigidity of its requirements seems at odds with the principles of fairness and justice that underlie contract law. These discussions highlight issues such as the sufficiency of consideration, the distinction between past and present consideration, and the challenges associated with peppercorn considerations or nominal values that </w:t>
      </w:r>
      <w:r w:rsidRPr="006E32E8">
        <w:rPr>
          <w:rFonts w:ascii="Arial" w:hAnsi="Arial" w:cs="Arial"/>
          <w:sz w:val="24"/>
          <w:szCs w:val="24"/>
        </w:rPr>
        <w:t>fulfil</w:t>
      </w:r>
      <w:r w:rsidRPr="006E32E8">
        <w:rPr>
          <w:rFonts w:ascii="Arial" w:hAnsi="Arial" w:cs="Arial"/>
          <w:sz w:val="24"/>
          <w:szCs w:val="24"/>
        </w:rPr>
        <w:t xml:space="preserve"> the legal requirement but do not necessarily reflect a genuine exchange of value.</w:t>
      </w:r>
      <w:r>
        <w:rPr>
          <w:rFonts w:ascii="Arial" w:hAnsi="Arial" w:cs="Arial"/>
          <w:sz w:val="24"/>
          <w:szCs w:val="24"/>
        </w:rPr>
        <w:t xml:space="preserve"> </w:t>
      </w:r>
      <w:r w:rsidRPr="006E32E8">
        <w:rPr>
          <w:rFonts w:ascii="Arial" w:hAnsi="Arial" w:cs="Arial"/>
          <w:sz w:val="24"/>
          <w:szCs w:val="24"/>
        </w:rPr>
        <w:t>Furthermore, the evolving nature of commerce, technology, and societal values continually test the boundaries of traditional legal doctrines, including consideration</w:t>
      </w:r>
      <w:r w:rsidR="00DE5D69">
        <w:rPr>
          <w:rFonts w:ascii="Arial" w:hAnsi="Arial" w:cs="Arial"/>
          <w:sz w:val="24"/>
          <w:szCs w:val="24"/>
        </w:rPr>
        <w:t xml:space="preserve"> (McKendrick, 2020, p.110)</w:t>
      </w:r>
      <w:r w:rsidRPr="006E32E8">
        <w:rPr>
          <w:rFonts w:ascii="Arial" w:hAnsi="Arial" w:cs="Arial"/>
          <w:sz w:val="24"/>
          <w:szCs w:val="24"/>
        </w:rPr>
        <w:t>. As such, there have been calls for reform, advocating for a more flexible approach to consideration or the adoption of alternative principles that can better accommodate the complexities of modern contractual relationships.</w:t>
      </w:r>
      <w:r>
        <w:rPr>
          <w:rFonts w:ascii="Arial" w:hAnsi="Arial" w:cs="Arial"/>
          <w:sz w:val="24"/>
          <w:szCs w:val="24"/>
        </w:rPr>
        <w:t xml:space="preserve"> </w:t>
      </w:r>
      <w:r w:rsidRPr="006E32E8">
        <w:rPr>
          <w:rFonts w:ascii="Arial" w:hAnsi="Arial" w:cs="Arial"/>
          <w:sz w:val="24"/>
          <w:szCs w:val="24"/>
        </w:rPr>
        <w:t xml:space="preserve">This essay </w:t>
      </w:r>
      <w:r w:rsidRPr="006E32E8">
        <w:rPr>
          <w:rFonts w:ascii="Arial" w:hAnsi="Arial" w:cs="Arial"/>
          <w:sz w:val="24"/>
          <w:szCs w:val="24"/>
        </w:rPr>
        <w:t>endeavours</w:t>
      </w:r>
      <w:r w:rsidRPr="006E32E8">
        <w:rPr>
          <w:rFonts w:ascii="Arial" w:hAnsi="Arial" w:cs="Arial"/>
          <w:sz w:val="24"/>
          <w:szCs w:val="24"/>
        </w:rPr>
        <w:t xml:space="preserve"> to navigate the intricate landscape of consideration within contract law, examining its theoretical underpinnings, practical applications, and the challenges it presents. Through a critical analysis of legal doctrines, case law, and scholarly debate, this discussion aims to illuminate the enduring significance of consideration in the formation and enforcement of contracts, while also exploring potential pathways for reform that could enhance the adaptability and fairness of contract law in England and Wales.</w:t>
      </w:r>
    </w:p>
    <w:p w14:paraId="55E2F84F" w14:textId="2E3DA275" w:rsidR="001E28BB" w:rsidRPr="001E28BB" w:rsidRDefault="001E28BB" w:rsidP="001E28BB">
      <w:pPr>
        <w:rPr>
          <w:rFonts w:ascii="Arial" w:hAnsi="Arial" w:cs="Arial"/>
          <w:sz w:val="24"/>
          <w:szCs w:val="24"/>
        </w:rPr>
      </w:pPr>
      <w:r w:rsidRPr="001E28BB">
        <w:rPr>
          <w:rFonts w:ascii="Arial" w:hAnsi="Arial" w:cs="Arial"/>
          <w:sz w:val="24"/>
          <w:szCs w:val="24"/>
        </w:rPr>
        <w:lastRenderedPageBreak/>
        <w:t>The formation of a contract in England and Wales is governed by principles that ensure the creation of binding agreements, not merely informal arrangements or unenforceable promises. This legal framework is designed to provide certainty and predictability in commercial and personal transactions, fostering a climate of trust and cooperation essential for the functioning of society and the economy. Among these foundational elements—offer, acceptance, intention to create legal relations, and consideration—consideration plays a pivotal role in distinguishing enforceable contracts from mere agreements or philanthropic gestures</w:t>
      </w:r>
      <w:r w:rsidR="00DE5D69">
        <w:rPr>
          <w:rFonts w:ascii="Arial" w:hAnsi="Arial" w:cs="Arial"/>
          <w:sz w:val="24"/>
          <w:szCs w:val="24"/>
        </w:rPr>
        <w:t xml:space="preserve"> (Poole, 2020, p.</w:t>
      </w:r>
      <w:r w:rsidR="004116BB">
        <w:rPr>
          <w:rFonts w:ascii="Arial" w:hAnsi="Arial" w:cs="Arial"/>
          <w:sz w:val="24"/>
          <w:szCs w:val="24"/>
        </w:rPr>
        <w:t>389)</w:t>
      </w:r>
      <w:r w:rsidRPr="001E28BB">
        <w:rPr>
          <w:rFonts w:ascii="Arial" w:hAnsi="Arial" w:cs="Arial"/>
          <w:sz w:val="24"/>
          <w:szCs w:val="24"/>
        </w:rPr>
        <w:t>.</w:t>
      </w:r>
      <w:r>
        <w:rPr>
          <w:rFonts w:ascii="Arial" w:hAnsi="Arial" w:cs="Arial"/>
          <w:sz w:val="24"/>
          <w:szCs w:val="24"/>
        </w:rPr>
        <w:t xml:space="preserve"> </w:t>
      </w:r>
      <w:r w:rsidRPr="001E28BB">
        <w:rPr>
          <w:rFonts w:ascii="Arial" w:hAnsi="Arial" w:cs="Arial"/>
          <w:sz w:val="24"/>
          <w:szCs w:val="24"/>
        </w:rPr>
        <w:t>An offer is the initial step in forming a contract, wherein one party proposes terms of engagement to another, specifying the conditions under which they are willing to be bound. Acceptance, the second crucial element, occurs when the party to whom the offer was made agrees to the terms exactly as proposed, without modifications</w:t>
      </w:r>
      <w:r w:rsidR="00DE5D69">
        <w:rPr>
          <w:rFonts w:ascii="Arial" w:hAnsi="Arial" w:cs="Arial"/>
          <w:sz w:val="24"/>
          <w:szCs w:val="24"/>
        </w:rPr>
        <w:t xml:space="preserve"> (Poole, 2020, p.401)</w:t>
      </w:r>
      <w:r w:rsidRPr="001E28BB">
        <w:rPr>
          <w:rFonts w:ascii="Arial" w:hAnsi="Arial" w:cs="Arial"/>
          <w:sz w:val="24"/>
          <w:szCs w:val="24"/>
        </w:rPr>
        <w:t>. This mutual consensus is essential for the formation of an agreement that reflects the intentions of both parties. However, for this agreement to ascend to the status of a legally binding contract, there must be an intention to create legal relations—a mutual understanding that the agreement is not merely a casual or social arrangement but one that is enforceable by law.</w:t>
      </w:r>
      <w:r>
        <w:rPr>
          <w:rFonts w:ascii="Arial" w:hAnsi="Arial" w:cs="Arial"/>
          <w:sz w:val="24"/>
          <w:szCs w:val="24"/>
        </w:rPr>
        <w:t xml:space="preserve"> </w:t>
      </w:r>
      <w:r w:rsidRPr="001E28BB">
        <w:rPr>
          <w:rFonts w:ascii="Arial" w:hAnsi="Arial" w:cs="Arial"/>
          <w:sz w:val="24"/>
          <w:szCs w:val="24"/>
        </w:rPr>
        <w:t>Consideration is the linchpin that secures the enforceability of a contract, serving as evidence of the mutual exchange of value that characterizes a binding agreement. It is the element that ensures each party offers something of value in return for receiving the benefits stipulated in the contract</w:t>
      </w:r>
      <w:r w:rsidR="004116BB">
        <w:rPr>
          <w:rFonts w:ascii="Arial" w:hAnsi="Arial" w:cs="Arial"/>
          <w:sz w:val="24"/>
          <w:szCs w:val="24"/>
        </w:rPr>
        <w:t xml:space="preserve"> (McKendrick, 2020, p.200)</w:t>
      </w:r>
      <w:r w:rsidRPr="001E28BB">
        <w:rPr>
          <w:rFonts w:ascii="Arial" w:hAnsi="Arial" w:cs="Arial"/>
          <w:sz w:val="24"/>
          <w:szCs w:val="24"/>
        </w:rPr>
        <w:t>. This could be an act, forbearance, or a promise to do something that one is not legally obligated to do. The concept of consideration underscores the reciprocal nature of contractual agreements, ensuring that contracts are not one-sided but involve a give-and-take that justifies legal enforcement.</w:t>
      </w:r>
      <w:r>
        <w:rPr>
          <w:rFonts w:ascii="Arial" w:hAnsi="Arial" w:cs="Arial"/>
          <w:sz w:val="24"/>
          <w:szCs w:val="24"/>
        </w:rPr>
        <w:t xml:space="preserve"> </w:t>
      </w:r>
      <w:r w:rsidRPr="001E28BB">
        <w:rPr>
          <w:rFonts w:ascii="Arial" w:hAnsi="Arial" w:cs="Arial"/>
          <w:sz w:val="24"/>
          <w:szCs w:val="24"/>
        </w:rPr>
        <w:t>Without consideration, a promise, regardless of its solemnity or the sincerity with which it is made, lacks the essential element that the law requires for enforceability</w:t>
      </w:r>
      <w:r w:rsidR="00461C09">
        <w:rPr>
          <w:rFonts w:ascii="Arial" w:hAnsi="Arial" w:cs="Arial"/>
          <w:sz w:val="24"/>
          <w:szCs w:val="24"/>
        </w:rPr>
        <w:t xml:space="preserve"> (Halsbury’s Laws of England, 2008)</w:t>
      </w:r>
      <w:r w:rsidRPr="001E28BB">
        <w:rPr>
          <w:rFonts w:ascii="Arial" w:hAnsi="Arial" w:cs="Arial"/>
          <w:sz w:val="24"/>
          <w:szCs w:val="24"/>
        </w:rPr>
        <w:t>. This principle prevents the legal system from being inundated with claims based on informal promises or statements made without any expectation of a legal bind. It acts as a filter, distinguishing between social promises, which are not intended to have legal consequences, and those agreements where the parties have explicitly or implicitly indicated a desire to be legally bound.</w:t>
      </w:r>
      <w:r>
        <w:rPr>
          <w:rFonts w:ascii="Arial" w:hAnsi="Arial" w:cs="Arial"/>
          <w:sz w:val="24"/>
          <w:szCs w:val="24"/>
        </w:rPr>
        <w:t xml:space="preserve"> </w:t>
      </w:r>
      <w:r w:rsidRPr="001E28BB">
        <w:rPr>
          <w:rFonts w:ascii="Arial" w:hAnsi="Arial" w:cs="Arial"/>
          <w:sz w:val="24"/>
          <w:szCs w:val="24"/>
        </w:rPr>
        <w:t>The requirement for consideration has been a subject of much legal debate and scrutiny, reflecting its complexity and the challenges it presents in certain scenarios. For instance, the law demands that consideration be sufficient but not necessarily adequate, allowing parties the freedom to determine the value of what is exchanged, even if this appears unbalanced. This aspect of consideration reveals the law's respect for the autonomy of parties in making their contractual arrangements, provided there is some form of genuine exchange.</w:t>
      </w:r>
      <w:r>
        <w:rPr>
          <w:rFonts w:ascii="Arial" w:hAnsi="Arial" w:cs="Arial"/>
          <w:sz w:val="24"/>
          <w:szCs w:val="24"/>
        </w:rPr>
        <w:t xml:space="preserve"> </w:t>
      </w:r>
      <w:r w:rsidRPr="001E28BB">
        <w:rPr>
          <w:rFonts w:ascii="Arial" w:hAnsi="Arial" w:cs="Arial"/>
          <w:sz w:val="24"/>
          <w:szCs w:val="24"/>
        </w:rPr>
        <w:t>In sum, the requirement of consideration in the formation of a contract is a testament to the law's emphasis on the mutual exchange of value. It reinforces the notion that legally binding contracts should reflect a balanced agreement where each party contributes something of value, thereby ensuring the fairness and reciprocity that are central to the concept of contractual obligations</w:t>
      </w:r>
      <w:r w:rsidR="004116BB">
        <w:rPr>
          <w:rFonts w:ascii="Arial" w:hAnsi="Arial" w:cs="Arial"/>
          <w:sz w:val="24"/>
          <w:szCs w:val="24"/>
        </w:rPr>
        <w:t xml:space="preserve"> (LexisNexis, 2024)</w:t>
      </w:r>
      <w:r w:rsidRPr="001E28BB">
        <w:rPr>
          <w:rFonts w:ascii="Arial" w:hAnsi="Arial" w:cs="Arial"/>
          <w:sz w:val="24"/>
          <w:szCs w:val="24"/>
        </w:rPr>
        <w:t>.</w:t>
      </w:r>
    </w:p>
    <w:p w14:paraId="5CC97CBC" w14:textId="62F95338" w:rsidR="007666EC" w:rsidRPr="007666EC" w:rsidRDefault="007666EC" w:rsidP="007666EC">
      <w:pPr>
        <w:rPr>
          <w:rFonts w:ascii="Arial" w:hAnsi="Arial" w:cs="Arial"/>
          <w:sz w:val="24"/>
          <w:szCs w:val="24"/>
        </w:rPr>
      </w:pPr>
      <w:r w:rsidRPr="007666EC">
        <w:rPr>
          <w:rFonts w:ascii="Arial" w:hAnsi="Arial" w:cs="Arial"/>
          <w:sz w:val="24"/>
          <w:szCs w:val="24"/>
        </w:rPr>
        <w:t xml:space="preserve">The foundational case of Currie v Misa (1875) stands as a landmark in the development of contract law in England and Wales, particularly in defining and </w:t>
      </w:r>
      <w:r w:rsidRPr="007666EC">
        <w:rPr>
          <w:rFonts w:ascii="Arial" w:hAnsi="Arial" w:cs="Arial"/>
          <w:sz w:val="24"/>
          <w:szCs w:val="24"/>
        </w:rPr>
        <w:lastRenderedPageBreak/>
        <w:t>elucidating the concept of consideration. In this case, the court provided a comprehensive definition of consideration that has since become a touchstone for legal analysis and application in contractual disputes. Consideration, as articulated in this seminal case, encompasses a wide range of actions and commitments: it can be a right, interest, profit, or benefit accruing to one party, or alternatively, a forbearance, detriment, loss, or responsibility undertaken by the other party. This broad definition captures the essence of consideration as a reciprocal exchange, wherein each party contributes something of value to the agreement, ensuring that contracts are based on a mutual giving and receiving.</w:t>
      </w:r>
      <w:r>
        <w:rPr>
          <w:rFonts w:ascii="Arial" w:hAnsi="Arial" w:cs="Arial"/>
          <w:sz w:val="24"/>
          <w:szCs w:val="24"/>
        </w:rPr>
        <w:t xml:space="preserve"> </w:t>
      </w:r>
      <w:r w:rsidRPr="007666EC">
        <w:rPr>
          <w:rFonts w:ascii="Arial" w:hAnsi="Arial" w:cs="Arial"/>
          <w:sz w:val="24"/>
          <w:szCs w:val="24"/>
        </w:rPr>
        <w:t>The significance of the Currie v Misa definition lies in its acknowledgment of the multifaceted nature of consideration. It recognizes that value can be provided in numerous forms, not just monetary or material contributions. For instance, the promise to refrain from a legal right, such as the right to sue, can constitute valid consideration, as can the taking on of a new obligation at another's request. This flexibility in understanding what constitutes consideration reflects the law's pragmatic approach to contractual agreements, accommodating a wide array of exchanges and interactions that characterize commercial and personal relationships.</w:t>
      </w:r>
      <w:r>
        <w:rPr>
          <w:rFonts w:ascii="Arial" w:hAnsi="Arial" w:cs="Arial"/>
          <w:sz w:val="24"/>
          <w:szCs w:val="24"/>
        </w:rPr>
        <w:t xml:space="preserve"> </w:t>
      </w:r>
      <w:r w:rsidRPr="007666EC">
        <w:rPr>
          <w:rFonts w:ascii="Arial" w:hAnsi="Arial" w:cs="Arial"/>
          <w:sz w:val="24"/>
          <w:szCs w:val="24"/>
        </w:rPr>
        <w:t>Moreover, the case underscores the necessity of consideration for the enforceability of contracts. By defining consideration so broadly, the court affirmed the principle that for a contract to be binding, there must be a tangible exchange between the parties—something of value must be offered and accepted. This requirement serves to differentiate enforceable contracts from mere promises or gifts, which, while made with sincere intentions, do not involve the reciprocal exchange that the law seeks to recognize and enforce.</w:t>
      </w:r>
      <w:r>
        <w:rPr>
          <w:rFonts w:ascii="Arial" w:hAnsi="Arial" w:cs="Arial"/>
          <w:sz w:val="24"/>
          <w:szCs w:val="24"/>
        </w:rPr>
        <w:t xml:space="preserve"> </w:t>
      </w:r>
      <w:r w:rsidRPr="007666EC">
        <w:rPr>
          <w:rFonts w:ascii="Arial" w:hAnsi="Arial" w:cs="Arial"/>
          <w:sz w:val="24"/>
          <w:szCs w:val="24"/>
        </w:rPr>
        <w:t>The emphasis on reciprocity in the concept of consideration as outlined in Currie v Misa also serves an important economic function, facilitating the efficient allocation of resources by ensuring that contractual obligations are backed by a real commitment from both parties. This fosters a legal and commercial environment where parties can enter into agreements with confidence, knowing that the law requires a tangible exchange for obligations to be recognized and enforced.</w:t>
      </w:r>
      <w:r>
        <w:rPr>
          <w:rFonts w:ascii="Arial" w:hAnsi="Arial" w:cs="Arial"/>
          <w:sz w:val="24"/>
          <w:szCs w:val="24"/>
        </w:rPr>
        <w:t xml:space="preserve"> </w:t>
      </w:r>
      <w:r w:rsidRPr="007666EC">
        <w:rPr>
          <w:rFonts w:ascii="Arial" w:hAnsi="Arial" w:cs="Arial"/>
          <w:sz w:val="24"/>
          <w:szCs w:val="24"/>
        </w:rPr>
        <w:t>In essence, the definition of consideration provided in Currie v Misa has had a profound impact on the development of contract law, offering clarity and flexibility in understanding the exchanges that underpin contractual agreements. It reflects the law's adaptability to the complexities of human relationships and transactions, ensuring that the legal framework for contracts remains relevant and responsive to the needs of society. Through this definition, the court established a foundational principle that continues to guide the interpretation and enforcement of contracts, emphasizing the vital role of reciprocity and exchange in the legal recognition of agreements</w:t>
      </w:r>
      <w:r w:rsidR="00461C09">
        <w:rPr>
          <w:rFonts w:ascii="Arial" w:hAnsi="Arial" w:cs="Arial"/>
          <w:sz w:val="24"/>
          <w:szCs w:val="24"/>
        </w:rPr>
        <w:t xml:space="preserve"> (LexisNexis, 2019). </w:t>
      </w:r>
    </w:p>
    <w:p w14:paraId="34B57249" w14:textId="458D30FB" w:rsidR="00F726E7" w:rsidRPr="00F726E7" w:rsidRDefault="00F726E7" w:rsidP="00F726E7">
      <w:pPr>
        <w:rPr>
          <w:rFonts w:ascii="Arial" w:hAnsi="Arial" w:cs="Arial"/>
          <w:sz w:val="24"/>
          <w:szCs w:val="24"/>
          <w:lang w:eastAsia="en-GB"/>
        </w:rPr>
      </w:pPr>
      <w:r w:rsidRPr="00F726E7">
        <w:rPr>
          <w:rFonts w:ascii="Arial" w:hAnsi="Arial" w:cs="Arial"/>
          <w:sz w:val="24"/>
          <w:szCs w:val="24"/>
          <w:lang w:eastAsia="en-GB"/>
        </w:rPr>
        <w:t xml:space="preserve">There are two main types of consideration: executory and executed. Executory consideration occurs when both parties exchange promises to perform acts in the future, while executed consideration refers to a situation where the </w:t>
      </w:r>
      <w:r w:rsidR="004E0F4D" w:rsidRPr="00F726E7">
        <w:rPr>
          <w:rFonts w:ascii="Arial" w:hAnsi="Arial" w:cs="Arial"/>
          <w:sz w:val="24"/>
          <w:szCs w:val="24"/>
          <w:lang w:eastAsia="en-GB"/>
        </w:rPr>
        <w:t>promise</w:t>
      </w:r>
      <w:r w:rsidRPr="00F726E7">
        <w:rPr>
          <w:rFonts w:ascii="Arial" w:hAnsi="Arial" w:cs="Arial"/>
          <w:sz w:val="24"/>
          <w:szCs w:val="24"/>
          <w:lang w:eastAsia="en-GB"/>
        </w:rPr>
        <w:t xml:space="preserve"> has already performed their part of the bargain. A third, less recognized type, is past consideration, which refers to something given or promised in return for a benefit received in the past. English law, as a general rule, does not recognize past consideration as valid, underlining the principle that consideration must move from the promise.</w:t>
      </w:r>
      <w:r w:rsidR="004E0F4D">
        <w:rPr>
          <w:rFonts w:ascii="Arial" w:hAnsi="Arial" w:cs="Arial"/>
          <w:sz w:val="24"/>
          <w:szCs w:val="24"/>
          <w:lang w:eastAsia="en-GB"/>
        </w:rPr>
        <w:t xml:space="preserve"> </w:t>
      </w:r>
      <w:r w:rsidRPr="00F726E7">
        <w:rPr>
          <w:rFonts w:ascii="Arial" w:hAnsi="Arial" w:cs="Arial"/>
          <w:sz w:val="24"/>
          <w:szCs w:val="24"/>
          <w:lang w:eastAsia="en-GB"/>
        </w:rPr>
        <w:t xml:space="preserve">Consideration is valid when it is something of legal value, given by the </w:t>
      </w:r>
      <w:r w:rsidR="004E0F4D" w:rsidRPr="00F726E7">
        <w:rPr>
          <w:rFonts w:ascii="Arial" w:hAnsi="Arial" w:cs="Arial"/>
          <w:sz w:val="24"/>
          <w:szCs w:val="24"/>
          <w:lang w:eastAsia="en-GB"/>
        </w:rPr>
        <w:lastRenderedPageBreak/>
        <w:t>promise</w:t>
      </w:r>
      <w:r w:rsidRPr="00F726E7">
        <w:rPr>
          <w:rFonts w:ascii="Arial" w:hAnsi="Arial" w:cs="Arial"/>
          <w:sz w:val="24"/>
          <w:szCs w:val="24"/>
          <w:lang w:eastAsia="en-GB"/>
        </w:rPr>
        <w:t xml:space="preserve"> to the promisor in exchange for a promise. It does not need to be adequate (i.e., the law does not measure the economic fairness of the consideration), but it must be sufficient, meaning it must be real, tangible, and not illusory. The requirement that consideration must move from the </w:t>
      </w:r>
      <w:r w:rsidR="004E0F4D" w:rsidRPr="00F726E7">
        <w:rPr>
          <w:rFonts w:ascii="Arial" w:hAnsi="Arial" w:cs="Arial"/>
          <w:sz w:val="24"/>
          <w:szCs w:val="24"/>
          <w:lang w:eastAsia="en-GB"/>
        </w:rPr>
        <w:t>promise</w:t>
      </w:r>
      <w:r w:rsidRPr="00F726E7">
        <w:rPr>
          <w:rFonts w:ascii="Arial" w:hAnsi="Arial" w:cs="Arial"/>
          <w:sz w:val="24"/>
          <w:szCs w:val="24"/>
          <w:lang w:eastAsia="en-GB"/>
        </w:rPr>
        <w:t>, emphasized in the case of Tweddle v Atkinson (1861), illustrates the law’s insistence on a tangible exchange for a promise to be enforceable.</w:t>
      </w:r>
    </w:p>
    <w:p w14:paraId="5EE8AFC6" w14:textId="75AB6141" w:rsidR="00F726E7" w:rsidRPr="00F726E7" w:rsidRDefault="00F726E7" w:rsidP="00F726E7">
      <w:pPr>
        <w:rPr>
          <w:rFonts w:ascii="Arial" w:hAnsi="Arial" w:cs="Arial"/>
          <w:sz w:val="24"/>
          <w:szCs w:val="24"/>
          <w:lang w:eastAsia="en-GB"/>
        </w:rPr>
      </w:pPr>
      <w:r w:rsidRPr="00F726E7">
        <w:rPr>
          <w:rFonts w:ascii="Arial" w:hAnsi="Arial" w:cs="Arial"/>
          <w:sz w:val="24"/>
          <w:szCs w:val="24"/>
          <w:lang w:eastAsia="en-GB"/>
        </w:rPr>
        <w:t xml:space="preserve">One of the primary issues with consideration is its rigidity and the perceived unfairness it can create, particularly with the doctrine of past consideration and the requirement for consideration to move from the </w:t>
      </w:r>
      <w:r w:rsidR="004E0F4D" w:rsidRPr="00F726E7">
        <w:rPr>
          <w:rFonts w:ascii="Arial" w:hAnsi="Arial" w:cs="Arial"/>
          <w:sz w:val="24"/>
          <w:szCs w:val="24"/>
          <w:lang w:eastAsia="en-GB"/>
        </w:rPr>
        <w:t>promise</w:t>
      </w:r>
      <w:r w:rsidRPr="00F726E7">
        <w:rPr>
          <w:rFonts w:ascii="Arial" w:hAnsi="Arial" w:cs="Arial"/>
          <w:sz w:val="24"/>
          <w:szCs w:val="24"/>
          <w:lang w:eastAsia="en-GB"/>
        </w:rPr>
        <w:t>. This can result in situations where equitable outcomes are difficult to achieve, such as in the enforcement of promises where the benefits have been conferred in the past. Additionally, the distinction between gifts and contracts can sometimes be blurred, leading to confusion and litigation</w:t>
      </w:r>
      <w:r w:rsidR="000A5BA8">
        <w:rPr>
          <w:rFonts w:ascii="Arial" w:hAnsi="Arial" w:cs="Arial"/>
          <w:sz w:val="24"/>
          <w:szCs w:val="24"/>
          <w:lang w:eastAsia="en-GB"/>
        </w:rPr>
        <w:t xml:space="preserve"> (Poole, 2020, p.486)</w:t>
      </w:r>
      <w:r w:rsidRPr="00F726E7">
        <w:rPr>
          <w:rFonts w:ascii="Arial" w:hAnsi="Arial" w:cs="Arial"/>
          <w:sz w:val="24"/>
          <w:szCs w:val="24"/>
          <w:lang w:eastAsia="en-GB"/>
        </w:rPr>
        <w:t>.</w:t>
      </w:r>
    </w:p>
    <w:p w14:paraId="2D1BB73E" w14:textId="6B482C9C" w:rsidR="00F726E7" w:rsidRPr="00F726E7" w:rsidRDefault="00F726E7" w:rsidP="00F726E7">
      <w:pPr>
        <w:rPr>
          <w:rFonts w:ascii="Arial" w:hAnsi="Arial" w:cs="Arial"/>
          <w:sz w:val="24"/>
          <w:szCs w:val="24"/>
          <w:lang w:eastAsia="en-GB"/>
        </w:rPr>
      </w:pPr>
      <w:r w:rsidRPr="00F726E7">
        <w:rPr>
          <w:rFonts w:ascii="Arial" w:hAnsi="Arial" w:cs="Arial"/>
          <w:sz w:val="24"/>
          <w:szCs w:val="24"/>
          <w:lang w:eastAsia="en-GB"/>
        </w:rPr>
        <w:t xml:space="preserve">Suggestions for reform have focused on alleviating the rigidity of consideration and providing more flexibility to ensure fairness. One approach could be the recognition of a more broad-based notion of detriment or benefit, potentially encompassing past consideration under specific circumstances. Another suggestion is to adopt principles from other jurisdictions, such as the doctrine of promissory estoppel, which allows certain promises to be enforced without consideration, provided they have been relied upon to the </w:t>
      </w:r>
      <w:r w:rsidR="004E0F4D" w:rsidRPr="00F726E7">
        <w:rPr>
          <w:rFonts w:ascii="Arial" w:hAnsi="Arial" w:cs="Arial"/>
          <w:sz w:val="24"/>
          <w:szCs w:val="24"/>
          <w:lang w:eastAsia="en-GB"/>
        </w:rPr>
        <w:t>promise’s</w:t>
      </w:r>
      <w:r w:rsidRPr="00F726E7">
        <w:rPr>
          <w:rFonts w:ascii="Arial" w:hAnsi="Arial" w:cs="Arial"/>
          <w:sz w:val="24"/>
          <w:szCs w:val="24"/>
          <w:lang w:eastAsia="en-GB"/>
        </w:rPr>
        <w:t xml:space="preserve"> detriment. This principle is already recognized to a limited extent in English law but could be expanded to provide a more flexible and equitable framework</w:t>
      </w:r>
      <w:r w:rsidR="000A5BA8">
        <w:rPr>
          <w:rFonts w:ascii="Arial" w:hAnsi="Arial" w:cs="Arial"/>
          <w:sz w:val="24"/>
          <w:szCs w:val="24"/>
          <w:lang w:eastAsia="en-GB"/>
        </w:rPr>
        <w:t xml:space="preserve"> (McKendrick, 2020, p.</w:t>
      </w:r>
      <w:r w:rsidR="00E42964">
        <w:rPr>
          <w:rFonts w:ascii="Arial" w:hAnsi="Arial" w:cs="Arial"/>
          <w:sz w:val="24"/>
          <w:szCs w:val="24"/>
          <w:lang w:eastAsia="en-GB"/>
        </w:rPr>
        <w:t>285)</w:t>
      </w:r>
      <w:r w:rsidRPr="00F726E7">
        <w:rPr>
          <w:rFonts w:ascii="Arial" w:hAnsi="Arial" w:cs="Arial"/>
          <w:sz w:val="24"/>
          <w:szCs w:val="24"/>
          <w:lang w:eastAsia="en-GB"/>
        </w:rPr>
        <w:t>.</w:t>
      </w:r>
    </w:p>
    <w:p w14:paraId="2256473F" w14:textId="77777777" w:rsidR="00F726E7" w:rsidRDefault="00F726E7" w:rsidP="00F726E7">
      <w:pPr>
        <w:rPr>
          <w:rFonts w:ascii="Arial" w:hAnsi="Arial" w:cs="Arial"/>
          <w:sz w:val="24"/>
          <w:szCs w:val="24"/>
          <w:lang w:eastAsia="en-GB"/>
        </w:rPr>
      </w:pPr>
      <w:r w:rsidRPr="00F726E7">
        <w:rPr>
          <w:rFonts w:ascii="Arial" w:hAnsi="Arial" w:cs="Arial"/>
          <w:sz w:val="24"/>
          <w:szCs w:val="24"/>
          <w:lang w:eastAsia="en-GB"/>
        </w:rPr>
        <w:t>Consideration plays a pivotal role in the formation and enforcement of contracts under the law of England and Wales, ensuring that there is a reciprocal exchange of value between the contracting parties. While it serves as a cornerstone of contract law, it is not without its challenges and criticisms, particularly regarding its rigidity and the potential for unfair outcomes. Reform efforts should aim to preserve the fundamental role of consideration in distinguishing contracts from gifts while providing a framework that allows for greater flexibility and fairness in contractual obligations. By striking this balance, the law can better serve the evolving needs of contractual parties in a dynamic legal and economic environment.</w:t>
      </w:r>
    </w:p>
    <w:p w14:paraId="12AE9FE7" w14:textId="77777777" w:rsidR="0063476E" w:rsidRDefault="0063476E" w:rsidP="00F726E7">
      <w:pPr>
        <w:rPr>
          <w:rFonts w:ascii="Arial" w:hAnsi="Arial" w:cs="Arial"/>
          <w:sz w:val="24"/>
          <w:szCs w:val="24"/>
          <w:lang w:eastAsia="en-GB"/>
        </w:rPr>
      </w:pPr>
    </w:p>
    <w:p w14:paraId="3C59AFA0" w14:textId="77777777" w:rsidR="0063476E" w:rsidRDefault="0063476E" w:rsidP="00F726E7">
      <w:pPr>
        <w:rPr>
          <w:rFonts w:ascii="Arial" w:hAnsi="Arial" w:cs="Arial"/>
          <w:sz w:val="24"/>
          <w:szCs w:val="24"/>
          <w:lang w:eastAsia="en-GB"/>
        </w:rPr>
      </w:pPr>
    </w:p>
    <w:p w14:paraId="195F3972" w14:textId="77777777" w:rsidR="0063476E" w:rsidRDefault="0063476E" w:rsidP="00F726E7">
      <w:pPr>
        <w:rPr>
          <w:rFonts w:ascii="Arial" w:hAnsi="Arial" w:cs="Arial"/>
          <w:sz w:val="24"/>
          <w:szCs w:val="24"/>
          <w:lang w:eastAsia="en-GB"/>
        </w:rPr>
      </w:pPr>
    </w:p>
    <w:p w14:paraId="24A8560A" w14:textId="77777777" w:rsidR="0063476E" w:rsidRDefault="0063476E" w:rsidP="00F726E7">
      <w:pPr>
        <w:rPr>
          <w:rFonts w:ascii="Arial" w:hAnsi="Arial" w:cs="Arial"/>
          <w:sz w:val="24"/>
          <w:szCs w:val="24"/>
          <w:lang w:eastAsia="en-GB"/>
        </w:rPr>
      </w:pPr>
    </w:p>
    <w:p w14:paraId="47B6AB57" w14:textId="77777777" w:rsidR="0063476E" w:rsidRDefault="0063476E" w:rsidP="00F726E7">
      <w:pPr>
        <w:rPr>
          <w:rFonts w:ascii="Arial" w:hAnsi="Arial" w:cs="Arial"/>
          <w:sz w:val="24"/>
          <w:szCs w:val="24"/>
          <w:lang w:eastAsia="en-GB"/>
        </w:rPr>
      </w:pPr>
    </w:p>
    <w:p w14:paraId="09F12BF4" w14:textId="77777777" w:rsidR="0063476E" w:rsidRDefault="0063476E" w:rsidP="00F726E7">
      <w:pPr>
        <w:rPr>
          <w:rFonts w:ascii="Arial" w:hAnsi="Arial" w:cs="Arial"/>
          <w:sz w:val="24"/>
          <w:szCs w:val="24"/>
          <w:lang w:eastAsia="en-GB"/>
        </w:rPr>
      </w:pPr>
    </w:p>
    <w:p w14:paraId="3C3A06CB" w14:textId="77777777" w:rsidR="0063476E" w:rsidRDefault="0063476E" w:rsidP="00F726E7">
      <w:pPr>
        <w:rPr>
          <w:rFonts w:ascii="Arial" w:hAnsi="Arial" w:cs="Arial"/>
          <w:sz w:val="24"/>
          <w:szCs w:val="24"/>
          <w:lang w:eastAsia="en-GB"/>
        </w:rPr>
      </w:pPr>
    </w:p>
    <w:p w14:paraId="020FFC68" w14:textId="77777777" w:rsidR="0063476E" w:rsidRDefault="0063476E" w:rsidP="00F726E7">
      <w:pPr>
        <w:rPr>
          <w:rFonts w:ascii="Arial" w:hAnsi="Arial" w:cs="Arial"/>
          <w:sz w:val="24"/>
          <w:szCs w:val="24"/>
          <w:lang w:eastAsia="en-GB"/>
        </w:rPr>
      </w:pPr>
    </w:p>
    <w:p w14:paraId="1744D139" w14:textId="77777777" w:rsidR="0063476E" w:rsidRDefault="0063476E" w:rsidP="00F726E7">
      <w:pPr>
        <w:rPr>
          <w:rFonts w:ascii="Arial" w:hAnsi="Arial" w:cs="Arial"/>
          <w:sz w:val="24"/>
          <w:szCs w:val="24"/>
          <w:lang w:eastAsia="en-GB"/>
        </w:rPr>
      </w:pPr>
    </w:p>
    <w:p w14:paraId="08BFA4DF" w14:textId="36C7792B" w:rsidR="0063476E" w:rsidRDefault="0063476E" w:rsidP="00F726E7">
      <w:pPr>
        <w:rPr>
          <w:rFonts w:ascii="Arial" w:hAnsi="Arial" w:cs="Arial"/>
          <w:sz w:val="24"/>
          <w:szCs w:val="24"/>
          <w:lang w:eastAsia="en-GB"/>
        </w:rPr>
      </w:pPr>
    </w:p>
    <w:p w14:paraId="7C48CA32" w14:textId="2752788F" w:rsidR="0063476E" w:rsidRDefault="0063476E" w:rsidP="004B4B47">
      <w:pPr>
        <w:jc w:val="center"/>
        <w:rPr>
          <w:rFonts w:ascii="Arial" w:hAnsi="Arial" w:cs="Arial"/>
          <w:sz w:val="24"/>
          <w:szCs w:val="24"/>
          <w:lang w:eastAsia="en-GB"/>
        </w:rPr>
      </w:pPr>
      <w:r>
        <w:rPr>
          <w:rFonts w:ascii="Arial" w:hAnsi="Arial" w:cs="Arial"/>
          <w:sz w:val="24"/>
          <w:szCs w:val="24"/>
          <w:lang w:eastAsia="en-GB"/>
        </w:rPr>
        <w:t>References</w:t>
      </w:r>
    </w:p>
    <w:p w14:paraId="4F00FD91" w14:textId="77777777" w:rsidR="005F03FF" w:rsidRDefault="005F03FF" w:rsidP="005F03FF">
      <w:pPr>
        <w:rPr>
          <w:rFonts w:ascii="Arial" w:hAnsi="Arial" w:cs="Arial"/>
          <w:sz w:val="24"/>
          <w:szCs w:val="24"/>
          <w:lang w:eastAsia="en-GB"/>
        </w:rPr>
      </w:pPr>
      <w:r w:rsidRPr="00B92246">
        <w:rPr>
          <w:rFonts w:ascii="Arial" w:hAnsi="Arial" w:cs="Arial"/>
          <w:i/>
          <w:iCs/>
          <w:sz w:val="24"/>
          <w:szCs w:val="24"/>
          <w:lang w:eastAsia="en-GB"/>
        </w:rPr>
        <w:t>Consumer Rights Act 2015, c.15</w:t>
      </w:r>
      <w:r>
        <w:rPr>
          <w:rFonts w:ascii="Arial" w:hAnsi="Arial" w:cs="Arial"/>
          <w:sz w:val="24"/>
          <w:szCs w:val="24"/>
          <w:lang w:eastAsia="en-GB"/>
        </w:rPr>
        <w:t xml:space="preserve">. Available at: </w:t>
      </w:r>
      <w:hyperlink r:id="rId7" w:history="1">
        <w:r w:rsidRPr="00F16398">
          <w:rPr>
            <w:rStyle w:val="Hyperlink"/>
            <w:rFonts w:ascii="Arial" w:hAnsi="Arial" w:cs="Arial"/>
            <w:sz w:val="24"/>
            <w:szCs w:val="24"/>
            <w:lang w:eastAsia="en-GB"/>
          </w:rPr>
          <w:t>https://www.legislation.gov.uk/ukpga/2015/15/contents/enacted</w:t>
        </w:r>
      </w:hyperlink>
      <w:r>
        <w:rPr>
          <w:rFonts w:ascii="Arial" w:hAnsi="Arial" w:cs="Arial"/>
          <w:sz w:val="24"/>
          <w:szCs w:val="24"/>
          <w:lang w:eastAsia="en-GB"/>
        </w:rPr>
        <w:t xml:space="preserve"> (Accessed: 14 March 2024). </w:t>
      </w:r>
    </w:p>
    <w:p w14:paraId="66A7D0C5" w14:textId="70968DB8" w:rsidR="005F03FF" w:rsidRDefault="005F03FF" w:rsidP="00F726E7">
      <w:pPr>
        <w:rPr>
          <w:rFonts w:ascii="Arial" w:hAnsi="Arial" w:cs="Arial"/>
          <w:sz w:val="24"/>
          <w:szCs w:val="24"/>
          <w:lang w:eastAsia="en-GB"/>
        </w:rPr>
      </w:pPr>
      <w:r w:rsidRPr="004F5143">
        <w:rPr>
          <w:rFonts w:ascii="Arial" w:hAnsi="Arial" w:cs="Arial"/>
          <w:i/>
          <w:iCs/>
          <w:sz w:val="24"/>
          <w:szCs w:val="24"/>
          <w:lang w:eastAsia="en-GB"/>
        </w:rPr>
        <w:t>Contracts (Rights of Third Parties) Act 1999, c.31</w:t>
      </w:r>
      <w:r>
        <w:rPr>
          <w:rFonts w:ascii="Arial" w:hAnsi="Arial" w:cs="Arial"/>
          <w:sz w:val="24"/>
          <w:szCs w:val="24"/>
          <w:lang w:eastAsia="en-GB"/>
        </w:rPr>
        <w:t xml:space="preserve">. Available at: </w:t>
      </w:r>
      <w:hyperlink r:id="rId8" w:history="1">
        <w:r w:rsidRPr="00F16398">
          <w:rPr>
            <w:rStyle w:val="Hyperlink"/>
            <w:rFonts w:ascii="Arial" w:hAnsi="Arial" w:cs="Arial"/>
            <w:sz w:val="24"/>
            <w:szCs w:val="24"/>
            <w:lang w:eastAsia="en-GB"/>
          </w:rPr>
          <w:t>https://www.legislation.gov.uk/ukpga/1999/31/contents</w:t>
        </w:r>
      </w:hyperlink>
      <w:r>
        <w:rPr>
          <w:rFonts w:ascii="Arial" w:hAnsi="Arial" w:cs="Arial"/>
          <w:sz w:val="24"/>
          <w:szCs w:val="24"/>
          <w:lang w:eastAsia="en-GB"/>
        </w:rPr>
        <w:t xml:space="preserve"> (Accessed: 14 March 2024). </w:t>
      </w:r>
    </w:p>
    <w:p w14:paraId="0521E366" w14:textId="77777777" w:rsidR="005F03FF" w:rsidRDefault="005F03FF" w:rsidP="005F03FF">
      <w:pPr>
        <w:rPr>
          <w:rFonts w:ascii="Arial" w:hAnsi="Arial" w:cs="Arial"/>
          <w:sz w:val="24"/>
          <w:szCs w:val="24"/>
          <w:lang w:eastAsia="en-GB"/>
        </w:rPr>
      </w:pPr>
      <w:r>
        <w:rPr>
          <w:rFonts w:ascii="Arial" w:hAnsi="Arial" w:cs="Arial"/>
          <w:sz w:val="24"/>
          <w:szCs w:val="24"/>
          <w:lang w:eastAsia="en-GB"/>
        </w:rPr>
        <w:t xml:space="preserve">Halsbury’s Laws of England (2008) </w:t>
      </w:r>
      <w:r w:rsidRPr="0092645D">
        <w:rPr>
          <w:rFonts w:ascii="Arial" w:hAnsi="Arial" w:cs="Arial"/>
          <w:i/>
          <w:iCs/>
          <w:sz w:val="24"/>
          <w:szCs w:val="24"/>
          <w:lang w:eastAsia="en-GB"/>
        </w:rPr>
        <w:t>Consideration</w:t>
      </w:r>
      <w:r>
        <w:rPr>
          <w:rFonts w:ascii="Arial" w:hAnsi="Arial" w:cs="Arial"/>
          <w:sz w:val="24"/>
          <w:szCs w:val="24"/>
          <w:lang w:eastAsia="en-GB"/>
        </w:rPr>
        <w:t xml:space="preserve">. Available at: </w:t>
      </w:r>
      <w:hyperlink r:id="rId9" w:history="1">
        <w:r w:rsidRPr="00F16398">
          <w:rPr>
            <w:rStyle w:val="Hyperlink"/>
            <w:rFonts w:ascii="Arial" w:hAnsi="Arial" w:cs="Arial"/>
            <w:sz w:val="24"/>
            <w:szCs w:val="24"/>
            <w:lang w:eastAsia="en-GB"/>
          </w:rPr>
          <w:t>https://plus-lexis-com.ezproxy.uwtsd.ac.uk/uk/document/?pdmfid=1001073&amp;crid=bcd5d6d8-1da9-4971-bcb4-c00ff07329b3&amp;pddocfullpath=%2Fshared%2Fdocument%2Fanalytical-materials-uk%2Furn:contentItem:604W-R8J3-GXFD-81G8-00000-00&amp;pdcontentcomponentid=127887&amp;pdteaserkey=&amp;pdislpamode=false&amp;pddocumentnumber=1&amp;ecomp=dt5k&amp;earg=sr0&amp;prid=a07f1848-776e-4a88-829d-fadc15f77ba1</w:t>
        </w:r>
      </w:hyperlink>
      <w:r>
        <w:rPr>
          <w:rFonts w:ascii="Arial" w:hAnsi="Arial" w:cs="Arial"/>
          <w:sz w:val="24"/>
          <w:szCs w:val="24"/>
          <w:lang w:eastAsia="en-GB"/>
        </w:rPr>
        <w:t xml:space="preserve"> (Accessed: 14 March 2024). </w:t>
      </w:r>
    </w:p>
    <w:p w14:paraId="4B3510A0" w14:textId="77777777" w:rsidR="005F03FF" w:rsidRDefault="005F03FF" w:rsidP="005F03FF">
      <w:pPr>
        <w:rPr>
          <w:rFonts w:ascii="Arial" w:hAnsi="Arial" w:cs="Arial"/>
          <w:sz w:val="24"/>
          <w:szCs w:val="24"/>
          <w:lang w:eastAsia="en-GB"/>
        </w:rPr>
      </w:pPr>
      <w:r>
        <w:rPr>
          <w:rFonts w:ascii="Arial" w:hAnsi="Arial" w:cs="Arial"/>
          <w:sz w:val="24"/>
          <w:szCs w:val="24"/>
          <w:lang w:eastAsia="en-GB"/>
        </w:rPr>
        <w:t xml:space="preserve">LexisNexis (2024) </w:t>
      </w:r>
      <w:r w:rsidRPr="0062112B">
        <w:rPr>
          <w:rFonts w:ascii="Arial" w:hAnsi="Arial" w:cs="Arial"/>
          <w:i/>
          <w:iCs/>
          <w:sz w:val="24"/>
          <w:szCs w:val="24"/>
          <w:lang w:eastAsia="en-GB"/>
        </w:rPr>
        <w:t>Forming Enforceable Contracts – Consideration.</w:t>
      </w:r>
      <w:r>
        <w:rPr>
          <w:rFonts w:ascii="Arial" w:hAnsi="Arial" w:cs="Arial"/>
          <w:sz w:val="24"/>
          <w:szCs w:val="24"/>
          <w:lang w:eastAsia="en-GB"/>
        </w:rPr>
        <w:t xml:space="preserve"> Available at: </w:t>
      </w:r>
      <w:hyperlink r:id="rId10" w:history="1">
        <w:r w:rsidRPr="00F16398">
          <w:rPr>
            <w:rStyle w:val="Hyperlink"/>
            <w:rFonts w:ascii="Arial" w:hAnsi="Arial" w:cs="Arial"/>
            <w:sz w:val="24"/>
            <w:szCs w:val="24"/>
            <w:lang w:eastAsia="en-GB"/>
          </w:rPr>
          <w:t>https://www.lexisnexis.co.uk/legal/guidance/forming-enforceable-contracts-consideration</w:t>
        </w:r>
      </w:hyperlink>
      <w:r>
        <w:rPr>
          <w:rFonts w:ascii="Arial" w:hAnsi="Arial" w:cs="Arial"/>
          <w:sz w:val="24"/>
          <w:szCs w:val="24"/>
          <w:lang w:eastAsia="en-GB"/>
        </w:rPr>
        <w:t xml:space="preserve"> (Accessed: 14 March 2024).  </w:t>
      </w:r>
    </w:p>
    <w:p w14:paraId="34283264" w14:textId="19741A9D" w:rsidR="005F03FF" w:rsidRDefault="005F03FF" w:rsidP="00F726E7">
      <w:pPr>
        <w:rPr>
          <w:rFonts w:ascii="Arial" w:hAnsi="Arial" w:cs="Arial"/>
          <w:sz w:val="24"/>
          <w:szCs w:val="24"/>
          <w:lang w:eastAsia="en-GB"/>
        </w:rPr>
      </w:pPr>
      <w:r>
        <w:rPr>
          <w:rFonts w:ascii="Arial" w:hAnsi="Arial" w:cs="Arial"/>
          <w:sz w:val="24"/>
          <w:szCs w:val="24"/>
          <w:lang w:eastAsia="en-GB"/>
        </w:rPr>
        <w:t xml:space="preserve">LexisNexis (2019) </w:t>
      </w:r>
      <w:r w:rsidRPr="005F03FF">
        <w:rPr>
          <w:rFonts w:ascii="Arial" w:hAnsi="Arial" w:cs="Arial"/>
          <w:i/>
          <w:iCs/>
          <w:sz w:val="24"/>
          <w:szCs w:val="24"/>
          <w:lang w:eastAsia="en-GB"/>
        </w:rPr>
        <w:t>The Doctrine of Consideration</w:t>
      </w:r>
      <w:r>
        <w:rPr>
          <w:rFonts w:ascii="Arial" w:hAnsi="Arial" w:cs="Arial"/>
          <w:sz w:val="24"/>
          <w:szCs w:val="24"/>
          <w:lang w:eastAsia="en-GB"/>
        </w:rPr>
        <w:t xml:space="preserve">. Available at: </w:t>
      </w:r>
      <w:hyperlink r:id="rId11" w:history="1">
        <w:r w:rsidRPr="00F16398">
          <w:rPr>
            <w:rStyle w:val="Hyperlink"/>
            <w:rFonts w:ascii="Arial" w:hAnsi="Arial" w:cs="Arial"/>
            <w:sz w:val="24"/>
            <w:szCs w:val="24"/>
            <w:lang w:eastAsia="en-GB"/>
          </w:rPr>
          <w:t>https://www.lexisnexis.co.uk/legal/commentary/halsburys-laws-of-england/contract/the-doctrine-of-consideration</w:t>
        </w:r>
      </w:hyperlink>
      <w:r>
        <w:rPr>
          <w:rFonts w:ascii="Arial" w:hAnsi="Arial" w:cs="Arial"/>
          <w:sz w:val="24"/>
          <w:szCs w:val="24"/>
          <w:lang w:eastAsia="en-GB"/>
        </w:rPr>
        <w:t xml:space="preserve"> (Accessed: 14 March 2024). </w:t>
      </w:r>
    </w:p>
    <w:p w14:paraId="75B313BB" w14:textId="427A3DF6" w:rsidR="0063476E" w:rsidRDefault="0063476E" w:rsidP="00F726E7">
      <w:pPr>
        <w:rPr>
          <w:rFonts w:ascii="Arial" w:hAnsi="Arial" w:cs="Arial"/>
          <w:sz w:val="24"/>
          <w:szCs w:val="24"/>
          <w:lang w:eastAsia="en-GB"/>
        </w:rPr>
      </w:pPr>
      <w:r>
        <w:rPr>
          <w:rFonts w:ascii="Arial" w:hAnsi="Arial" w:cs="Arial"/>
          <w:sz w:val="24"/>
          <w:szCs w:val="24"/>
          <w:lang w:eastAsia="en-GB"/>
        </w:rPr>
        <w:t xml:space="preserve">McKendrick, E. (2020) </w:t>
      </w:r>
      <w:r w:rsidRPr="0063476E">
        <w:rPr>
          <w:rFonts w:ascii="Arial" w:hAnsi="Arial" w:cs="Arial"/>
          <w:i/>
          <w:iCs/>
          <w:sz w:val="24"/>
          <w:szCs w:val="24"/>
          <w:lang w:eastAsia="en-GB"/>
        </w:rPr>
        <w:t>Contract Law: Text, Cases and Materials.</w:t>
      </w:r>
      <w:r>
        <w:rPr>
          <w:rFonts w:ascii="Arial" w:hAnsi="Arial" w:cs="Arial"/>
          <w:sz w:val="24"/>
          <w:szCs w:val="24"/>
          <w:lang w:eastAsia="en-GB"/>
        </w:rPr>
        <w:t xml:space="preserve"> 8</w:t>
      </w:r>
      <w:r w:rsidRPr="0063476E">
        <w:rPr>
          <w:rFonts w:ascii="Arial" w:hAnsi="Arial" w:cs="Arial"/>
          <w:sz w:val="24"/>
          <w:szCs w:val="24"/>
          <w:vertAlign w:val="superscript"/>
          <w:lang w:eastAsia="en-GB"/>
        </w:rPr>
        <w:t>th</w:t>
      </w:r>
      <w:r>
        <w:rPr>
          <w:rFonts w:ascii="Arial" w:hAnsi="Arial" w:cs="Arial"/>
          <w:sz w:val="24"/>
          <w:szCs w:val="24"/>
          <w:lang w:eastAsia="en-GB"/>
        </w:rPr>
        <w:t xml:space="preserve"> edn. Oxford: University Press. </w:t>
      </w:r>
    </w:p>
    <w:p w14:paraId="2B3C6919" w14:textId="7387C523" w:rsidR="00F726E7" w:rsidRDefault="000841A2">
      <w:pPr>
        <w:rPr>
          <w:rFonts w:ascii="Arial" w:hAnsi="Arial" w:cs="Arial"/>
          <w:sz w:val="24"/>
          <w:szCs w:val="24"/>
          <w:lang w:eastAsia="en-GB"/>
        </w:rPr>
      </w:pPr>
      <w:r>
        <w:rPr>
          <w:rFonts w:ascii="Arial" w:hAnsi="Arial" w:cs="Arial"/>
          <w:sz w:val="24"/>
          <w:szCs w:val="24"/>
          <w:lang w:eastAsia="en-GB"/>
        </w:rPr>
        <w:t xml:space="preserve">Poole, J. (2020) </w:t>
      </w:r>
      <w:r w:rsidRPr="000841A2">
        <w:rPr>
          <w:rFonts w:ascii="Arial" w:hAnsi="Arial" w:cs="Arial"/>
          <w:i/>
          <w:iCs/>
          <w:sz w:val="24"/>
          <w:szCs w:val="24"/>
          <w:lang w:eastAsia="en-GB"/>
        </w:rPr>
        <w:t>Textbook on Contract Law.</w:t>
      </w:r>
      <w:r>
        <w:rPr>
          <w:rFonts w:ascii="Arial" w:hAnsi="Arial" w:cs="Arial"/>
          <w:sz w:val="24"/>
          <w:szCs w:val="24"/>
          <w:lang w:eastAsia="en-GB"/>
        </w:rPr>
        <w:t xml:space="preserve"> 14</w:t>
      </w:r>
      <w:r w:rsidRPr="000841A2">
        <w:rPr>
          <w:rFonts w:ascii="Arial" w:hAnsi="Arial" w:cs="Arial"/>
          <w:sz w:val="24"/>
          <w:szCs w:val="24"/>
          <w:vertAlign w:val="superscript"/>
          <w:lang w:eastAsia="en-GB"/>
        </w:rPr>
        <w:t>th</w:t>
      </w:r>
      <w:r>
        <w:rPr>
          <w:rFonts w:ascii="Arial" w:hAnsi="Arial" w:cs="Arial"/>
          <w:sz w:val="24"/>
          <w:szCs w:val="24"/>
          <w:lang w:eastAsia="en-GB"/>
        </w:rPr>
        <w:t xml:space="preserve"> edn. Oxford: University Press.</w:t>
      </w:r>
    </w:p>
    <w:p w14:paraId="581019C5" w14:textId="4972DB0C" w:rsidR="005F41E5" w:rsidRDefault="005F41E5">
      <w:pPr>
        <w:rPr>
          <w:rFonts w:ascii="Arial" w:hAnsi="Arial" w:cs="Arial"/>
          <w:sz w:val="24"/>
          <w:szCs w:val="24"/>
          <w:lang w:eastAsia="en-GB"/>
        </w:rPr>
      </w:pPr>
      <w:r w:rsidRPr="0079636E">
        <w:rPr>
          <w:rFonts w:ascii="Arial" w:hAnsi="Arial" w:cs="Arial"/>
          <w:i/>
          <w:iCs/>
          <w:sz w:val="24"/>
          <w:szCs w:val="24"/>
          <w:lang w:eastAsia="en-GB"/>
        </w:rPr>
        <w:t>Sale of Goods Act 1979, c.54</w:t>
      </w:r>
      <w:r>
        <w:rPr>
          <w:rFonts w:ascii="Arial" w:hAnsi="Arial" w:cs="Arial"/>
          <w:sz w:val="24"/>
          <w:szCs w:val="24"/>
          <w:lang w:eastAsia="en-GB"/>
        </w:rPr>
        <w:t xml:space="preserve">. Available at: </w:t>
      </w:r>
      <w:hyperlink r:id="rId12" w:history="1">
        <w:r w:rsidR="0079636E" w:rsidRPr="00F16398">
          <w:rPr>
            <w:rStyle w:val="Hyperlink"/>
            <w:rFonts w:ascii="Arial" w:hAnsi="Arial" w:cs="Arial"/>
            <w:sz w:val="24"/>
            <w:szCs w:val="24"/>
            <w:lang w:eastAsia="en-GB"/>
          </w:rPr>
          <w:t>https://www.legislation.gov.uk/ukpga/1979/54/contents</w:t>
        </w:r>
      </w:hyperlink>
      <w:r w:rsidR="0079636E">
        <w:rPr>
          <w:rFonts w:ascii="Arial" w:hAnsi="Arial" w:cs="Arial"/>
          <w:sz w:val="24"/>
          <w:szCs w:val="24"/>
          <w:lang w:eastAsia="en-GB"/>
        </w:rPr>
        <w:t xml:space="preserve"> (Accessed: 14 March 2024). </w:t>
      </w:r>
    </w:p>
    <w:p w14:paraId="0F5D86BF" w14:textId="77777777" w:rsidR="004B4B47" w:rsidRDefault="004B4B47">
      <w:pPr>
        <w:rPr>
          <w:rFonts w:ascii="Arial" w:hAnsi="Arial" w:cs="Arial"/>
          <w:sz w:val="24"/>
          <w:szCs w:val="24"/>
          <w:lang w:eastAsia="en-GB"/>
        </w:rPr>
      </w:pPr>
    </w:p>
    <w:p w14:paraId="2FF5A443" w14:textId="79AEB5D5" w:rsidR="004B4B47" w:rsidRDefault="004B4B47" w:rsidP="004B4B47">
      <w:pPr>
        <w:jc w:val="center"/>
        <w:rPr>
          <w:rFonts w:ascii="Arial" w:hAnsi="Arial" w:cs="Arial"/>
          <w:sz w:val="24"/>
          <w:szCs w:val="24"/>
          <w:lang w:eastAsia="en-GB"/>
        </w:rPr>
      </w:pPr>
      <w:r>
        <w:rPr>
          <w:rFonts w:ascii="Arial" w:hAnsi="Arial" w:cs="Arial"/>
          <w:sz w:val="24"/>
          <w:szCs w:val="24"/>
          <w:lang w:eastAsia="en-GB"/>
        </w:rPr>
        <w:t>Case Law</w:t>
      </w:r>
    </w:p>
    <w:p w14:paraId="3312E542" w14:textId="2C53288A" w:rsidR="004B4B47" w:rsidRDefault="004B4B47" w:rsidP="004B4B47">
      <w:pPr>
        <w:rPr>
          <w:rFonts w:ascii="Arial" w:hAnsi="Arial" w:cs="Arial"/>
          <w:sz w:val="24"/>
          <w:szCs w:val="24"/>
        </w:rPr>
      </w:pPr>
      <w:hyperlink r:id="rId13" w:history="1">
        <w:r w:rsidRPr="00672E43">
          <w:rPr>
            <w:rStyle w:val="Hyperlink"/>
            <w:rFonts w:ascii="Arial" w:hAnsi="Arial" w:cs="Arial"/>
            <w:i/>
            <w:iCs/>
            <w:color w:val="auto"/>
            <w:sz w:val="24"/>
            <w:szCs w:val="24"/>
            <w:u w:val="none"/>
          </w:rPr>
          <w:t>Currie v Misa</w:t>
        </w:r>
        <w:r w:rsidRPr="004B4B47">
          <w:rPr>
            <w:rStyle w:val="Hyperlink"/>
            <w:rFonts w:ascii="Arial" w:hAnsi="Arial" w:cs="Arial"/>
            <w:color w:val="auto"/>
            <w:sz w:val="24"/>
            <w:szCs w:val="24"/>
            <w:u w:val="none"/>
          </w:rPr>
          <w:t> (1875) LR 10 Exch 153, 44 LJ Ex 94, 23 WR 450</w:t>
        </w:r>
      </w:hyperlink>
    </w:p>
    <w:p w14:paraId="1895D36E" w14:textId="16545C72" w:rsidR="004B4B47" w:rsidRPr="00672E43" w:rsidRDefault="00672E43" w:rsidP="004B4B47">
      <w:pPr>
        <w:rPr>
          <w:rFonts w:ascii="Arial" w:hAnsi="Arial" w:cs="Arial"/>
          <w:sz w:val="32"/>
          <w:szCs w:val="32"/>
          <w:lang w:eastAsia="en-GB"/>
        </w:rPr>
      </w:pPr>
      <w:r w:rsidRPr="00672E43">
        <w:rPr>
          <w:rFonts w:ascii="Arial" w:hAnsi="Arial" w:cs="Arial"/>
          <w:i/>
          <w:iCs/>
          <w:color w:val="212121"/>
          <w:sz w:val="24"/>
          <w:szCs w:val="24"/>
          <w:bdr w:val="none" w:sz="0" w:space="0" w:color="auto" w:frame="1"/>
          <w:shd w:val="clear" w:color="auto" w:fill="FFFFFF"/>
        </w:rPr>
        <w:t>Tweddle v Atkinson</w:t>
      </w:r>
      <w:r w:rsidRPr="00672E43">
        <w:rPr>
          <w:rFonts w:ascii="Arial" w:hAnsi="Arial" w:cs="Arial"/>
          <w:color w:val="212121"/>
          <w:sz w:val="24"/>
          <w:szCs w:val="24"/>
          <w:shd w:val="clear" w:color="auto" w:fill="FFFFFF"/>
        </w:rPr>
        <w:t> (1861) 25 JP 517, 1 B &amp; S 393, 30 LJQB 265, 8 Jur NS 332, 9 WR 781, 121 ER 762, [1861-73] All ER Rep 369, 4 LT 468</w:t>
      </w:r>
    </w:p>
    <w:p w14:paraId="1FC3ED28" w14:textId="77777777" w:rsidR="0063476E" w:rsidRDefault="0063476E"/>
    <w:p w14:paraId="251F8EB7" w14:textId="77777777" w:rsidR="0063476E" w:rsidRDefault="0063476E"/>
    <w:p w14:paraId="522EDBD6" w14:textId="77777777" w:rsidR="0063476E" w:rsidRDefault="0063476E"/>
    <w:p w14:paraId="2BA6B715" w14:textId="77777777" w:rsidR="0063476E" w:rsidRDefault="0063476E"/>
    <w:p w14:paraId="32B24BD0" w14:textId="77777777" w:rsidR="0063476E" w:rsidRDefault="0063476E"/>
    <w:p w14:paraId="63CCFC46" w14:textId="77777777" w:rsidR="0063476E" w:rsidRDefault="0063476E"/>
    <w:p w14:paraId="2292FC0C" w14:textId="77777777" w:rsidR="0063476E" w:rsidRDefault="0063476E"/>
    <w:p w14:paraId="45B30BE9" w14:textId="77777777" w:rsidR="0063476E" w:rsidRDefault="0063476E"/>
    <w:p w14:paraId="51C16B6A" w14:textId="0890EB0E" w:rsidR="0063476E" w:rsidRDefault="0063476E"/>
    <w:sectPr w:rsidR="00634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6E7"/>
    <w:rsid w:val="000841A2"/>
    <w:rsid w:val="000A5BA8"/>
    <w:rsid w:val="000F0909"/>
    <w:rsid w:val="00172746"/>
    <w:rsid w:val="001E28BB"/>
    <w:rsid w:val="001F4E2F"/>
    <w:rsid w:val="004116BB"/>
    <w:rsid w:val="00414041"/>
    <w:rsid w:val="00461C09"/>
    <w:rsid w:val="004B4B47"/>
    <w:rsid w:val="004E0F4D"/>
    <w:rsid w:val="004F5143"/>
    <w:rsid w:val="005F03FF"/>
    <w:rsid w:val="005F41E5"/>
    <w:rsid w:val="0062112B"/>
    <w:rsid w:val="0063476E"/>
    <w:rsid w:val="00672E43"/>
    <w:rsid w:val="006E32E8"/>
    <w:rsid w:val="007666EC"/>
    <w:rsid w:val="0079636E"/>
    <w:rsid w:val="008A3E5B"/>
    <w:rsid w:val="0092645D"/>
    <w:rsid w:val="00945B8C"/>
    <w:rsid w:val="00A55237"/>
    <w:rsid w:val="00B92246"/>
    <w:rsid w:val="00DE5D69"/>
    <w:rsid w:val="00E42964"/>
    <w:rsid w:val="00E60259"/>
    <w:rsid w:val="00EC23BC"/>
    <w:rsid w:val="00EE412E"/>
    <w:rsid w:val="00F72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F58BA"/>
  <w15:chartTrackingRefBased/>
  <w15:docId w15:val="{08E89BEF-88B5-4EC9-9C84-96D80BE44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6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26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726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26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26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26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6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6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6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6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26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726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26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26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26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6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6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6E7"/>
    <w:rPr>
      <w:rFonts w:eastAsiaTheme="majorEastAsia" w:cstheme="majorBidi"/>
      <w:color w:val="272727" w:themeColor="text1" w:themeTint="D8"/>
    </w:rPr>
  </w:style>
  <w:style w:type="paragraph" w:styleId="Title">
    <w:name w:val="Title"/>
    <w:basedOn w:val="Normal"/>
    <w:next w:val="Normal"/>
    <w:link w:val="TitleChar"/>
    <w:uiPriority w:val="10"/>
    <w:qFormat/>
    <w:rsid w:val="00F726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6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6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6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6E7"/>
    <w:pPr>
      <w:spacing w:before="160"/>
      <w:jc w:val="center"/>
    </w:pPr>
    <w:rPr>
      <w:i/>
      <w:iCs/>
      <w:color w:val="404040" w:themeColor="text1" w:themeTint="BF"/>
    </w:rPr>
  </w:style>
  <w:style w:type="character" w:customStyle="1" w:styleId="QuoteChar">
    <w:name w:val="Quote Char"/>
    <w:basedOn w:val="DefaultParagraphFont"/>
    <w:link w:val="Quote"/>
    <w:uiPriority w:val="29"/>
    <w:rsid w:val="00F726E7"/>
    <w:rPr>
      <w:i/>
      <w:iCs/>
      <w:color w:val="404040" w:themeColor="text1" w:themeTint="BF"/>
    </w:rPr>
  </w:style>
  <w:style w:type="paragraph" w:styleId="ListParagraph">
    <w:name w:val="List Paragraph"/>
    <w:basedOn w:val="Normal"/>
    <w:uiPriority w:val="34"/>
    <w:qFormat/>
    <w:rsid w:val="00F726E7"/>
    <w:pPr>
      <w:ind w:left="720"/>
      <w:contextualSpacing/>
    </w:pPr>
  </w:style>
  <w:style w:type="character" w:styleId="IntenseEmphasis">
    <w:name w:val="Intense Emphasis"/>
    <w:basedOn w:val="DefaultParagraphFont"/>
    <w:uiPriority w:val="21"/>
    <w:qFormat/>
    <w:rsid w:val="00F726E7"/>
    <w:rPr>
      <w:i/>
      <w:iCs/>
      <w:color w:val="0F4761" w:themeColor="accent1" w:themeShade="BF"/>
    </w:rPr>
  </w:style>
  <w:style w:type="paragraph" w:styleId="IntenseQuote">
    <w:name w:val="Intense Quote"/>
    <w:basedOn w:val="Normal"/>
    <w:next w:val="Normal"/>
    <w:link w:val="IntenseQuoteChar"/>
    <w:uiPriority w:val="30"/>
    <w:qFormat/>
    <w:rsid w:val="00F726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26E7"/>
    <w:rPr>
      <w:i/>
      <w:iCs/>
      <w:color w:val="0F4761" w:themeColor="accent1" w:themeShade="BF"/>
    </w:rPr>
  </w:style>
  <w:style w:type="character" w:styleId="IntenseReference">
    <w:name w:val="Intense Reference"/>
    <w:basedOn w:val="DefaultParagraphFont"/>
    <w:uiPriority w:val="32"/>
    <w:qFormat/>
    <w:rsid w:val="00F726E7"/>
    <w:rPr>
      <w:b/>
      <w:bCs/>
      <w:smallCaps/>
      <w:color w:val="0F4761" w:themeColor="accent1" w:themeShade="BF"/>
      <w:spacing w:val="5"/>
    </w:rPr>
  </w:style>
  <w:style w:type="paragraph" w:styleId="NormalWeb">
    <w:name w:val="Normal (Web)"/>
    <w:basedOn w:val="Normal"/>
    <w:uiPriority w:val="99"/>
    <w:semiHidden/>
    <w:unhideWhenUsed/>
    <w:rsid w:val="00F726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3476E"/>
    <w:rPr>
      <w:b/>
      <w:bCs/>
    </w:rPr>
  </w:style>
  <w:style w:type="character" w:styleId="Emphasis">
    <w:name w:val="Emphasis"/>
    <w:basedOn w:val="DefaultParagraphFont"/>
    <w:uiPriority w:val="20"/>
    <w:qFormat/>
    <w:rsid w:val="0063476E"/>
    <w:rPr>
      <w:i/>
      <w:iCs/>
    </w:rPr>
  </w:style>
  <w:style w:type="character" w:styleId="Hyperlink">
    <w:name w:val="Hyperlink"/>
    <w:basedOn w:val="DefaultParagraphFont"/>
    <w:uiPriority w:val="99"/>
    <w:unhideWhenUsed/>
    <w:rsid w:val="004B4B47"/>
    <w:rPr>
      <w:color w:val="0000FF"/>
      <w:u w:val="single"/>
    </w:rPr>
  </w:style>
  <w:style w:type="character" w:styleId="UnresolvedMention">
    <w:name w:val="Unresolved Mention"/>
    <w:basedOn w:val="DefaultParagraphFont"/>
    <w:uiPriority w:val="99"/>
    <w:semiHidden/>
    <w:unhideWhenUsed/>
    <w:rsid w:val="007963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955378">
      <w:bodyDiv w:val="1"/>
      <w:marLeft w:val="0"/>
      <w:marRight w:val="0"/>
      <w:marTop w:val="0"/>
      <w:marBottom w:val="0"/>
      <w:divBdr>
        <w:top w:val="none" w:sz="0" w:space="0" w:color="auto"/>
        <w:left w:val="none" w:sz="0" w:space="0" w:color="auto"/>
        <w:bottom w:val="none" w:sz="0" w:space="0" w:color="auto"/>
        <w:right w:val="none" w:sz="0" w:space="0" w:color="auto"/>
      </w:divBdr>
    </w:div>
    <w:div w:id="1507864829">
      <w:bodyDiv w:val="1"/>
      <w:marLeft w:val="0"/>
      <w:marRight w:val="0"/>
      <w:marTop w:val="0"/>
      <w:marBottom w:val="0"/>
      <w:divBdr>
        <w:top w:val="none" w:sz="0" w:space="0" w:color="auto"/>
        <w:left w:val="none" w:sz="0" w:space="0" w:color="auto"/>
        <w:bottom w:val="none" w:sz="0" w:space="0" w:color="auto"/>
        <w:right w:val="none" w:sz="0" w:space="0" w:color="auto"/>
      </w:divBdr>
    </w:div>
    <w:div w:id="1668288737">
      <w:bodyDiv w:val="1"/>
      <w:marLeft w:val="0"/>
      <w:marRight w:val="0"/>
      <w:marTop w:val="0"/>
      <w:marBottom w:val="0"/>
      <w:divBdr>
        <w:top w:val="none" w:sz="0" w:space="0" w:color="auto"/>
        <w:left w:val="none" w:sz="0" w:space="0" w:color="auto"/>
        <w:bottom w:val="none" w:sz="0" w:space="0" w:color="auto"/>
        <w:right w:val="none" w:sz="0" w:space="0" w:color="auto"/>
      </w:divBdr>
    </w:div>
    <w:div w:id="177435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9/31/contents" TargetMode="External"/><Relationship Id="rId13" Type="http://schemas.openxmlformats.org/officeDocument/2006/relationships/hyperlink" Target="https://plus-lexis-com.ezproxy.uwtsd.ac.uk/api/document/collection/cases-uk/id/4FXN-5N60-TWW4-21HC-00000-00?cite=Currie%20v%20Misa%2C%20(1875)%20LR%2010%20Exch%20153%2C%2044%20LJ%20Ex%2094%2C%2023%20WR%20450&amp;context=1001073&amp;identityprofileid=R6VFST67341" TargetMode="External"/><Relationship Id="rId3" Type="http://schemas.openxmlformats.org/officeDocument/2006/relationships/customXml" Target="../customXml/item3.xml"/><Relationship Id="rId7" Type="http://schemas.openxmlformats.org/officeDocument/2006/relationships/hyperlink" Target="https://www.legislation.gov.uk/ukpga/2015/15/contents/enacted" TargetMode="External"/><Relationship Id="rId12" Type="http://schemas.openxmlformats.org/officeDocument/2006/relationships/hyperlink" Target="https://www.legislation.gov.uk/ukpga/1979/54/cont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xisnexis.co.uk/legal/commentary/halsburys-laws-of-england/contract/the-doctrine-of-consideratio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lexisnexis.co.uk/legal/guidance/forming-enforceable-contracts-consideration" TargetMode="External"/><Relationship Id="rId4" Type="http://schemas.openxmlformats.org/officeDocument/2006/relationships/styles" Target="styles.xml"/><Relationship Id="rId9" Type="http://schemas.openxmlformats.org/officeDocument/2006/relationships/hyperlink" Target="https://plus-lexis-com.ezproxy.uwtsd.ac.uk/uk/document/?pdmfid=1001073&amp;crid=bcd5d6d8-1da9-4971-bcb4-c00ff07329b3&amp;pddocfullpath=%2Fshared%2Fdocument%2Fanalytical-materials-uk%2Furn:contentItem:604W-R8J3-GXFD-81G8-00000-00&amp;pdcontentcomponentid=127887&amp;pdteaserkey=&amp;pdislpamode=false&amp;pddocumentnumber=1&amp;ecomp=dt5k&amp;earg=sr0&amp;prid=a07f1848-776e-4a88-829d-fadc15f77ba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04bba224e801cc79edef9b5eadcd5ab1">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085440466e69737d27e99520925057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D3865-245F-4A11-B355-7D89801E661A}">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5A71D43A-234D-4A8B-ADB6-33C133CD9A96}">
  <ds:schemaRefs>
    <ds:schemaRef ds:uri="http://schemas.microsoft.com/sharepoint/v3/contenttype/forms"/>
  </ds:schemaRefs>
</ds:datastoreItem>
</file>

<file path=customXml/itemProps3.xml><?xml version="1.0" encoding="utf-8"?>
<ds:datastoreItem xmlns:ds="http://schemas.openxmlformats.org/officeDocument/2006/customXml" ds:itemID="{18DE16B3-290A-4DE4-96AE-02F8C88ECF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Pages>
  <Words>2433</Words>
  <Characters>13869</Characters>
  <Application>Microsoft Office Word</Application>
  <DocSecurity>0</DocSecurity>
  <Lines>115</Lines>
  <Paragraphs>32</Paragraphs>
  <ScaleCrop>false</ScaleCrop>
  <Company/>
  <LinksUpToDate>false</LinksUpToDate>
  <CharactersWithSpaces>16270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Alexandra Olivia Emery (2224078)</dc:creator>
  <cp:keywords/>
  <dc:description/>
  <cp:lastModifiedBy>Phoebe Alexandra Olivia Emery (2224078)</cp:lastModifiedBy>
  <cp:revision>28</cp:revision>
  <dcterms:created xsi:type="dcterms:W3CDTF">2024-03-12T11:56:00Z</dcterms:created>
  <dcterms:modified xsi:type="dcterms:W3CDTF">2024-03-14T16:51:00Z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