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D3D93" w14:textId="64C97C05" w:rsidR="00893688" w:rsidRPr="00893688" w:rsidRDefault="00893688">
      <w:pPr>
        <w:rPr>
          <w:b/>
          <w:bCs/>
        </w:rPr>
      </w:pPr>
      <w:r w:rsidRPr="001E7A15">
        <w:rPr>
          <w:noProof/>
        </w:rPr>
        <w:drawing>
          <wp:anchor distT="0" distB="0" distL="114300" distR="114300" simplePos="0" relativeHeight="251658240" behindDoc="0" locked="0" layoutInCell="1" allowOverlap="1" wp14:anchorId="20A7BEFC" wp14:editId="3C557961">
            <wp:simplePos x="0" y="0"/>
            <wp:positionH relativeFrom="column">
              <wp:posOffset>1030115</wp:posOffset>
            </wp:positionH>
            <wp:positionV relativeFrom="paragraph">
              <wp:posOffset>514</wp:posOffset>
            </wp:positionV>
            <wp:extent cx="3209925" cy="1428750"/>
            <wp:effectExtent l="0" t="0" r="9525" b="0"/>
            <wp:wrapSquare wrapText="bothSides"/>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2CFE4901" w14:textId="77777777" w:rsidR="00893688" w:rsidRDefault="00893688"/>
    <w:p w14:paraId="62E412DD" w14:textId="77777777" w:rsidR="00893688" w:rsidRDefault="00893688"/>
    <w:p w14:paraId="44329D4D" w14:textId="77777777" w:rsidR="00893688" w:rsidRDefault="00893688"/>
    <w:p w14:paraId="6F26503A" w14:textId="77777777" w:rsidR="00893688" w:rsidRDefault="00893688"/>
    <w:p w14:paraId="671BBAEB" w14:textId="77777777" w:rsidR="00893688" w:rsidRDefault="00893688"/>
    <w:p w14:paraId="538C64BE" w14:textId="77777777" w:rsidR="00893688" w:rsidRDefault="00893688"/>
    <w:p w14:paraId="30842CA8" w14:textId="77777777" w:rsidR="001672B8" w:rsidRDefault="001672B8">
      <w:pPr>
        <w:rPr>
          <w:sz w:val="56"/>
          <w:szCs w:val="56"/>
        </w:rPr>
      </w:pPr>
    </w:p>
    <w:p w14:paraId="1DDCEE69" w14:textId="7462168B" w:rsidR="001672B8" w:rsidRDefault="001672B8">
      <w:pPr>
        <w:rPr>
          <w:sz w:val="56"/>
          <w:szCs w:val="56"/>
        </w:rPr>
      </w:pPr>
      <w:r>
        <w:rPr>
          <w:sz w:val="56"/>
          <w:szCs w:val="56"/>
        </w:rPr>
        <w:t>Mo</w:t>
      </w:r>
      <w:r w:rsidR="000540E5">
        <w:rPr>
          <w:sz w:val="56"/>
          <w:szCs w:val="56"/>
        </w:rPr>
        <w:t>dule Title:</w:t>
      </w:r>
      <w:r w:rsidR="00F81B84">
        <w:rPr>
          <w:sz w:val="56"/>
          <w:szCs w:val="56"/>
        </w:rPr>
        <w:t xml:space="preserve"> Digital Transformations in Health and Care Professions. </w:t>
      </w:r>
    </w:p>
    <w:p w14:paraId="27400963" w14:textId="7207B77F" w:rsidR="001672B8" w:rsidRDefault="001672B8">
      <w:pPr>
        <w:rPr>
          <w:sz w:val="56"/>
          <w:szCs w:val="56"/>
        </w:rPr>
      </w:pPr>
      <w:r>
        <w:rPr>
          <w:sz w:val="56"/>
          <w:szCs w:val="56"/>
        </w:rPr>
        <w:t xml:space="preserve">Module </w:t>
      </w:r>
      <w:proofErr w:type="gramStart"/>
      <w:r>
        <w:rPr>
          <w:sz w:val="56"/>
          <w:szCs w:val="56"/>
        </w:rPr>
        <w:t>Code:</w:t>
      </w:r>
      <w:r w:rsidR="00B038C3" w:rsidRPr="00893688">
        <w:rPr>
          <w:sz w:val="56"/>
          <w:szCs w:val="56"/>
        </w:rPr>
        <w:t>BMHP</w:t>
      </w:r>
      <w:proofErr w:type="gramEnd"/>
      <w:r w:rsidR="00B038C3" w:rsidRPr="00893688">
        <w:rPr>
          <w:sz w:val="56"/>
          <w:szCs w:val="56"/>
        </w:rPr>
        <w:t xml:space="preserve">6026 </w:t>
      </w:r>
    </w:p>
    <w:p w14:paraId="369A3CF5" w14:textId="53C8E9AD" w:rsidR="00E87E82" w:rsidRDefault="001672B8">
      <w:pPr>
        <w:rPr>
          <w:sz w:val="56"/>
          <w:szCs w:val="56"/>
        </w:rPr>
      </w:pPr>
      <w:proofErr w:type="spellStart"/>
      <w:r>
        <w:rPr>
          <w:sz w:val="56"/>
          <w:szCs w:val="56"/>
        </w:rPr>
        <w:t>Assigment</w:t>
      </w:r>
      <w:proofErr w:type="spellEnd"/>
      <w:r>
        <w:rPr>
          <w:sz w:val="56"/>
          <w:szCs w:val="56"/>
        </w:rPr>
        <w:t xml:space="preserve"> Title: </w:t>
      </w:r>
      <w:r w:rsidR="00B038C3" w:rsidRPr="00893688">
        <w:rPr>
          <w:sz w:val="56"/>
          <w:szCs w:val="56"/>
        </w:rPr>
        <w:t xml:space="preserve">Component 1 Report </w:t>
      </w:r>
    </w:p>
    <w:p w14:paraId="3050A9A0" w14:textId="77777777" w:rsidR="00F81B84" w:rsidRDefault="00F81B84">
      <w:pPr>
        <w:rPr>
          <w:sz w:val="56"/>
          <w:szCs w:val="56"/>
        </w:rPr>
      </w:pPr>
    </w:p>
    <w:p w14:paraId="02DE6352" w14:textId="5485D052" w:rsidR="00F81B84" w:rsidRDefault="004577EB">
      <w:pPr>
        <w:rPr>
          <w:sz w:val="56"/>
          <w:szCs w:val="56"/>
        </w:rPr>
      </w:pPr>
      <w:r>
        <w:rPr>
          <w:sz w:val="56"/>
          <w:szCs w:val="56"/>
        </w:rPr>
        <w:t xml:space="preserve">Lecturer: Zakiyyah Ahmed </w:t>
      </w:r>
    </w:p>
    <w:p w14:paraId="466ED5F3" w14:textId="36046734" w:rsidR="004577EB" w:rsidRDefault="004577EB">
      <w:pPr>
        <w:rPr>
          <w:sz w:val="56"/>
          <w:szCs w:val="56"/>
        </w:rPr>
      </w:pPr>
      <w:r>
        <w:rPr>
          <w:sz w:val="56"/>
          <w:szCs w:val="56"/>
        </w:rPr>
        <w:t>Student Number 2411425</w:t>
      </w:r>
    </w:p>
    <w:p w14:paraId="0213668B" w14:textId="77777777" w:rsidR="004577EB" w:rsidRDefault="004577EB">
      <w:pPr>
        <w:rPr>
          <w:sz w:val="56"/>
          <w:szCs w:val="56"/>
        </w:rPr>
      </w:pPr>
    </w:p>
    <w:p w14:paraId="7F0CF674" w14:textId="0D9AEA7D" w:rsidR="004577EB" w:rsidRPr="00893688" w:rsidRDefault="004577EB">
      <w:pPr>
        <w:rPr>
          <w:sz w:val="56"/>
          <w:szCs w:val="56"/>
        </w:rPr>
      </w:pPr>
      <w:r>
        <w:rPr>
          <w:sz w:val="56"/>
          <w:szCs w:val="56"/>
        </w:rPr>
        <w:t>Programme of Study: BSc Health an</w:t>
      </w:r>
      <w:r w:rsidR="00D3615E">
        <w:rPr>
          <w:sz w:val="56"/>
          <w:szCs w:val="56"/>
        </w:rPr>
        <w:t xml:space="preserve">d Social Care </w:t>
      </w:r>
    </w:p>
    <w:p w14:paraId="2D500904" w14:textId="7E246FC1" w:rsidR="00170BD8" w:rsidRDefault="00DC1597">
      <w:r>
        <w:lastRenderedPageBreak/>
        <w:t xml:space="preserve">With technology being utilised to promote independence, enhance safety and adapt to shifting patterns of need, digital transformation is increasingly having an impact on how health and social care services are organised and delivered. One example is telecare, which involves technology-enabled systems that can provide monitoring, communication and alerts </w:t>
      </w:r>
      <w:r w:rsidR="008E1628">
        <w:t xml:space="preserve">to support people to live safely and independently in their own homes.  These technologies can include personal alarms, falls detection systems, movement sensors and other monitoring equipment that can alert carers or monitoring centres when a potential risk is identified. In England, telecare forms part of the broader digital transformation of adult social care with monitoring equipment, with it being reported </w:t>
      </w:r>
      <w:r w:rsidR="00170BD8">
        <w:t xml:space="preserve">that sensors were the most used care technology amongst providers in 2025 </w:t>
      </w:r>
      <w:r w:rsidR="000866CB">
        <w:t>(Department</w:t>
      </w:r>
      <w:r w:rsidR="00170BD8">
        <w:t xml:space="preserve"> of Health and Social Care 2026).</w:t>
      </w:r>
    </w:p>
    <w:p w14:paraId="1D6D3DF1" w14:textId="0A221E9E" w:rsidR="00170BD8" w:rsidRDefault="00170BD8">
      <w:r>
        <w:t xml:space="preserve">The implementation of telecare has issues with workforce capabilities, service delivery, digital exclusion, privacy and the evolving role of family carers, even while it </w:t>
      </w:r>
      <w:r w:rsidR="000866CB">
        <w:t>could</w:t>
      </w:r>
      <w:r>
        <w:t xml:space="preserve"> promote independence and enhance the responsiveness of care. As a result, not all service consumers experience better treatment </w:t>
      </w:r>
      <w:r w:rsidR="000866CB">
        <w:t>results when technology is included. This report will critically evaluate the implementation of sensor-based telecare for older adults living independently in England. It will consider the impact of telecare on the workforce, service delivery, patient/ service -user experiences and the wider community, including family involvement and co-production. The discussion will consider both the intended benefits and potential limitations of telecare as a form of digital transformation in adult social care.</w:t>
      </w:r>
    </w:p>
    <w:p w14:paraId="66919A27" w14:textId="3DAB5914" w:rsidR="000866CB" w:rsidRDefault="000866CB">
      <w:r>
        <w:t xml:space="preserve">       </w:t>
      </w:r>
      <w:r w:rsidR="00494109">
        <w:t xml:space="preserve">   </w:t>
      </w:r>
      <w:r w:rsidR="00272ED3">
        <w:t xml:space="preserve">The implementation of telecare represents a shift from traditional models of adult social care towards greater use of technology to support people within their own homes. Rather than relying entirely on scheduled face-to-face visits, sensor-based telecare allows aspects of a person's safety and wellbeing to be monitored remotely. Movement sensors, fall detection, bed occupancy sensors, door sensors and personal alarms are a few examples of technologies. An alarm can be issued to a monitoring centre, care </w:t>
      </w:r>
      <w:r w:rsidR="00584F27">
        <w:t xml:space="preserve">provider, family member or other designated contact when an odd occurrence or possible risk is discovered, enabling the consideration of a suitable reaction (Perera et al 2021). </w:t>
      </w:r>
    </w:p>
    <w:p w14:paraId="430BB2C3" w14:textId="1FF626A5" w:rsidR="00D63C0A" w:rsidRDefault="00584F27">
      <w:r>
        <w:t>In England the use of telecare has developed alongside the wider digital transformation of adult social care. Evidence from the Department of Health and Social Care’s 2025 technology survey indicates that 43% of respon</w:t>
      </w:r>
      <w:r w:rsidR="00130D1A">
        <w:t xml:space="preserve">ding adult social care providers used monitoring equipment with sensors, making this the </w:t>
      </w:r>
      <w:proofErr w:type="gramStart"/>
      <w:r w:rsidR="00130D1A">
        <w:t>most commonly reported</w:t>
      </w:r>
      <w:proofErr w:type="gramEnd"/>
      <w:r w:rsidR="00130D1A">
        <w:t xml:space="preserve"> care technology. However, 27% of respondents said they did not use any care technology, which indicates that sector</w:t>
      </w:r>
      <w:r w:rsidR="00D63C0A">
        <w:t xml:space="preserve">-wide deployment is inconsistent. (Department Health and Social Care 2026). This variety implies that infrastructure, labour, capacity, organisational resources and service user needs and preferences all have an impact on digital transformation. </w:t>
      </w:r>
    </w:p>
    <w:p w14:paraId="368AD7A0" w14:textId="18A49C23" w:rsidR="00D63C0A" w:rsidRDefault="00D63C0A">
      <w:r>
        <w:lastRenderedPageBreak/>
        <w:t xml:space="preserve">A significant factor affecting implementation has also been the transition from analogue to digital telephone networks. Traditional telecare equipment that depends on analogue </w:t>
      </w:r>
      <w:r w:rsidR="00567248">
        <w:t xml:space="preserve">telephone connections may require replacement or upgrading as the UK moves towards digital communication networks (Taylor et al 2021). </w:t>
      </w:r>
      <w:r w:rsidR="00BD3B61">
        <w:t>Therefore,</w:t>
      </w:r>
      <w:r w:rsidR="00567248">
        <w:t xml:space="preserve"> implementation involves more than purchasing technological equipment; it requires investment in infrastructure, staff training, technical support, cybersecurity and ongoing evaluation. </w:t>
      </w:r>
    </w:p>
    <w:p w14:paraId="330E10C2" w14:textId="3C6A856A" w:rsidR="00BD3B61" w:rsidRDefault="00BD3B61">
      <w:r>
        <w:t xml:space="preserve">Critically, telecare should not be viewed as a technological replacement for social care. Its effectiveness depends on how it is integrated with professional judgement, face-to-face support and the preferences of service users. Consequently, implementation can create both opportunities for more responsive and preventive care and challenges relating to cost, digital exclusion, privacy and the risk of reducing harm. </w:t>
      </w:r>
    </w:p>
    <w:p w14:paraId="5FFAE372" w14:textId="2FD1F2E5" w:rsidR="00BD3B61" w:rsidRDefault="00BD3B61">
      <w:r>
        <w:t xml:space="preserve">        By requiring employees to work alongside digital technology rather than depending just on in-person observation and intervention, sensor-based telecare alters the adult social care workforce’s function</w:t>
      </w:r>
      <w:r w:rsidR="00494109">
        <w:t xml:space="preserve">. Care providers may need to understand how sensors work, identify alerts, react correctly to potential hazards and document or share information generated by technology. This therefore makes a need for digital competence alongside existing </w:t>
      </w:r>
      <w:r w:rsidR="004E199F">
        <w:t xml:space="preserve">interpersonal, safeguarding and person-centred care skills (Vadillo et al 2017). The Department of Health and Social Care (2026) has recognised this development through the introduction of digital leadership training </w:t>
      </w:r>
      <w:r w:rsidR="00E32617">
        <w:t xml:space="preserve">for adult social care professionals, highlighting the importance of staff being confident and supported when implementing digital ways of working. More recently, the Care Workforce Pathway has included a specific care technologist role category, involving responsibilities such as identifying and installing technology and supporting people and their families to use it confidently </w:t>
      </w:r>
      <w:r w:rsidR="00DE13CC">
        <w:t>(Department of Health and Social Care 2026)</w:t>
      </w:r>
      <w:r w:rsidR="00D3608C">
        <w:t xml:space="preserve">. </w:t>
      </w:r>
    </w:p>
    <w:p w14:paraId="3B5984F9" w14:textId="51727BB3" w:rsidR="002843FC" w:rsidRDefault="00D3608C">
      <w:r>
        <w:t>Telecare may also change how workforce time is used. Sensors can identify potential risks remotely, which may allow professionals to respond to specific events rather than relying entirely on routine monitoring. This could potentially reduce unnecessary interventions and allow staff to be directed towards people requiring more complex support. However, this benefit should not be assumed. The 2025 adult social care technology survey fo</w:t>
      </w:r>
      <w:r w:rsidR="002843FC">
        <w:t xml:space="preserve">und that 52% of providers identified staff training costs and high staff turnover as barriers to adopting care technology, while 39% identified a lack of digital skills among staff. Furthermore, 34% reported staff reluctance to use technology as a barrier. </w:t>
      </w:r>
    </w:p>
    <w:p w14:paraId="1BAB4479" w14:textId="018F137A" w:rsidR="002843FC" w:rsidRDefault="002843FC">
      <w:r>
        <w:t xml:space="preserve">This illustrates how new personnel demands may arise with the implementation of digital transformation. </w:t>
      </w:r>
      <w:r w:rsidR="0042794C">
        <w:t xml:space="preserve">Employees may need time to adjust to new working procedure, technical assistance, and training. If these resources are not available, technology may make the job more difficult rather than easier. Organisations’ capacity to successfully implement new technologies may also be impacted by skills gaps; according to the </w:t>
      </w:r>
      <w:r w:rsidR="0042794C">
        <w:lastRenderedPageBreak/>
        <w:t xml:space="preserve">2025 workforce skills survey, 23.6% of providers cited this </w:t>
      </w:r>
      <w:proofErr w:type="gramStart"/>
      <w:r w:rsidR="0042794C">
        <w:t>as a result of</w:t>
      </w:r>
      <w:proofErr w:type="gramEnd"/>
      <w:r w:rsidR="0042794C">
        <w:t xml:space="preserve"> their incapacity to adopt new practices and technologies. </w:t>
      </w:r>
    </w:p>
    <w:p w14:paraId="146D9069" w14:textId="44974EE8" w:rsidR="0042794C" w:rsidRDefault="0042794C">
      <w:r>
        <w:t>Therefore, the workforce impact of telecare is complex. While technology can support more responsive and potentially efficient care, it</w:t>
      </w:r>
      <w:r w:rsidR="00361C8F">
        <w:t xml:space="preserve">s success depends on adequately trained staff who can combine technological information with professional judgment and person-centred practice. Telecare should therefore augment rather than replace professional care, as an alert or sensor cannot independently understand a person’s wider emotional, social or changing care needs. </w:t>
      </w:r>
    </w:p>
    <w:p w14:paraId="4CC42B7D" w14:textId="1B92DD20" w:rsidR="00361C8F" w:rsidRDefault="00361C8F">
      <w:r>
        <w:t xml:space="preserve">        Sensor-based telecare can change the delivery of adult social care by moving some aspects of monitoring </w:t>
      </w:r>
      <w:r w:rsidR="001C6EA7">
        <w:t xml:space="preserve">and support from scheduled face-to-face contact towards continuous or remote monitoring. Sensors can identify changes such as unusual movement, falls or activity within the home and generate alerts when potential risks occur. This may allow services to respond more quickly to incidents and support preventative approaches to care. The Department of Health and Social Care (2026) found that monitoring equipment with sensors was the </w:t>
      </w:r>
      <w:r w:rsidR="00C7090A">
        <w:t>most used</w:t>
      </w:r>
      <w:r w:rsidR="001C6EA7">
        <w:t xml:space="preserve"> care technology among surveyed adult social care providers, which suggest</w:t>
      </w:r>
      <w:r w:rsidR="007D5B53">
        <w:t xml:space="preserve">s that remote monitoring is becoming an established part of service delivery in England. </w:t>
      </w:r>
    </w:p>
    <w:p w14:paraId="095ACFB0" w14:textId="6F05BE48" w:rsidR="007D5B53" w:rsidRDefault="007D5B53">
      <w:r>
        <w:t>However, the effectiveness and quality of care are not always enhanced by technology</w:t>
      </w:r>
      <w:r w:rsidR="00932336">
        <w:t>. Providers identified set-up costs, ongoing licensing costs, staff training and connectivity as significant barriers to adopting care technology. Smaller companies with limited financial and technical resources may be most affected by these obstacles. Additionally, providers expressed worried that technology would take the place o</w:t>
      </w:r>
      <w:r w:rsidR="00C7090A">
        <w:t xml:space="preserve">f in-person care, which raises issues about whether digital transformation might inadvertently decrease human engagement </w:t>
      </w:r>
    </w:p>
    <w:p w14:paraId="72A3A193" w14:textId="77777777" w:rsidR="00E04BAD" w:rsidRDefault="00C7090A">
      <w:r>
        <w:t xml:space="preserve">A further issue </w:t>
      </w:r>
      <w:r w:rsidR="0053316E">
        <w:t xml:space="preserve">is the reliability </w:t>
      </w:r>
      <w:r w:rsidR="003D5793">
        <w:t xml:space="preserve">of technology. An incorrect alert, equipment failure or poor internet </w:t>
      </w:r>
      <w:r w:rsidR="00263F45">
        <w:t>connection could affect how quickly support is provided</w:t>
      </w:r>
      <w:r w:rsidR="00627270">
        <w:t xml:space="preserve">. Consequently, telecare requires clear procedures </w:t>
      </w:r>
      <w:r w:rsidR="00F829C4">
        <w:t>for responding to alerts and appropriate arrangements for face-to-face</w:t>
      </w:r>
      <w:r w:rsidR="007C317E">
        <w:t xml:space="preserve"> intervention when necessary. It also requires effective </w:t>
      </w:r>
      <w:r w:rsidR="00AD3023">
        <w:t xml:space="preserve">information governance because technology can generate and transmit personal </w:t>
      </w:r>
      <w:r w:rsidR="00E04BAD">
        <w:t xml:space="preserve">information about individuals within their homes. </w:t>
      </w:r>
    </w:p>
    <w:p w14:paraId="210B1EA4" w14:textId="0C366E80" w:rsidR="00C7090A" w:rsidRDefault="00E04BAD">
      <w:r>
        <w:t xml:space="preserve">Overall, telecare can make service delivery more responsive and preventative, but its effectiveness depends on appropriate implementation. </w:t>
      </w:r>
      <w:r w:rsidR="001C5339">
        <w:t xml:space="preserve">Technology is most valuable when integrated with professional assessment and </w:t>
      </w:r>
      <w:r w:rsidR="00CB37AD">
        <w:t>human</w:t>
      </w:r>
      <w:r w:rsidR="001C5339">
        <w:t xml:space="preserve"> contact rather </w:t>
      </w:r>
      <w:r w:rsidR="00470E93">
        <w:t>than treated</w:t>
      </w:r>
      <w:r w:rsidR="00CB37AD">
        <w:t xml:space="preserve"> as a replacement for </w:t>
      </w:r>
      <w:r w:rsidR="002F0C79">
        <w:t>exi</w:t>
      </w:r>
      <w:r w:rsidR="001E003B">
        <w:t xml:space="preserve">sting care. This highlights that digital transformation </w:t>
      </w:r>
      <w:r w:rsidR="00923975">
        <w:t xml:space="preserve">should be judged not only by the presence of </w:t>
      </w:r>
      <w:r w:rsidR="00470E93">
        <w:t>technology</w:t>
      </w:r>
      <w:r w:rsidR="00923975">
        <w:t xml:space="preserve"> but by whet</w:t>
      </w:r>
      <w:r w:rsidR="00470E93">
        <w:t xml:space="preserve">her it improves the </w:t>
      </w:r>
      <w:r w:rsidR="00050712">
        <w:t>accessibility,</w:t>
      </w:r>
      <w:r w:rsidR="00470E93">
        <w:t xml:space="preserve"> safety and per</w:t>
      </w:r>
      <w:r w:rsidR="009E4044">
        <w:t xml:space="preserve">son-centred nature of care </w:t>
      </w:r>
    </w:p>
    <w:p w14:paraId="26D687B4" w14:textId="4ABE440E" w:rsidR="009D5CA4" w:rsidRDefault="009D5CA4">
      <w:r>
        <w:t xml:space="preserve">              </w:t>
      </w:r>
      <w:r w:rsidR="001F3C05">
        <w:t xml:space="preserve">For older adults, sensor-based telecare can influence both their experience of care and their ability to remain independent </w:t>
      </w:r>
      <w:r w:rsidR="00F318FF">
        <w:t xml:space="preserve">within their own homes. A major potential </w:t>
      </w:r>
      <w:r w:rsidR="00F318FF">
        <w:lastRenderedPageBreak/>
        <w:t xml:space="preserve">benefit is increased </w:t>
      </w:r>
      <w:r w:rsidR="00ED0A5F">
        <w:t xml:space="preserve">reassurance </w:t>
      </w:r>
      <w:r w:rsidR="004F0E9A">
        <w:t xml:space="preserve">and safety. </w:t>
      </w:r>
      <w:r w:rsidR="00981895">
        <w:t xml:space="preserve">Technologies such as falls detectors, personal alarms </w:t>
      </w:r>
      <w:r w:rsidR="00E74EB5">
        <w:t xml:space="preserve">and movement sensors can provide and additional means </w:t>
      </w:r>
      <w:r w:rsidR="00327932">
        <w:t xml:space="preserve">of identifying risks without requiring </w:t>
      </w:r>
      <w:r w:rsidR="00B33582">
        <w:t xml:space="preserve">a care worker to </w:t>
      </w:r>
      <w:proofErr w:type="gramStart"/>
      <w:r w:rsidR="00B33582">
        <w:t>be physically present at all times</w:t>
      </w:r>
      <w:proofErr w:type="gramEnd"/>
      <w:r w:rsidR="00B33582">
        <w:t xml:space="preserve">. This may </w:t>
      </w:r>
      <w:r w:rsidR="00037F72">
        <w:t xml:space="preserve">support older people who wish to remain at home rather than move into residential care. Research examining </w:t>
      </w:r>
      <w:r w:rsidR="00825355">
        <w:t>older adults’ experiences of telecare suggests that techn</w:t>
      </w:r>
      <w:r w:rsidR="0052710D">
        <w:t xml:space="preserve">ology can provide reassurance and support independence, although individual </w:t>
      </w:r>
      <w:r w:rsidR="007D5A9F">
        <w:t xml:space="preserve">experiences vary (Karlsen et al 2017) </w:t>
      </w:r>
    </w:p>
    <w:p w14:paraId="557A30C3" w14:textId="037DF6E8" w:rsidR="00170BD8" w:rsidRDefault="00165F8F">
      <w:r>
        <w:t>However,</w:t>
      </w:r>
      <w:r w:rsidR="009C4212">
        <w:t xml:space="preserve"> there may be conflicts between </w:t>
      </w:r>
      <w:r w:rsidR="00E47439">
        <w:t xml:space="preserve">autonomy and safety when monitoring </w:t>
      </w:r>
      <w:r w:rsidR="00286326">
        <w:t>technology is used</w:t>
      </w:r>
      <w:r w:rsidR="000C3623">
        <w:t xml:space="preserve">. A person’s movements and activities within their home may be recorded by sensors, raising </w:t>
      </w:r>
      <w:r w:rsidR="006C30BA">
        <w:t xml:space="preserve">privacy and surveillance concerns. As a result, some service users can view </w:t>
      </w:r>
      <w:r w:rsidR="000E3CEA">
        <w:t xml:space="preserve">telecare </w:t>
      </w:r>
      <w:r w:rsidR="004B4250">
        <w:t xml:space="preserve">as invasive rather than helpful. This is especially crucial </w:t>
      </w:r>
      <w:r w:rsidR="008A0DEF">
        <w:t>because person</w:t>
      </w:r>
      <w:r w:rsidR="00B61AAC">
        <w:t>-centred care necessitates that the people</w:t>
      </w:r>
      <w:r w:rsidR="001E2CEE">
        <w:t xml:space="preserve">’s choices, preferences, and dignity continue </w:t>
      </w:r>
      <w:r w:rsidR="00E27B70">
        <w:t xml:space="preserve">to be at the centre of </w:t>
      </w:r>
      <w:r w:rsidR="000E3327">
        <w:t xml:space="preserve">decisions regarding their care. </w:t>
      </w:r>
      <w:r w:rsidR="005772BC">
        <w:t xml:space="preserve">As a result, when telecare is used, it is important to </w:t>
      </w:r>
      <w:r w:rsidR="007455FE">
        <w:t>have meaningful</w:t>
      </w:r>
      <w:r w:rsidR="00E9203D">
        <w:t xml:space="preserve"> conversations </w:t>
      </w:r>
      <w:r>
        <w:t xml:space="preserve">with service users about the technology being used, why it is important and how information will be handled. </w:t>
      </w:r>
    </w:p>
    <w:p w14:paraId="2EAC49C0" w14:textId="5EE42FFE" w:rsidR="00165F8F" w:rsidRDefault="00D256BC">
      <w:r>
        <w:t xml:space="preserve">Digital </w:t>
      </w:r>
      <w:r w:rsidR="00B61B64">
        <w:t>exclusion can also affect experiences of telecare. Older adults may have different levels of conf</w:t>
      </w:r>
      <w:r w:rsidR="00990E7D">
        <w:t>idence</w:t>
      </w:r>
      <w:r w:rsidR="00740FD5">
        <w:t>, digital literacy and willingness to use technology. Evidence from review</w:t>
      </w:r>
      <w:r w:rsidR="006F58FF">
        <w:t xml:space="preserve">s of digital technologies for older </w:t>
      </w:r>
      <w:r w:rsidR="000373B9">
        <w:t xml:space="preserve">people indicates that access and engagement are influenced by individual </w:t>
      </w:r>
      <w:r w:rsidR="005A7D97">
        <w:t xml:space="preserve">circumstances and the design and usability of technologies </w:t>
      </w:r>
      <w:r w:rsidR="00F209C1">
        <w:t xml:space="preserve">(Wilson et al 2021). Therefore, </w:t>
      </w:r>
      <w:proofErr w:type="gramStart"/>
      <w:r w:rsidR="00F209C1">
        <w:t>assuming that</w:t>
      </w:r>
      <w:proofErr w:type="gramEnd"/>
      <w:r w:rsidR="00F209C1">
        <w:t xml:space="preserve"> all </w:t>
      </w:r>
      <w:r w:rsidR="00F162EF">
        <w:t xml:space="preserve">older people will readily accept digital care may reinforce </w:t>
      </w:r>
      <w:r w:rsidR="002040ED">
        <w:t xml:space="preserve">inequalities. </w:t>
      </w:r>
    </w:p>
    <w:p w14:paraId="67967D36" w14:textId="4C5089EE" w:rsidR="00AD049F" w:rsidRDefault="00EA1CA8">
      <w:r>
        <w:t xml:space="preserve">Overall, telecare can help people feel more confident and independent, although </w:t>
      </w:r>
      <w:r w:rsidR="00B95976">
        <w:t xml:space="preserve">these advantages are not shared by everyone. Instead of being introduced merely because it </w:t>
      </w:r>
      <w:r w:rsidR="00C84C93">
        <w:t>is available</w:t>
      </w:r>
      <w:r w:rsidR="009018AB">
        <w:t xml:space="preserve">, its effectiveness depends on whether technology </w:t>
      </w:r>
      <w:r w:rsidR="00253252">
        <w:t>is acceptable, accessible and proportionate to the individuals needs</w:t>
      </w:r>
      <w:r w:rsidR="00130369">
        <w:t xml:space="preserve">. </w:t>
      </w:r>
    </w:p>
    <w:p w14:paraId="5E4C46EA" w14:textId="1D683516" w:rsidR="00327C9B" w:rsidRDefault="00327C9B">
      <w:r>
        <w:t xml:space="preserve">           </w:t>
      </w:r>
      <w:r w:rsidR="00CD4699">
        <w:t xml:space="preserve">Telecare can influence the wider community by supporting a shift in care </w:t>
      </w:r>
      <w:r w:rsidR="002243CA">
        <w:t>towards people</w:t>
      </w:r>
      <w:r w:rsidR="00A022B4">
        <w:t xml:space="preserve">’s own homes rather than relying primarily on </w:t>
      </w:r>
      <w:r w:rsidR="00A42E13">
        <w:t xml:space="preserve">residential or institutional </w:t>
      </w:r>
      <w:r w:rsidR="001F7F9F">
        <w:t>settings.</w:t>
      </w:r>
      <w:r w:rsidR="00A42E13">
        <w:t xml:space="preserve"> This can enable older </w:t>
      </w:r>
      <w:r w:rsidR="00E14D3C">
        <w:t xml:space="preserve">adults to remain connected to their families and local communities </w:t>
      </w:r>
      <w:r w:rsidR="001C141D">
        <w:t>while receiving supp</w:t>
      </w:r>
      <w:r w:rsidR="003D0ED4">
        <w:t>ort within famil</w:t>
      </w:r>
      <w:r w:rsidR="001F7F9F">
        <w:t xml:space="preserve">iar surroundings. In this </w:t>
      </w:r>
      <w:r w:rsidR="00C63697">
        <w:t xml:space="preserve">respect, telecare may contribute to preventative approaches that aim to maintain independence and reduce unnecessary escalation of care needs. </w:t>
      </w:r>
      <w:r w:rsidR="00E86AA6">
        <w:t xml:space="preserve">The Department of Health and Social Care (2026) identifies supporting </w:t>
      </w:r>
      <w:r w:rsidR="00632C8E">
        <w:t>people to live independently at home as an important purpose of tech</w:t>
      </w:r>
      <w:r w:rsidR="00C84C93">
        <w:t xml:space="preserve">nology within adult social care. </w:t>
      </w:r>
    </w:p>
    <w:p w14:paraId="3E5B0522" w14:textId="77777777" w:rsidR="00C35F39" w:rsidRDefault="0098330A">
      <w:r>
        <w:t>Famil</w:t>
      </w:r>
      <w:r w:rsidR="00A342C8">
        <w:t xml:space="preserve">y members and unpaid carers can also be affected by telecare. Technology may provide reassurance by enabling risks to be identified </w:t>
      </w:r>
      <w:r w:rsidR="00005251">
        <w:t xml:space="preserve">when family members are not physically present. However, there is a potential risk that relatives may become increasingly involved </w:t>
      </w:r>
      <w:r w:rsidR="0092065C">
        <w:t xml:space="preserve">in responding to </w:t>
      </w:r>
      <w:r w:rsidR="00D45608">
        <w:t xml:space="preserve">alerts </w:t>
      </w:r>
      <w:r w:rsidR="00975306">
        <w:t xml:space="preserve">or monitoring technology particularly </w:t>
      </w:r>
      <w:r w:rsidR="00C52942">
        <w:t xml:space="preserve">where </w:t>
      </w:r>
      <w:r w:rsidR="00C52942">
        <w:lastRenderedPageBreak/>
        <w:t xml:space="preserve">formal </w:t>
      </w:r>
      <w:r w:rsidR="008F5778">
        <w:t xml:space="preserve">services are limited. This could unintentionally </w:t>
      </w:r>
      <w:r w:rsidR="00035BCF">
        <w:t xml:space="preserve">transfer responsibility from statutory </w:t>
      </w:r>
      <w:r w:rsidR="00F72BB8">
        <w:t xml:space="preserve">services to families. </w:t>
      </w:r>
      <w:r w:rsidR="003B7DA8">
        <w:t>Evidence concernin</w:t>
      </w:r>
      <w:r w:rsidR="00CF12CE">
        <w:t xml:space="preserve">g telecare and informal carers has identified potentially </w:t>
      </w:r>
      <w:r w:rsidR="005E3AAC">
        <w:t xml:space="preserve">positive effects on </w:t>
      </w:r>
      <w:r w:rsidR="001B554E">
        <w:t xml:space="preserve">carer stress, </w:t>
      </w:r>
      <w:r w:rsidR="00F53C79">
        <w:t>but findings relating to carer burden and quality of life remain in</w:t>
      </w:r>
      <w:r w:rsidR="00F30335">
        <w:t>consistent (Boyle et al 2022)</w:t>
      </w:r>
      <w:r w:rsidR="00D04428">
        <w:t xml:space="preserve">. Therefore, telecare should </w:t>
      </w:r>
      <w:r w:rsidR="00F922FA">
        <w:t xml:space="preserve">not automatically be viewed ad reducing the responsibilities of unpaid carers </w:t>
      </w:r>
    </w:p>
    <w:p w14:paraId="01A891CF" w14:textId="4111AC30" w:rsidR="00F922FA" w:rsidRDefault="001202F9">
      <w:r>
        <w:t>For implementation</w:t>
      </w:r>
      <w:r w:rsidR="00C35F39">
        <w:t xml:space="preserve"> to be successful, co-production is also essential. </w:t>
      </w:r>
      <w:r w:rsidR="00F91C96">
        <w:t>Opportunities for service users, families and communities to participate in the introduction and us of technology should be</w:t>
      </w:r>
      <w:r w:rsidR="007A1D11">
        <w:t xml:space="preserve"> provided</w:t>
      </w:r>
      <w:r w:rsidR="0097341F">
        <w:t xml:space="preserve">. </w:t>
      </w:r>
      <w:r w:rsidR="002821F0">
        <w:t xml:space="preserve">This can help to ensure that technology reflects people’s actual needs </w:t>
      </w:r>
      <w:r w:rsidR="00EF5BF7">
        <w:t xml:space="preserve">rather than being implemented </w:t>
      </w:r>
      <w:r w:rsidR="008E1CCC">
        <w:t>solely around organ</w:t>
      </w:r>
      <w:r w:rsidR="00BE0473">
        <w:t xml:space="preserve">isational </w:t>
      </w:r>
      <w:r w:rsidR="00A75BBD">
        <w:t>priorities</w:t>
      </w:r>
      <w:r w:rsidR="00D147B6">
        <w:t xml:space="preserve">. Meaningful involvement may also improve </w:t>
      </w:r>
      <w:r w:rsidR="00E961B2">
        <w:t xml:space="preserve">acceptance and trust. </w:t>
      </w:r>
    </w:p>
    <w:p w14:paraId="63788DF8" w14:textId="33F63AC9" w:rsidR="00E961B2" w:rsidRDefault="00E961B2">
      <w:r>
        <w:t>Overall telecare can support community-based care and help people remain within their homes, but its wider impact depends on how responsibilities are distributed</w:t>
      </w:r>
      <w:r w:rsidR="00BF0B91">
        <w:t xml:space="preserve">. Effective implementation should strengthen formal and informal support networks </w:t>
      </w:r>
      <w:r w:rsidR="00643A2C">
        <w:t>rather than shifting additional care responsibilities onto families reducing opport</w:t>
      </w:r>
      <w:r w:rsidR="009A0D2D">
        <w:t xml:space="preserve">unities for meaningful human contact. </w:t>
      </w:r>
    </w:p>
    <w:p w14:paraId="421FD87D" w14:textId="728C5542" w:rsidR="00683CD8" w:rsidRDefault="00683CD8">
      <w:r>
        <w:t xml:space="preserve">          </w:t>
      </w:r>
      <w:r w:rsidR="002E7769">
        <w:t xml:space="preserve">The implementation of sensor-based telecare demonstrates that digital transformation can provide </w:t>
      </w:r>
      <w:r w:rsidR="003F3F10">
        <w:t>opportunities for adult social care while also creating new challenges</w:t>
      </w:r>
      <w:r w:rsidR="007F7EB1">
        <w:t>. Across the workforce, service delivery</w:t>
      </w:r>
      <w:r w:rsidR="00BC5946">
        <w:t xml:space="preserve">, service-user and community perspectives, a consistent tension exists between using </w:t>
      </w:r>
      <w:r w:rsidR="009A07D0">
        <w:t>technology to increase safety and independence and maintaining person-centred</w:t>
      </w:r>
      <w:r w:rsidR="00280719">
        <w:t>, human care. Tele</w:t>
      </w:r>
      <w:r w:rsidR="00911AE1">
        <w:t xml:space="preserve">care can support earlier identification of risks and enable </w:t>
      </w:r>
      <w:r w:rsidR="00AF444B">
        <w:t>people to remain at home, but these outcomes depend on appropriate infrastructure, staff compet</w:t>
      </w:r>
      <w:r w:rsidR="001369D3">
        <w:t>encies and the willingness and ability of service users to engage with the technology</w:t>
      </w:r>
      <w:r w:rsidR="00762C79">
        <w:t xml:space="preserve">. </w:t>
      </w:r>
    </w:p>
    <w:p w14:paraId="63E30E70" w14:textId="571C4DC4" w:rsidR="00E00C95" w:rsidRDefault="00E00C95">
      <w:r>
        <w:t xml:space="preserve">A key concern is that digital transformation could be </w:t>
      </w:r>
      <w:r w:rsidR="003C327B">
        <w:t>viewed primarily as a method of increasing efficiency rather than improving people’s experiences of care</w:t>
      </w:r>
      <w:r w:rsidR="008B686B">
        <w:t>. The Department of Health and Social Care (2026) identified financial</w:t>
      </w:r>
      <w:r w:rsidR="00212F9C">
        <w:t xml:space="preserve">, training, connectivity and workforce barriers to technology adoption, </w:t>
      </w:r>
      <w:r w:rsidR="00CE6413">
        <w:t xml:space="preserve">demonstrating that implementation requires organisational investment. Furthermore, technology </w:t>
      </w:r>
      <w:r w:rsidR="00764154">
        <w:t xml:space="preserve">may unintentionally increase responsibilities for </w:t>
      </w:r>
      <w:r w:rsidR="00E42C57">
        <w:t xml:space="preserve">families or reduce face-to-face interaction </w:t>
      </w:r>
      <w:r w:rsidR="001743DC">
        <w:t>if it is used as a substitute for care. Therefore, succe</w:t>
      </w:r>
      <w:r w:rsidR="002D7BC9">
        <w:t xml:space="preserve">ssful digital transformation requires telecare to complement professional and informal support rather than replace it. </w:t>
      </w:r>
    </w:p>
    <w:p w14:paraId="316272ED" w14:textId="20B9EA21" w:rsidR="006578D8" w:rsidRDefault="006578D8">
      <w:r>
        <w:t xml:space="preserve">         Sensor-based telecare has the potential to transform adult </w:t>
      </w:r>
      <w:r w:rsidR="00847A40">
        <w:t xml:space="preserve">social care by supporting older people to remain safe and independent within their own </w:t>
      </w:r>
      <w:r w:rsidR="00B354CE">
        <w:t xml:space="preserve">homes. However, this </w:t>
      </w:r>
      <w:r w:rsidR="003360D4">
        <w:t xml:space="preserve">report demonstrates that its impact is not universally positive. </w:t>
      </w:r>
      <w:r w:rsidR="00EF7288">
        <w:t>Telecare changes workforce competencies</w:t>
      </w:r>
      <w:r w:rsidR="0069342F">
        <w:t xml:space="preserve">, influences how </w:t>
      </w:r>
      <w:r w:rsidR="00B4647A">
        <w:t>services are delivered, affects</w:t>
      </w:r>
      <w:r w:rsidR="00F40B88">
        <w:t xml:space="preserve"> the experiences of the service user and can alter the responsibilities of families and communities</w:t>
      </w:r>
      <w:r w:rsidR="001A114A">
        <w:t xml:space="preserve">. Benefits such as increased reassurance and responsive care </w:t>
      </w:r>
      <w:r w:rsidR="008C0F56">
        <w:t>must,</w:t>
      </w:r>
      <w:r w:rsidR="00512A46">
        <w:t xml:space="preserve"> </w:t>
      </w:r>
      <w:r w:rsidR="008C0F56">
        <w:t>therefore,</w:t>
      </w:r>
      <w:r w:rsidR="00512A46">
        <w:t xml:space="preserve"> be conside</w:t>
      </w:r>
      <w:r w:rsidR="005A3319">
        <w:t>red alongside concerns about privacy, digital e</w:t>
      </w:r>
      <w:r w:rsidR="002A704C">
        <w:t xml:space="preserve">xclusion, workforce </w:t>
      </w:r>
      <w:r w:rsidR="002A704C">
        <w:lastRenderedPageBreak/>
        <w:t>training</w:t>
      </w:r>
      <w:r w:rsidR="009E02CD">
        <w:t>, technology reliability and reduced human contact. Overall, telecare is most like</w:t>
      </w:r>
      <w:r w:rsidR="006E31A3">
        <w:t>ly to achieve</w:t>
      </w:r>
      <w:r w:rsidR="0068562B">
        <w:t xml:space="preserve"> positive outcomes when it is implemented as part of a person-centred approach, with service users and families involved in decisions and technology </w:t>
      </w:r>
      <w:r w:rsidR="00CF0BFB">
        <w:t xml:space="preserve">used to complement rather that replace human care. </w:t>
      </w:r>
      <w:r w:rsidR="006E31A3">
        <w:t xml:space="preserve"> </w:t>
      </w:r>
    </w:p>
    <w:p w14:paraId="79AB81DA" w14:textId="77777777" w:rsidR="0085105E" w:rsidRDefault="0085105E"/>
    <w:p w14:paraId="24C43C5B" w14:textId="77777777" w:rsidR="0085105E" w:rsidRDefault="0085105E"/>
    <w:p w14:paraId="7FDC964E" w14:textId="77777777" w:rsidR="00E87E82" w:rsidRDefault="00E87E82"/>
    <w:p w14:paraId="46FDF7D9" w14:textId="77777777" w:rsidR="00E87E82" w:rsidRDefault="00E87E82"/>
    <w:p w14:paraId="3D74405A" w14:textId="77777777" w:rsidR="00E87E82" w:rsidRDefault="00E87E82"/>
    <w:p w14:paraId="32052009" w14:textId="77777777" w:rsidR="00E87E82" w:rsidRDefault="00E87E82"/>
    <w:p w14:paraId="76D3E8F9" w14:textId="77777777" w:rsidR="00E87E82" w:rsidRDefault="00E87E82"/>
    <w:p w14:paraId="4B103BE7" w14:textId="77777777" w:rsidR="00E87E82" w:rsidRDefault="00E87E82"/>
    <w:p w14:paraId="777F10B9" w14:textId="77777777" w:rsidR="00E87E82" w:rsidRDefault="00E87E82"/>
    <w:p w14:paraId="14D4BF9F" w14:textId="77777777" w:rsidR="00E87E82" w:rsidRDefault="00E87E82"/>
    <w:p w14:paraId="5406EE93" w14:textId="77777777" w:rsidR="00E87E82" w:rsidRDefault="00E87E82"/>
    <w:p w14:paraId="51736779" w14:textId="77777777" w:rsidR="00E87E82" w:rsidRDefault="00E87E82"/>
    <w:p w14:paraId="1057FAA3" w14:textId="77777777" w:rsidR="00E87E82" w:rsidRDefault="00E87E82"/>
    <w:p w14:paraId="47A7B1E1" w14:textId="77777777" w:rsidR="00E87E82" w:rsidRDefault="00E87E82"/>
    <w:p w14:paraId="0512B81F" w14:textId="77777777" w:rsidR="00E87E82" w:rsidRDefault="00E87E82"/>
    <w:p w14:paraId="18A07961" w14:textId="77777777" w:rsidR="00E87E82" w:rsidRDefault="00E87E82"/>
    <w:p w14:paraId="164E9F63" w14:textId="77777777" w:rsidR="00E87E82" w:rsidRDefault="00E87E82"/>
    <w:p w14:paraId="3BCBAEA0" w14:textId="77777777" w:rsidR="00E87E82" w:rsidRDefault="00E87E82"/>
    <w:p w14:paraId="14E127E9" w14:textId="77777777" w:rsidR="00E87E82" w:rsidRDefault="00E87E82"/>
    <w:p w14:paraId="47FF326B" w14:textId="77777777" w:rsidR="00E87E82" w:rsidRDefault="00E87E82"/>
    <w:p w14:paraId="7E62F24A" w14:textId="77777777" w:rsidR="00E87E82" w:rsidRDefault="00E87E82"/>
    <w:p w14:paraId="5D88CFAB" w14:textId="77777777" w:rsidR="00E87E82" w:rsidRDefault="00E87E82"/>
    <w:p w14:paraId="154D1245" w14:textId="77777777" w:rsidR="00E87E82" w:rsidRDefault="00E87E82"/>
    <w:p w14:paraId="6ACF556B" w14:textId="77777777" w:rsidR="00E87E82" w:rsidRDefault="00E87E82"/>
    <w:p w14:paraId="1348D145" w14:textId="77777777" w:rsidR="00E87E82" w:rsidRDefault="00E87E82"/>
    <w:p w14:paraId="61C9B16D" w14:textId="6F5B0E84" w:rsidR="0085105E" w:rsidRDefault="0085105E">
      <w:r>
        <w:lastRenderedPageBreak/>
        <w:t>References</w:t>
      </w:r>
      <w:r w:rsidR="00E87E82">
        <w:t xml:space="preserve">: </w:t>
      </w:r>
    </w:p>
    <w:p w14:paraId="4C7835EC" w14:textId="77777777" w:rsidR="00E87E82" w:rsidRPr="00E87E82" w:rsidRDefault="00E87E82" w:rsidP="00E87E82">
      <w:r w:rsidRPr="00E87E82">
        <w:t xml:space="preserve">Boyle, L.D., </w:t>
      </w:r>
      <w:proofErr w:type="spellStart"/>
      <w:r w:rsidRPr="00E87E82">
        <w:t>Husebo</w:t>
      </w:r>
      <w:proofErr w:type="spellEnd"/>
      <w:r w:rsidRPr="00E87E82">
        <w:t xml:space="preserve">, B.S. and Vislapuu, M. (2022) 'Promotors and barriers to the implementation and adoption of assistive technology and telecare for people with dementia and their caregivers: A systematic review of the literature', </w:t>
      </w:r>
      <w:r w:rsidRPr="00E87E82">
        <w:rPr>
          <w:i/>
          <w:iCs/>
        </w:rPr>
        <w:t>BMC Health Services Research,</w:t>
      </w:r>
      <w:r w:rsidRPr="00E87E82">
        <w:t xml:space="preserve"> 22(1), pp. </w:t>
      </w:r>
      <w:proofErr w:type="gramStart"/>
      <w:r w:rsidRPr="00E87E82">
        <w:t>1573..</w:t>
      </w:r>
      <w:proofErr w:type="gramEnd"/>
    </w:p>
    <w:p w14:paraId="3AB98BC1" w14:textId="77777777" w:rsidR="00E87E82" w:rsidRPr="00E87E82" w:rsidRDefault="00E87E82" w:rsidP="00E87E82">
      <w:r w:rsidRPr="00E87E82">
        <w:t>Cecile Karlsen, &amp;., Mette Spliid Ludvigsen, &amp;</w:t>
      </w:r>
      <w:proofErr w:type="spellStart"/>
      <w:r w:rsidRPr="00E87E82">
        <w:t>nbsp</w:t>
      </w:r>
      <w:proofErr w:type="spellEnd"/>
      <w:r w:rsidRPr="00E87E82">
        <w:t xml:space="preserve">, Carl Erik Moe, Kristin Haraldstad and Elin Thygesen (2017) 'Experiences of community-dwelling older adults with the use of telecare in home care services: A qualitative systematic review', Available at: </w:t>
      </w:r>
      <w:hyperlink r:id="rId5" w:tgtFrame="_blank" w:history="1">
        <w:r w:rsidRPr="00E87E82">
          <w:rPr>
            <w:rStyle w:val="Hyperlink"/>
          </w:rPr>
          <w:t>https://doi.org/10.11124/JBISRIR-2017-003345</w:t>
        </w:r>
      </w:hyperlink>
      <w:r w:rsidRPr="00E87E82">
        <w:t>.</w:t>
      </w:r>
    </w:p>
    <w:p w14:paraId="7B334FF7" w14:textId="77777777" w:rsidR="00E87E82" w:rsidRPr="00E87E82" w:rsidRDefault="00E87E82" w:rsidP="00E87E82">
      <w:r w:rsidRPr="00E87E82">
        <w:t xml:space="preserve">Perera, M.S., </w:t>
      </w:r>
      <w:proofErr w:type="spellStart"/>
      <w:r w:rsidRPr="00E87E82">
        <w:t>Halgamuge</w:t>
      </w:r>
      <w:proofErr w:type="spellEnd"/>
      <w:r w:rsidRPr="00E87E82">
        <w:t xml:space="preserve">, M.N., </w:t>
      </w:r>
      <w:proofErr w:type="spellStart"/>
      <w:r w:rsidRPr="00E87E82">
        <w:t>Samarakody</w:t>
      </w:r>
      <w:proofErr w:type="spellEnd"/>
      <w:r w:rsidRPr="00E87E82">
        <w:t xml:space="preserve">, R. and Mohammad, A. 'Internet of things in healthcare: A survey of telemedicine systems used for elderly </w:t>
      </w:r>
      <w:proofErr w:type="spellStart"/>
      <w:r w:rsidRPr="00E87E82">
        <w:t>people'</w:t>
      </w:r>
      <w:r w:rsidRPr="00E87E82">
        <w:rPr>
          <w:i/>
          <w:iCs/>
        </w:rPr>
        <w:t>IoT</w:t>
      </w:r>
      <w:proofErr w:type="spellEnd"/>
      <w:r w:rsidRPr="00E87E82">
        <w:rPr>
          <w:i/>
          <w:iCs/>
        </w:rPr>
        <w:t xml:space="preserve"> in healthcare and ambient assisted living. </w:t>
      </w:r>
      <w:r w:rsidRPr="00E87E82">
        <w:t>Springer, pp. 69–88.</w:t>
      </w:r>
    </w:p>
    <w:p w14:paraId="7A8FA34C" w14:textId="77777777" w:rsidR="00E87E82" w:rsidRPr="00E87E82" w:rsidRDefault="00E87E82" w:rsidP="00E87E82">
      <w:r w:rsidRPr="00E87E82">
        <w:t xml:space="preserve">Taylor, A., </w:t>
      </w:r>
      <w:proofErr w:type="spellStart"/>
      <w:r w:rsidRPr="00E87E82">
        <w:t>Pizey</w:t>
      </w:r>
      <w:proofErr w:type="spellEnd"/>
      <w:r w:rsidRPr="00E87E82">
        <w:t xml:space="preserve">, H., Whittet, C., Hammond, D. and Milne, </w:t>
      </w:r>
      <w:proofErr w:type="gramStart"/>
      <w:r w:rsidRPr="00E87E82">
        <w:t>S. ,</w:t>
      </w:r>
      <w:proofErr w:type="gramEnd"/>
      <w:r w:rsidRPr="00E87E82">
        <w:t xml:space="preserve"> (2021) 'Analogue to Digital Telecare: Findings and Themes from a User-Centred Study to Help People Live in the Community Safely', </w:t>
      </w:r>
      <w:r w:rsidRPr="00E87E82">
        <w:rPr>
          <w:i/>
          <w:iCs/>
        </w:rPr>
        <w:t xml:space="preserve">33rd British Human Computer Interaction </w:t>
      </w:r>
      <w:proofErr w:type="gramStart"/>
      <w:r w:rsidRPr="00E87E82">
        <w:rPr>
          <w:i/>
          <w:iCs/>
        </w:rPr>
        <w:t xml:space="preserve">Conference </w:t>
      </w:r>
      <w:r w:rsidRPr="00E87E82">
        <w:t>.</w:t>
      </w:r>
      <w:proofErr w:type="gramEnd"/>
    </w:p>
    <w:p w14:paraId="7378A274" w14:textId="77777777" w:rsidR="00E87E82" w:rsidRPr="00E87E82" w:rsidRDefault="00E87E82" w:rsidP="00E87E82">
      <w:r w:rsidRPr="00E87E82">
        <w:t xml:space="preserve">UK Government (2026a) </w:t>
      </w:r>
      <w:r w:rsidRPr="00E87E82">
        <w:rPr>
          <w:i/>
          <w:iCs/>
        </w:rPr>
        <w:t>Care workforce pathway for adult social care: overview</w:t>
      </w:r>
      <w:r w:rsidRPr="00E87E82">
        <w:t>.</w:t>
      </w:r>
    </w:p>
    <w:p w14:paraId="75FD221D" w14:textId="77777777" w:rsidR="00E87E82" w:rsidRPr="00E87E82" w:rsidRDefault="00E87E82" w:rsidP="00E87E82">
      <w:r w:rsidRPr="00E87E82">
        <w:t xml:space="preserve">UK Government (2026b) </w:t>
      </w:r>
      <w:r w:rsidRPr="00E87E82">
        <w:rPr>
          <w:i/>
          <w:iCs/>
        </w:rPr>
        <w:t>Findings from the 2025 adult social care provider technology survey</w:t>
      </w:r>
      <w:r w:rsidRPr="00E87E82">
        <w:t>.</w:t>
      </w:r>
    </w:p>
    <w:p w14:paraId="0B12BAFC" w14:textId="77777777" w:rsidR="00E87E82" w:rsidRPr="00E87E82" w:rsidRDefault="00E87E82" w:rsidP="00E87E82">
      <w:r w:rsidRPr="00E87E82">
        <w:t xml:space="preserve">Vadillo, L., Martín-Ruiz, M.L., Pau, I., Conde, R. and Valero, M.Á (2017) 'A smart telecare system at digital home: Perceived usefulness, satisfaction, and expectations for healthcare professionals', </w:t>
      </w:r>
      <w:r w:rsidRPr="00E87E82">
        <w:rPr>
          <w:i/>
          <w:iCs/>
        </w:rPr>
        <w:t>Journal of Sensors,</w:t>
      </w:r>
      <w:r w:rsidRPr="00E87E82">
        <w:t xml:space="preserve"> 2017(1), pp. </w:t>
      </w:r>
      <w:proofErr w:type="gramStart"/>
      <w:r w:rsidRPr="00E87E82">
        <w:t>8972350..</w:t>
      </w:r>
      <w:proofErr w:type="gramEnd"/>
    </w:p>
    <w:p w14:paraId="689C002E" w14:textId="77777777" w:rsidR="00E87E82" w:rsidRPr="00E87E82" w:rsidRDefault="00E87E82" w:rsidP="00E87E82">
      <w:r w:rsidRPr="00E87E82">
        <w:t xml:space="preserve">Wilson, J., Heinsch, M., Betts, D., Booth, D. and Kay-Lambkin, F. (2021) 'Barriers and facilitators to the use of e-health by older adults: A scoping review', </w:t>
      </w:r>
      <w:r w:rsidRPr="00E87E82">
        <w:rPr>
          <w:i/>
          <w:iCs/>
        </w:rPr>
        <w:t>BMC Public Health,</w:t>
      </w:r>
      <w:r w:rsidRPr="00E87E82">
        <w:t xml:space="preserve"> 21(1), pp. </w:t>
      </w:r>
      <w:proofErr w:type="gramStart"/>
      <w:r w:rsidRPr="00E87E82">
        <w:t>1556..</w:t>
      </w:r>
      <w:proofErr w:type="gramEnd"/>
    </w:p>
    <w:p w14:paraId="3990BFB0" w14:textId="77777777" w:rsidR="00E87E82" w:rsidRDefault="00E87E82"/>
    <w:sectPr w:rsidR="00E87E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597"/>
    <w:rsid w:val="00005251"/>
    <w:rsid w:val="00035BCF"/>
    <w:rsid w:val="000373B9"/>
    <w:rsid w:val="00037F72"/>
    <w:rsid w:val="00050712"/>
    <w:rsid w:val="000540E5"/>
    <w:rsid w:val="000866CB"/>
    <w:rsid w:val="000C3623"/>
    <w:rsid w:val="000E3327"/>
    <w:rsid w:val="000E3CEA"/>
    <w:rsid w:val="001202F9"/>
    <w:rsid w:val="00130369"/>
    <w:rsid w:val="00130D1A"/>
    <w:rsid w:val="001369D3"/>
    <w:rsid w:val="001453BB"/>
    <w:rsid w:val="00165F8F"/>
    <w:rsid w:val="001672B8"/>
    <w:rsid w:val="00170BD8"/>
    <w:rsid w:val="001743DC"/>
    <w:rsid w:val="00181188"/>
    <w:rsid w:val="001A114A"/>
    <w:rsid w:val="001B554E"/>
    <w:rsid w:val="001C141D"/>
    <w:rsid w:val="001C5339"/>
    <w:rsid w:val="001C6EA7"/>
    <w:rsid w:val="001E003B"/>
    <w:rsid w:val="001E2CEE"/>
    <w:rsid w:val="001F3C05"/>
    <w:rsid w:val="001F7F9F"/>
    <w:rsid w:val="002040ED"/>
    <w:rsid w:val="00212F9C"/>
    <w:rsid w:val="002243CA"/>
    <w:rsid w:val="00253252"/>
    <w:rsid w:val="00263F45"/>
    <w:rsid w:val="00272ED3"/>
    <w:rsid w:val="00280719"/>
    <w:rsid w:val="002821F0"/>
    <w:rsid w:val="002843FC"/>
    <w:rsid w:val="00286326"/>
    <w:rsid w:val="002A704C"/>
    <w:rsid w:val="002D7BC9"/>
    <w:rsid w:val="002E7769"/>
    <w:rsid w:val="002F0C79"/>
    <w:rsid w:val="00327932"/>
    <w:rsid w:val="00327C9B"/>
    <w:rsid w:val="003360D4"/>
    <w:rsid w:val="00361C8F"/>
    <w:rsid w:val="003B7DA8"/>
    <w:rsid w:val="003C327B"/>
    <w:rsid w:val="003D0ED4"/>
    <w:rsid w:val="003D5793"/>
    <w:rsid w:val="003F3F10"/>
    <w:rsid w:val="0042794C"/>
    <w:rsid w:val="004577EB"/>
    <w:rsid w:val="00470E93"/>
    <w:rsid w:val="00494109"/>
    <w:rsid w:val="004B4250"/>
    <w:rsid w:val="004E199F"/>
    <w:rsid w:val="004F0E9A"/>
    <w:rsid w:val="00512A46"/>
    <w:rsid w:val="0052710D"/>
    <w:rsid w:val="0053316E"/>
    <w:rsid w:val="00567248"/>
    <w:rsid w:val="005772BC"/>
    <w:rsid w:val="00584F27"/>
    <w:rsid w:val="005A3319"/>
    <w:rsid w:val="005A7D97"/>
    <w:rsid w:val="005E3AAC"/>
    <w:rsid w:val="00627270"/>
    <w:rsid w:val="00632C8E"/>
    <w:rsid w:val="00643A2C"/>
    <w:rsid w:val="006578D8"/>
    <w:rsid w:val="00683CD8"/>
    <w:rsid w:val="0068562B"/>
    <w:rsid w:val="00686E40"/>
    <w:rsid w:val="0069342F"/>
    <w:rsid w:val="006C30BA"/>
    <w:rsid w:val="006E31A3"/>
    <w:rsid w:val="006F58FF"/>
    <w:rsid w:val="00740FD5"/>
    <w:rsid w:val="007455FE"/>
    <w:rsid w:val="00762C79"/>
    <w:rsid w:val="00764154"/>
    <w:rsid w:val="007A1D11"/>
    <w:rsid w:val="007C317E"/>
    <w:rsid w:val="007D5A9F"/>
    <w:rsid w:val="007D5B53"/>
    <w:rsid w:val="007F7EB1"/>
    <w:rsid w:val="00825355"/>
    <w:rsid w:val="00847A40"/>
    <w:rsid w:val="0085105E"/>
    <w:rsid w:val="00893688"/>
    <w:rsid w:val="008A0DEF"/>
    <w:rsid w:val="008B686B"/>
    <w:rsid w:val="008C0F56"/>
    <w:rsid w:val="008E1628"/>
    <w:rsid w:val="008E1CCC"/>
    <w:rsid w:val="008F5778"/>
    <w:rsid w:val="009018AB"/>
    <w:rsid w:val="00911AE1"/>
    <w:rsid w:val="0092065C"/>
    <w:rsid w:val="00923975"/>
    <w:rsid w:val="00932336"/>
    <w:rsid w:val="0097341F"/>
    <w:rsid w:val="00975306"/>
    <w:rsid w:val="00981895"/>
    <w:rsid w:val="0098330A"/>
    <w:rsid w:val="00990E7D"/>
    <w:rsid w:val="009A07D0"/>
    <w:rsid w:val="009A0D2D"/>
    <w:rsid w:val="009C4212"/>
    <w:rsid w:val="009D5CA4"/>
    <w:rsid w:val="009E02CD"/>
    <w:rsid w:val="009E4044"/>
    <w:rsid w:val="00A022B4"/>
    <w:rsid w:val="00A342C8"/>
    <w:rsid w:val="00A42E13"/>
    <w:rsid w:val="00A75BBD"/>
    <w:rsid w:val="00AD049F"/>
    <w:rsid w:val="00AD3023"/>
    <w:rsid w:val="00AF444B"/>
    <w:rsid w:val="00B038C3"/>
    <w:rsid w:val="00B33582"/>
    <w:rsid w:val="00B354CE"/>
    <w:rsid w:val="00B4647A"/>
    <w:rsid w:val="00B61AAC"/>
    <w:rsid w:val="00B61B64"/>
    <w:rsid w:val="00B95976"/>
    <w:rsid w:val="00BC5946"/>
    <w:rsid w:val="00BD3B61"/>
    <w:rsid w:val="00BE0473"/>
    <w:rsid w:val="00BF0B91"/>
    <w:rsid w:val="00C35F39"/>
    <w:rsid w:val="00C52942"/>
    <w:rsid w:val="00C63697"/>
    <w:rsid w:val="00C7090A"/>
    <w:rsid w:val="00C84C93"/>
    <w:rsid w:val="00CB37AD"/>
    <w:rsid w:val="00CD4699"/>
    <w:rsid w:val="00CE6413"/>
    <w:rsid w:val="00CF0BFB"/>
    <w:rsid w:val="00CF12CE"/>
    <w:rsid w:val="00D04428"/>
    <w:rsid w:val="00D147B6"/>
    <w:rsid w:val="00D256BC"/>
    <w:rsid w:val="00D3608C"/>
    <w:rsid w:val="00D3615E"/>
    <w:rsid w:val="00D45608"/>
    <w:rsid w:val="00D52A0D"/>
    <w:rsid w:val="00D63C0A"/>
    <w:rsid w:val="00DB0DF7"/>
    <w:rsid w:val="00DC1597"/>
    <w:rsid w:val="00DE13CC"/>
    <w:rsid w:val="00E00C95"/>
    <w:rsid w:val="00E04BAD"/>
    <w:rsid w:val="00E14D3C"/>
    <w:rsid w:val="00E27B70"/>
    <w:rsid w:val="00E32617"/>
    <w:rsid w:val="00E423FE"/>
    <w:rsid w:val="00E42C57"/>
    <w:rsid w:val="00E47439"/>
    <w:rsid w:val="00E74EB5"/>
    <w:rsid w:val="00E86AA6"/>
    <w:rsid w:val="00E87E82"/>
    <w:rsid w:val="00E9203D"/>
    <w:rsid w:val="00E961B2"/>
    <w:rsid w:val="00EA1CA8"/>
    <w:rsid w:val="00ED0A5F"/>
    <w:rsid w:val="00EF5BF7"/>
    <w:rsid w:val="00EF7288"/>
    <w:rsid w:val="00F162EF"/>
    <w:rsid w:val="00F209C1"/>
    <w:rsid w:val="00F30335"/>
    <w:rsid w:val="00F318FF"/>
    <w:rsid w:val="00F40B88"/>
    <w:rsid w:val="00F53C79"/>
    <w:rsid w:val="00F72BB8"/>
    <w:rsid w:val="00F81B84"/>
    <w:rsid w:val="00F829C4"/>
    <w:rsid w:val="00F91C96"/>
    <w:rsid w:val="00F92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D06C9"/>
  <w15:chartTrackingRefBased/>
  <w15:docId w15:val="{54928C72-B42E-46CB-BC62-903F7B1E8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15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15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15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15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15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15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15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15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15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5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15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15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15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15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15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15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15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1597"/>
    <w:rPr>
      <w:rFonts w:eastAsiaTheme="majorEastAsia" w:cstheme="majorBidi"/>
      <w:color w:val="272727" w:themeColor="text1" w:themeTint="D8"/>
    </w:rPr>
  </w:style>
  <w:style w:type="paragraph" w:styleId="Title">
    <w:name w:val="Title"/>
    <w:basedOn w:val="Normal"/>
    <w:next w:val="Normal"/>
    <w:link w:val="TitleChar"/>
    <w:uiPriority w:val="10"/>
    <w:qFormat/>
    <w:rsid w:val="00DC15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15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15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15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1597"/>
    <w:pPr>
      <w:spacing w:before="160"/>
      <w:jc w:val="center"/>
    </w:pPr>
    <w:rPr>
      <w:i/>
      <w:iCs/>
      <w:color w:val="404040" w:themeColor="text1" w:themeTint="BF"/>
    </w:rPr>
  </w:style>
  <w:style w:type="character" w:customStyle="1" w:styleId="QuoteChar">
    <w:name w:val="Quote Char"/>
    <w:basedOn w:val="DefaultParagraphFont"/>
    <w:link w:val="Quote"/>
    <w:uiPriority w:val="29"/>
    <w:rsid w:val="00DC1597"/>
    <w:rPr>
      <w:i/>
      <w:iCs/>
      <w:color w:val="404040" w:themeColor="text1" w:themeTint="BF"/>
    </w:rPr>
  </w:style>
  <w:style w:type="paragraph" w:styleId="ListParagraph">
    <w:name w:val="List Paragraph"/>
    <w:basedOn w:val="Normal"/>
    <w:uiPriority w:val="34"/>
    <w:qFormat/>
    <w:rsid w:val="00DC1597"/>
    <w:pPr>
      <w:ind w:left="720"/>
      <w:contextualSpacing/>
    </w:pPr>
  </w:style>
  <w:style w:type="character" w:styleId="IntenseEmphasis">
    <w:name w:val="Intense Emphasis"/>
    <w:basedOn w:val="DefaultParagraphFont"/>
    <w:uiPriority w:val="21"/>
    <w:qFormat/>
    <w:rsid w:val="00DC1597"/>
    <w:rPr>
      <w:i/>
      <w:iCs/>
      <w:color w:val="0F4761" w:themeColor="accent1" w:themeShade="BF"/>
    </w:rPr>
  </w:style>
  <w:style w:type="paragraph" w:styleId="IntenseQuote">
    <w:name w:val="Intense Quote"/>
    <w:basedOn w:val="Normal"/>
    <w:next w:val="Normal"/>
    <w:link w:val="IntenseQuoteChar"/>
    <w:uiPriority w:val="30"/>
    <w:qFormat/>
    <w:rsid w:val="00DC15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1597"/>
    <w:rPr>
      <w:i/>
      <w:iCs/>
      <w:color w:val="0F4761" w:themeColor="accent1" w:themeShade="BF"/>
    </w:rPr>
  </w:style>
  <w:style w:type="character" w:styleId="IntenseReference">
    <w:name w:val="Intense Reference"/>
    <w:basedOn w:val="DefaultParagraphFont"/>
    <w:uiPriority w:val="32"/>
    <w:qFormat/>
    <w:rsid w:val="00DC1597"/>
    <w:rPr>
      <w:b/>
      <w:bCs/>
      <w:smallCaps/>
      <w:color w:val="0F4761" w:themeColor="accent1" w:themeShade="BF"/>
      <w:spacing w:val="5"/>
    </w:rPr>
  </w:style>
  <w:style w:type="character" w:styleId="Hyperlink">
    <w:name w:val="Hyperlink"/>
    <w:basedOn w:val="DefaultParagraphFont"/>
    <w:uiPriority w:val="99"/>
    <w:unhideWhenUsed/>
    <w:rsid w:val="00E87E82"/>
    <w:rPr>
      <w:color w:val="467886" w:themeColor="hyperlink"/>
      <w:u w:val="single"/>
    </w:rPr>
  </w:style>
  <w:style w:type="character" w:styleId="UnresolvedMention">
    <w:name w:val="Unresolved Mention"/>
    <w:basedOn w:val="DefaultParagraphFont"/>
    <w:uiPriority w:val="99"/>
    <w:semiHidden/>
    <w:unhideWhenUsed/>
    <w:rsid w:val="00E87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1124/JBISRIR-2017-003345"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4925</TotalTime>
  <Pages>8</Pages>
  <Words>2625</Words>
  <Characters>14968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adejoke adozi</dc:creator>
  <cp:keywords/>
  <dc:description/>
  <cp:lastModifiedBy>adejoke adozi</cp:lastModifiedBy>
  <cp:revision>154</cp:revision>
  <dcterms:created xsi:type="dcterms:W3CDTF">2026-09-21T08:37:00Z</dcterms:created>
  <dcterms:modified xsi:type="dcterms:W3CDTF">2026-09-25T09:32:00Z</dcterms:modified>
</cp:coreProperties>
</file>