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11E8E" w:rsidRDefault="00E626F1">
      <w:pPr>
        <w:rPr>
          <w:b/>
          <w:bCs/>
        </w:rPr>
      </w:pPr>
      <w:r>
        <w:rPr>
          <w:b/>
          <w:bCs/>
        </w:rPr>
        <w:t>University of Wales Trinity Saint David</w:t>
      </w:r>
    </w:p>
    <w:p w14:paraId="00000002" w14:textId="77777777" w:rsidR="00511E8E" w:rsidRDefault="00E626F1">
      <w:pPr>
        <w:rPr>
          <w:b/>
          <w:bCs/>
        </w:rPr>
      </w:pPr>
      <w:r>
        <w:rPr>
          <w:b/>
          <w:bCs/>
        </w:rPr>
        <w:t xml:space="preserve">Student name: Mariana Alina </w:t>
      </w:r>
      <w:proofErr w:type="spellStart"/>
      <w:r>
        <w:rPr>
          <w:b/>
          <w:bCs/>
        </w:rPr>
        <w:t>Orbeci</w:t>
      </w:r>
      <w:proofErr w:type="spellEnd"/>
    </w:p>
    <w:p w14:paraId="00000003" w14:textId="77777777" w:rsidR="00511E8E" w:rsidRDefault="00E626F1">
      <w:pPr>
        <w:rPr>
          <w:b/>
          <w:bCs/>
        </w:rPr>
      </w:pPr>
      <w:r>
        <w:rPr>
          <w:b/>
          <w:bCs/>
        </w:rPr>
        <w:t>Student ID number: 2221040</w:t>
      </w:r>
    </w:p>
    <w:p w14:paraId="00000004" w14:textId="77777777" w:rsidR="00511E8E" w:rsidRDefault="00E626F1">
      <w:pPr>
        <w:rPr>
          <w:b/>
          <w:bCs/>
        </w:rPr>
      </w:pPr>
      <w:r>
        <w:rPr>
          <w:b/>
          <w:bCs/>
        </w:rPr>
        <w:t xml:space="preserve">Module: Independent project(BMSW6009_CARD) </w:t>
      </w:r>
    </w:p>
    <w:p w14:paraId="00000005" w14:textId="77777777" w:rsidR="00511E8E" w:rsidRDefault="00E626F1">
      <w:pPr>
        <w:rPr>
          <w:b/>
          <w:bCs/>
        </w:rPr>
      </w:pPr>
      <w:r>
        <w:rPr>
          <w:b/>
          <w:bCs/>
        </w:rPr>
        <w:t>Submission date: 28th of February 2026</w:t>
      </w:r>
    </w:p>
    <w:p w14:paraId="00000006" w14:textId="77777777" w:rsidR="00511E8E" w:rsidRDefault="00E626F1">
      <w:pPr>
        <w:rPr>
          <w:b/>
          <w:bCs/>
        </w:rPr>
      </w:pPr>
      <w:r>
        <w:rPr>
          <w:b/>
          <w:bCs/>
        </w:rPr>
        <w:t>Word count: 1683</w:t>
      </w:r>
    </w:p>
    <w:p w14:paraId="00000007" w14:textId="77777777" w:rsidR="00511E8E" w:rsidRDefault="00E626F1">
      <w:pPr>
        <w:rPr>
          <w:b/>
          <w:bCs/>
        </w:rPr>
      </w:pPr>
      <w:r>
        <w:rPr>
          <w:b/>
          <w:bCs/>
        </w:rPr>
        <w:t>Research proposal name: The nursery practitioners’ perspective on staff shortage crisis in Early Years sector</w:t>
      </w:r>
    </w:p>
    <w:p w14:paraId="00000008" w14:textId="77777777" w:rsidR="00511E8E" w:rsidRDefault="00E626F1">
      <w:pPr>
        <w:rPr>
          <w:b/>
          <w:bCs/>
        </w:rPr>
      </w:pPr>
      <w:r>
        <w:rPr>
          <w:b/>
          <w:bCs/>
        </w:rPr>
        <w:t>Table of contents</w:t>
      </w:r>
    </w:p>
    <w:p w14:paraId="00000009" w14:textId="77777777" w:rsidR="00511E8E" w:rsidRDefault="00E626F1">
      <w:pPr>
        <w:numPr>
          <w:ilvl w:val="0"/>
          <w:numId w:val="2"/>
        </w:numPr>
        <w:spacing w:after="0"/>
        <w:rPr>
          <w:b/>
          <w:bCs/>
        </w:rPr>
      </w:pPr>
      <w:r>
        <w:rPr>
          <w:b/>
          <w:bCs/>
        </w:rPr>
        <w:t>Introduction   page 2</w:t>
      </w:r>
    </w:p>
    <w:p w14:paraId="0000000A" w14:textId="4ED9C839" w:rsidR="00511E8E" w:rsidRDefault="00E626F1">
      <w:pPr>
        <w:numPr>
          <w:ilvl w:val="0"/>
          <w:numId w:val="2"/>
        </w:numPr>
        <w:spacing w:after="0"/>
        <w:rPr>
          <w:b/>
          <w:bCs/>
        </w:rPr>
      </w:pPr>
      <w:r>
        <w:rPr>
          <w:b/>
          <w:bCs/>
        </w:rPr>
        <w:t xml:space="preserve">AIM, objectives and research questions page </w:t>
      </w:r>
      <w:r w:rsidR="00D415F8">
        <w:rPr>
          <w:b/>
          <w:bCs/>
        </w:rPr>
        <w:t>3</w:t>
      </w:r>
    </w:p>
    <w:p w14:paraId="0000000B" w14:textId="77777777" w:rsidR="00511E8E" w:rsidRDefault="00E626F1">
      <w:pPr>
        <w:numPr>
          <w:ilvl w:val="0"/>
          <w:numId w:val="2"/>
        </w:numPr>
        <w:rPr>
          <w:b/>
          <w:bCs/>
        </w:rPr>
      </w:pPr>
      <w:r>
        <w:rPr>
          <w:b/>
          <w:bCs/>
        </w:rPr>
        <w:t>Literature review        page 3</w:t>
      </w:r>
    </w:p>
    <w:p w14:paraId="0000000C" w14:textId="77777777" w:rsidR="00511E8E" w:rsidRDefault="00E626F1">
      <w:pPr>
        <w:rPr>
          <w:b/>
          <w:bCs/>
        </w:rPr>
      </w:pPr>
      <w:r>
        <w:rPr>
          <w:b/>
          <w:bCs/>
        </w:rPr>
        <w:t>3.1 Emotional Labour theory  page 3</w:t>
      </w:r>
    </w:p>
    <w:p w14:paraId="0000000D" w14:textId="08CF83C0" w:rsidR="00511E8E" w:rsidRDefault="00E626F1">
      <w:pPr>
        <w:rPr>
          <w:b/>
          <w:bCs/>
        </w:rPr>
      </w:pPr>
      <w:r>
        <w:rPr>
          <w:b/>
          <w:bCs/>
        </w:rPr>
        <w:t xml:space="preserve">3.2 Job demand-resources model  page </w:t>
      </w:r>
      <w:r w:rsidR="00D415F8">
        <w:rPr>
          <w:b/>
          <w:bCs/>
        </w:rPr>
        <w:t>4</w:t>
      </w:r>
    </w:p>
    <w:p w14:paraId="0000000E" w14:textId="0DB50E28" w:rsidR="00511E8E" w:rsidRDefault="00E626F1">
      <w:pPr>
        <w:rPr>
          <w:b/>
          <w:bCs/>
        </w:rPr>
      </w:pPr>
      <w:r>
        <w:rPr>
          <w:b/>
          <w:bCs/>
        </w:rPr>
        <w:t xml:space="preserve">3.3 Self determination theory  page </w:t>
      </w:r>
      <w:r w:rsidR="00D415F8">
        <w:rPr>
          <w:b/>
          <w:bCs/>
        </w:rPr>
        <w:t>4</w:t>
      </w:r>
    </w:p>
    <w:p w14:paraId="0000000F" w14:textId="77777777" w:rsidR="00511E8E" w:rsidRDefault="00E626F1">
      <w:pPr>
        <w:numPr>
          <w:ilvl w:val="0"/>
          <w:numId w:val="2"/>
        </w:numPr>
        <w:rPr>
          <w:b/>
          <w:bCs/>
        </w:rPr>
      </w:pPr>
      <w:r>
        <w:rPr>
          <w:b/>
          <w:bCs/>
        </w:rPr>
        <w:t>Methodology  page 4</w:t>
      </w:r>
    </w:p>
    <w:p w14:paraId="00000010" w14:textId="77777777" w:rsidR="00511E8E" w:rsidRDefault="00E626F1">
      <w:pPr>
        <w:rPr>
          <w:b/>
          <w:bCs/>
        </w:rPr>
      </w:pPr>
      <w:r>
        <w:rPr>
          <w:b/>
          <w:bCs/>
        </w:rPr>
        <w:t>4.1 Research paradigm  page 4</w:t>
      </w:r>
    </w:p>
    <w:p w14:paraId="00000011" w14:textId="77777777" w:rsidR="00511E8E" w:rsidRDefault="00E626F1">
      <w:pPr>
        <w:rPr>
          <w:b/>
          <w:bCs/>
        </w:rPr>
      </w:pPr>
      <w:r>
        <w:rPr>
          <w:b/>
          <w:bCs/>
        </w:rPr>
        <w:t>4.2 Ontology  page 4</w:t>
      </w:r>
    </w:p>
    <w:p w14:paraId="00000012" w14:textId="77777777" w:rsidR="00511E8E" w:rsidRDefault="00E626F1">
      <w:pPr>
        <w:rPr>
          <w:b/>
          <w:bCs/>
        </w:rPr>
      </w:pPr>
      <w:r>
        <w:rPr>
          <w:b/>
          <w:bCs/>
        </w:rPr>
        <w:t>4.3 Methodology approach  page 4</w:t>
      </w:r>
    </w:p>
    <w:p w14:paraId="00000013" w14:textId="77777777" w:rsidR="00511E8E" w:rsidRDefault="00E626F1">
      <w:pPr>
        <w:rPr>
          <w:b/>
          <w:bCs/>
        </w:rPr>
      </w:pPr>
      <w:r>
        <w:rPr>
          <w:b/>
          <w:bCs/>
        </w:rPr>
        <w:t>4.4 Vulnerability as methodology  page 5</w:t>
      </w:r>
    </w:p>
    <w:p w14:paraId="00000014" w14:textId="77777777" w:rsidR="00511E8E" w:rsidRDefault="00E626F1">
      <w:pPr>
        <w:rPr>
          <w:b/>
          <w:bCs/>
        </w:rPr>
      </w:pPr>
      <w:r>
        <w:rPr>
          <w:b/>
          <w:bCs/>
        </w:rPr>
        <w:t>4.5 Researcher’s position and auto-ethnographic awareness  page 5</w:t>
      </w:r>
    </w:p>
    <w:p w14:paraId="00000015" w14:textId="77777777" w:rsidR="00511E8E" w:rsidRDefault="00E626F1">
      <w:pPr>
        <w:rPr>
          <w:b/>
          <w:bCs/>
        </w:rPr>
      </w:pPr>
      <w:r>
        <w:rPr>
          <w:b/>
          <w:bCs/>
        </w:rPr>
        <w:t>4.6 Data collection   page 5</w:t>
      </w:r>
    </w:p>
    <w:p w14:paraId="00000016" w14:textId="77777777" w:rsidR="00511E8E" w:rsidRDefault="00E626F1">
      <w:pPr>
        <w:rPr>
          <w:b/>
          <w:bCs/>
        </w:rPr>
      </w:pPr>
      <w:r>
        <w:rPr>
          <w:b/>
          <w:bCs/>
        </w:rPr>
        <w:t>4.7 Data analysis  page 6</w:t>
      </w:r>
    </w:p>
    <w:p w14:paraId="537410F7" w14:textId="3E4D557F" w:rsidR="00D415F8" w:rsidRDefault="00D415F8">
      <w:pPr>
        <w:rPr>
          <w:b/>
          <w:bCs/>
        </w:rPr>
      </w:pPr>
      <w:r>
        <w:rPr>
          <w:b/>
          <w:bCs/>
        </w:rPr>
        <w:t xml:space="preserve">          5</w:t>
      </w:r>
      <w:r w:rsidR="00E626F1">
        <w:rPr>
          <w:b/>
          <w:bCs/>
        </w:rPr>
        <w:t>.  Conclusion page 6</w:t>
      </w:r>
    </w:p>
    <w:p w14:paraId="14516467" w14:textId="77777777" w:rsidR="00D415F8" w:rsidRDefault="00E626F1">
      <w:pPr>
        <w:rPr>
          <w:b/>
          <w:bCs/>
        </w:rPr>
      </w:pPr>
      <w:r>
        <w:rPr>
          <w:b/>
          <w:bCs/>
        </w:rPr>
        <w:t xml:space="preserve">6. Reference list page 6 </w:t>
      </w:r>
    </w:p>
    <w:p w14:paraId="0000001A" w14:textId="220E2941" w:rsidR="00511E8E" w:rsidRDefault="00E626F1">
      <w:pPr>
        <w:rPr>
          <w:b/>
          <w:bCs/>
        </w:rPr>
      </w:pPr>
      <w:r>
        <w:rPr>
          <w:b/>
          <w:bCs/>
        </w:rPr>
        <w:t xml:space="preserve">7. Gantt </w:t>
      </w:r>
      <w:r w:rsidR="001D27F5">
        <w:rPr>
          <w:b/>
          <w:bCs/>
        </w:rPr>
        <w:t xml:space="preserve">chart page </w:t>
      </w:r>
      <w:r w:rsidR="00D415F8">
        <w:rPr>
          <w:b/>
          <w:bCs/>
        </w:rPr>
        <w:t>8</w:t>
      </w:r>
    </w:p>
    <w:p w14:paraId="5F5892DE" w14:textId="06E331BF" w:rsidR="001D27F5" w:rsidRDefault="001D27F5">
      <w:pPr>
        <w:rPr>
          <w:b/>
          <w:bCs/>
        </w:rPr>
      </w:pPr>
      <w:r>
        <w:rPr>
          <w:b/>
          <w:bCs/>
        </w:rPr>
        <w:t xml:space="preserve">I declare that I </w:t>
      </w:r>
      <w:r w:rsidR="00D415F8">
        <w:rPr>
          <w:b/>
          <w:bCs/>
        </w:rPr>
        <w:t xml:space="preserve">used an online referencing tool, </w:t>
      </w:r>
      <w:r>
        <w:rPr>
          <w:b/>
          <w:bCs/>
        </w:rPr>
        <w:t xml:space="preserve"> MyBIB </w:t>
      </w:r>
      <w:r w:rsidR="00D415F8">
        <w:rPr>
          <w:b/>
          <w:bCs/>
        </w:rPr>
        <w:t xml:space="preserve">solely to format some of my references in the correct Harvard format. The tool was used only to organise and structure the references according to Harvard style. No artificial intelligence tools were used to generate, write, edit, paraphrase or develop the content of this assignment. All ideas, and written work are entirely my own. </w:t>
      </w:r>
    </w:p>
    <w:p w14:paraId="0000001B" w14:textId="77777777" w:rsidR="00511E8E" w:rsidRDefault="00511E8E">
      <w:pPr>
        <w:rPr>
          <w:b/>
          <w:bCs/>
        </w:rPr>
      </w:pPr>
    </w:p>
    <w:p w14:paraId="0000001C" w14:textId="77777777" w:rsidR="00511E8E" w:rsidRDefault="00511E8E">
      <w:pPr>
        <w:rPr>
          <w:b/>
          <w:bCs/>
        </w:rPr>
      </w:pPr>
    </w:p>
    <w:p w14:paraId="0000001D" w14:textId="77777777" w:rsidR="00511E8E" w:rsidRDefault="00E626F1">
      <w:pPr>
        <w:numPr>
          <w:ilvl w:val="0"/>
          <w:numId w:val="1"/>
        </w:numPr>
        <w:pBdr>
          <w:top w:val="nil"/>
          <w:left w:val="nil"/>
          <w:bottom w:val="nil"/>
          <w:right w:val="nil"/>
          <w:between w:val="nil"/>
        </w:pBdr>
        <w:rPr>
          <w:b/>
          <w:bCs/>
          <w:color w:val="000000"/>
        </w:rPr>
      </w:pPr>
      <w:r>
        <w:rPr>
          <w:b/>
          <w:bCs/>
          <w:color w:val="000000"/>
        </w:rPr>
        <w:lastRenderedPageBreak/>
        <w:t>Introduction</w:t>
      </w:r>
    </w:p>
    <w:p w14:paraId="0000001E" w14:textId="77777777" w:rsidR="00511E8E" w:rsidRDefault="00E626F1">
      <w:r>
        <w:t>The Early Years sector has a vital role to form the base in children's learning, development and wellbeing in their most formative years (</w:t>
      </w:r>
      <w:proofErr w:type="spellStart"/>
      <w:r>
        <w:t>Merita</w:t>
      </w:r>
      <w:proofErr w:type="spellEnd"/>
      <w:r>
        <w:t xml:space="preserve"> </w:t>
      </w:r>
      <w:proofErr w:type="spellStart"/>
      <w:r>
        <w:t>Shala</w:t>
      </w:r>
      <w:proofErr w:type="spellEnd"/>
      <w:r>
        <w:t xml:space="preserve">, 2013).  Nursery nurses are responsible for delivering high quality care, education and support to young children and families (DfE, 2025). </w:t>
      </w:r>
    </w:p>
    <w:p w14:paraId="0000001F" w14:textId="77777777" w:rsidR="00511E8E" w:rsidRDefault="00E626F1">
      <w:r>
        <w:t>National Day Nurseries Association states  that the sector is currently experiencing a serious staff shortage crisis and this had become one of the most pressing challenges faced by earlier sector in the United Kingdom (NDNA, 2025).</w:t>
      </w:r>
    </w:p>
    <w:p w14:paraId="00000020" w14:textId="77777777" w:rsidR="00511E8E" w:rsidRDefault="00E626F1">
      <w:r>
        <w:t>The proposed research will take place across 3 settings of Acorns Nursery Limited, a private early years childcare provider based in Cardiff , Wales. Acorns provides full daycare and early years education for children from infancy to five years old. This organisation operates within the regulatory framework set by Care Inspectorate Wales and fallows the Early Years Foundation Phase curriculum applicable in Wales (About Acorns, 2026).</w:t>
      </w:r>
    </w:p>
    <w:p w14:paraId="00000021" w14:textId="77777777" w:rsidR="00511E8E" w:rsidRDefault="00E626F1">
      <w:r>
        <w:t xml:space="preserve">Like many early years settings across the UK,, Acorns operates within national staffing ratio requirements and faces ongoing challenges about recruitment and staff retention (confirmed by the HR team at Acorns). </w:t>
      </w:r>
    </w:p>
    <w:p w14:paraId="00000022" w14:textId="77777777" w:rsidR="00511E8E" w:rsidRDefault="00E626F1">
      <w:r>
        <w:t>The selected settings provide the suitable context for exploring practitioners’ perspective on staff shortages because they reflect wider workforce  pressure experienced across the sector.</w:t>
      </w:r>
    </w:p>
    <w:p w14:paraId="00000023" w14:textId="77777777" w:rsidR="00511E8E" w:rsidRDefault="00E626F1">
      <w:r>
        <w:t xml:space="preserve">Previous research has explored the workforce crisis in the Early Years sector and practitioners’ wellbeing, such as Carla </w:t>
      </w:r>
      <w:proofErr w:type="spellStart"/>
      <w:r>
        <w:t>Sovarson</w:t>
      </w:r>
      <w:proofErr w:type="spellEnd"/>
      <w:r>
        <w:t xml:space="preserve"> et al. 2025; Sara </w:t>
      </w:r>
      <w:proofErr w:type="spellStart"/>
      <w:r>
        <w:t>Bonetti,2019</w:t>
      </w:r>
      <w:proofErr w:type="spellEnd"/>
      <w:r>
        <w:t xml:space="preserve"> or Dr Nathan Archer, 2023 but much of this work relies on surveys or quantitative methods, offering limited insights into the lived experience of nursery nurses. There is a clear gap in qualitative research that focuses specifically on practitioners’ perception about staff shortages and how this impacts their wellbeing and interference with delivering high quality care ( Mark N.K. Saunders, Phillip Lewis, Adrian </w:t>
      </w:r>
      <w:proofErr w:type="spellStart"/>
      <w:r>
        <w:t>Thornhill</w:t>
      </w:r>
      <w:proofErr w:type="spellEnd"/>
      <w:r>
        <w:t xml:space="preserve">, 2023). </w:t>
      </w:r>
    </w:p>
    <w:p w14:paraId="00000024" w14:textId="77777777" w:rsidR="00511E8E" w:rsidRDefault="00E626F1">
      <w:pPr>
        <w:rPr>
          <w:b/>
          <w:bCs/>
        </w:rPr>
      </w:pPr>
      <w:r>
        <w:t xml:space="preserve">Research shows that high stress levels and emotional exhaustion contribute significantly to practitioners leaving the sector.  When experienced staff leave, remaining practitioners often face additional pressure (Tamara </w:t>
      </w:r>
      <w:proofErr w:type="spellStart"/>
      <w:r>
        <w:t>Cumming</w:t>
      </w:r>
      <w:proofErr w:type="spellEnd"/>
      <w:r>
        <w:t xml:space="preserve">, </w:t>
      </w:r>
      <w:proofErr w:type="spellStart"/>
      <w:r>
        <w:t>Sandie</w:t>
      </w:r>
      <w:proofErr w:type="spellEnd"/>
      <w:r>
        <w:t xml:space="preserve"> Wong and Helen Logan, 2020). </w:t>
      </w:r>
    </w:p>
    <w:p w14:paraId="00000025" w14:textId="77777777" w:rsidR="00511E8E" w:rsidRDefault="00E626F1">
      <w:r>
        <w:t>Compared with other existing researches, this research will focus on practitioners’  voice and experiences, recognise their professional expertise and contribute to a more practitioner-informed understanding of the crisis.</w:t>
      </w:r>
    </w:p>
    <w:p w14:paraId="00000026" w14:textId="77777777" w:rsidR="00511E8E" w:rsidRDefault="00E626F1">
      <w:pPr>
        <w:numPr>
          <w:ilvl w:val="0"/>
          <w:numId w:val="1"/>
        </w:numPr>
        <w:pBdr>
          <w:top w:val="nil"/>
          <w:left w:val="nil"/>
          <w:bottom w:val="nil"/>
          <w:right w:val="nil"/>
          <w:between w:val="nil"/>
        </w:pBdr>
      </w:pPr>
      <w:r>
        <w:rPr>
          <w:b/>
          <w:bCs/>
          <w:color w:val="000000"/>
        </w:rPr>
        <w:t>AIM, objectives and research questions</w:t>
      </w:r>
    </w:p>
    <w:p w14:paraId="00000027" w14:textId="77777777" w:rsidR="00511E8E" w:rsidRDefault="00E626F1">
      <w:r>
        <w:t xml:space="preserve">This research aims to explore how staff shortage affects nursery nurse practitioners’ wellbeing  working in the early years sector. It will have three  objectives. First, to  explore how staff shortages affect practitioners' well-being,  second, to identify the main causes of </w:t>
      </w:r>
      <w:r>
        <w:lastRenderedPageBreak/>
        <w:t xml:space="preserve">the crisis and as a third objective, to analyse how the staff shortages affect their daily practice and high quality standards. It looks  to answer three  questions: how the staff shortage impacts practitioners’ wellbeing, how it affects high quality provision: and what do practitioners identify as the main causes of the workforce crisis in the sector. </w:t>
      </w:r>
    </w:p>
    <w:p w14:paraId="00000028" w14:textId="77777777" w:rsidR="00511E8E" w:rsidRDefault="00E626F1">
      <w:r>
        <w:t xml:space="preserve">The researcher will interview a suitable number of practitioners until the data is saturated and the research questions will be answered. </w:t>
      </w:r>
    </w:p>
    <w:p w14:paraId="00000029" w14:textId="77777777" w:rsidR="00511E8E" w:rsidRDefault="00E626F1">
      <w:pPr>
        <w:numPr>
          <w:ilvl w:val="0"/>
          <w:numId w:val="1"/>
        </w:numPr>
        <w:pBdr>
          <w:top w:val="nil"/>
          <w:left w:val="nil"/>
          <w:bottom w:val="nil"/>
          <w:right w:val="nil"/>
          <w:between w:val="nil"/>
        </w:pBdr>
        <w:rPr>
          <w:b/>
          <w:bCs/>
          <w:color w:val="000000"/>
        </w:rPr>
      </w:pPr>
      <w:r>
        <w:rPr>
          <w:b/>
          <w:bCs/>
          <w:color w:val="000000"/>
        </w:rPr>
        <w:t xml:space="preserve">Literature review </w:t>
      </w:r>
    </w:p>
    <w:p w14:paraId="0000002A" w14:textId="77777777" w:rsidR="00511E8E" w:rsidRDefault="00E626F1">
      <w:r>
        <w:t>Research consistently highlights recruitment and retention as a long standing issue in the early years sector. Low wages, limited progression opportunities and high levels of responsibility are key reasons for practitioners leaving this sector (</w:t>
      </w:r>
      <w:proofErr w:type="spellStart"/>
      <w:r>
        <w:t>Bonetti</w:t>
      </w:r>
      <w:proofErr w:type="spellEnd"/>
      <w:r>
        <w:t xml:space="preserve"> et al., 2019). </w:t>
      </w:r>
    </w:p>
    <w:p w14:paraId="0000002B" w14:textId="77777777" w:rsidR="00511E8E" w:rsidRDefault="00E626F1">
      <w:r>
        <w:t xml:space="preserve">Sue Cowley, 2021 states that despite the increasing expectations around safeguarding, learning outcomes and documentation, pay and conditions have not improved at the same rate. </w:t>
      </w:r>
    </w:p>
    <w:p w14:paraId="0000002C" w14:textId="77777777" w:rsidR="00511E8E" w:rsidRDefault="00E626F1">
      <w:r>
        <w:t>The results of the NDNA workforce survey conducted in 2023 reports that over 90% of nurseries experience difficulties recruiting staff, particularly qualified Level 3 practitioners. This has resulted in increased use of agency staff and reduced staff stability which can have a negative impact on practitioners and as well on children.</w:t>
      </w:r>
    </w:p>
    <w:p w14:paraId="0000002D" w14:textId="77777777" w:rsidR="00511E8E" w:rsidRDefault="00E626F1">
      <w:r>
        <w:t xml:space="preserve">Studies show that being under staffing leads to increased stress, physical exhaustion and emotional burnout (Angela Hodgkins, Peter </w:t>
      </w:r>
      <w:proofErr w:type="spellStart"/>
      <w:r>
        <w:t>Gossman</w:t>
      </w:r>
      <w:proofErr w:type="spellEnd"/>
      <w:r>
        <w:t xml:space="preserve">, 2024).  Early years practitioners are required to engage in high levels of emotional labour and after placing children's needs above their own well-being (Dr. Geoff Taggart, 2016). Jennings and Greenberg, 2009 highlights that practitioners’ wellbeing is directly linked to the quality of relationships formed with children. When staff are stressed and overwhelmed it can affect their ability to provide consistent and responsive care. </w:t>
      </w:r>
    </w:p>
    <w:p w14:paraId="0000002E" w14:textId="77777777" w:rsidR="00511E8E" w:rsidRDefault="00E626F1">
      <w:pPr>
        <w:rPr>
          <w:b/>
          <w:bCs/>
        </w:rPr>
      </w:pPr>
      <w:r>
        <w:rPr>
          <w:b/>
          <w:bCs/>
        </w:rPr>
        <w:t>3.1Emotional Labour theory</w:t>
      </w:r>
    </w:p>
    <w:p w14:paraId="0000002F" w14:textId="77777777" w:rsidR="00511E8E" w:rsidRDefault="00E626F1">
      <w:r>
        <w:t xml:space="preserve">The concept of emotional labour, developed by Arlie </w:t>
      </w:r>
      <w:proofErr w:type="spellStart"/>
      <w:r>
        <w:t>Hochschild</w:t>
      </w:r>
      <w:proofErr w:type="spellEnd"/>
      <w:r>
        <w:t xml:space="preserve"> in 1983, refers to the regulation of emotions to meet professional expectations. Early years practitioners are expected to remain calm and patient even in stressful situations or exhaustion. Staff shortages intensify the emotional demands.</w:t>
      </w:r>
    </w:p>
    <w:p w14:paraId="00000030" w14:textId="77777777" w:rsidR="00511E8E" w:rsidRDefault="00E626F1">
      <w:pPr>
        <w:rPr>
          <w:b/>
          <w:bCs/>
        </w:rPr>
      </w:pPr>
      <w:r>
        <w:rPr>
          <w:b/>
          <w:bCs/>
        </w:rPr>
        <w:t>3.2 Job demand-resources model</w:t>
      </w:r>
    </w:p>
    <w:p w14:paraId="00000031" w14:textId="77777777" w:rsidR="00511E8E" w:rsidRDefault="00E626F1">
      <w:r>
        <w:t xml:space="preserve">It was developed by Evangelia </w:t>
      </w:r>
      <w:proofErr w:type="spellStart"/>
      <w:r>
        <w:t>Demerouti</w:t>
      </w:r>
      <w:proofErr w:type="spellEnd"/>
      <w:r>
        <w:t xml:space="preserve"> and peers(2001) and explains how stress develops when job demands exceed available resources. </w:t>
      </w:r>
    </w:p>
    <w:p w14:paraId="00000032" w14:textId="77777777" w:rsidR="00511E8E" w:rsidRDefault="00E626F1">
      <w:r>
        <w:t>It is relevant for the proposed research as it explains how structural workforce shortages translate into psychological strain.</w:t>
      </w:r>
    </w:p>
    <w:p w14:paraId="00000033" w14:textId="77777777" w:rsidR="00511E8E" w:rsidRDefault="00511E8E"/>
    <w:p w14:paraId="00000034" w14:textId="77777777" w:rsidR="00511E8E" w:rsidRDefault="00E626F1">
      <w:pPr>
        <w:rPr>
          <w:b/>
          <w:bCs/>
        </w:rPr>
      </w:pPr>
      <w:r>
        <w:rPr>
          <w:b/>
          <w:bCs/>
        </w:rPr>
        <w:lastRenderedPageBreak/>
        <w:t xml:space="preserve">3.3 Self-determination theory </w:t>
      </w:r>
    </w:p>
    <w:p w14:paraId="00000035" w14:textId="77777777" w:rsidR="00511E8E" w:rsidRDefault="00E626F1">
      <w:r>
        <w:t xml:space="preserve">Edward Deci&amp; Richard Ryan (1985) propose that motivation and wellbeing depend on three basic psychological needs: autonomy, competence and relatedness. </w:t>
      </w:r>
    </w:p>
    <w:p w14:paraId="00000036" w14:textId="77777777" w:rsidR="00511E8E" w:rsidRDefault="00E626F1">
      <w:r>
        <w:t xml:space="preserve">The staff shortages may undermine autonomy as practitioners have less control over workload, the competence as they can feel unable to deliver quality care and the relatedness, experiencing strained team relationships. </w:t>
      </w:r>
    </w:p>
    <w:p w14:paraId="00000037" w14:textId="77777777" w:rsidR="00511E8E" w:rsidRDefault="00E626F1">
      <w:pPr>
        <w:numPr>
          <w:ilvl w:val="0"/>
          <w:numId w:val="1"/>
        </w:numPr>
        <w:pBdr>
          <w:top w:val="nil"/>
          <w:left w:val="nil"/>
          <w:bottom w:val="nil"/>
          <w:right w:val="nil"/>
          <w:between w:val="nil"/>
        </w:pBdr>
        <w:spacing w:after="0"/>
        <w:rPr>
          <w:b/>
          <w:bCs/>
          <w:color w:val="000000"/>
        </w:rPr>
      </w:pPr>
      <w:r>
        <w:rPr>
          <w:b/>
          <w:bCs/>
          <w:color w:val="000000"/>
        </w:rPr>
        <w:t xml:space="preserve">Methodology </w:t>
      </w:r>
    </w:p>
    <w:p w14:paraId="00000038" w14:textId="77777777" w:rsidR="00511E8E" w:rsidRDefault="00E626F1">
      <w:pPr>
        <w:numPr>
          <w:ilvl w:val="1"/>
          <w:numId w:val="1"/>
        </w:numPr>
        <w:pBdr>
          <w:top w:val="nil"/>
          <w:left w:val="nil"/>
          <w:bottom w:val="nil"/>
          <w:right w:val="nil"/>
          <w:between w:val="nil"/>
        </w:pBdr>
        <w:rPr>
          <w:b/>
          <w:bCs/>
          <w:color w:val="000000"/>
        </w:rPr>
      </w:pPr>
      <w:r>
        <w:rPr>
          <w:b/>
          <w:bCs/>
          <w:color w:val="000000"/>
        </w:rPr>
        <w:t>Research paradigm</w:t>
      </w:r>
    </w:p>
    <w:p w14:paraId="00000039" w14:textId="77777777" w:rsidR="00511E8E" w:rsidRDefault="00E626F1">
      <w:r>
        <w:t xml:space="preserve">A research paradigm is the set of beliefs that guide how a researcher understands reality and how knowledge is created (Saunders, Lewis and </w:t>
      </w:r>
      <w:proofErr w:type="spellStart"/>
      <w:r>
        <w:t>Thornhill,2023</w:t>
      </w:r>
      <w:proofErr w:type="spellEnd"/>
      <w:r>
        <w:t xml:space="preserve">). Hammond and Wellington, 2020 explain that being clear about the research’s questions, methods and analysis all connect. </w:t>
      </w:r>
    </w:p>
    <w:p w14:paraId="0000003A" w14:textId="77777777" w:rsidR="00511E8E" w:rsidRDefault="00E626F1">
      <w:r>
        <w:t xml:space="preserve">The research aims to understand how  practitioners experience staff shortage. Because the research will explore personal experiences and feelings, </w:t>
      </w:r>
      <w:proofErr w:type="spellStart"/>
      <w:r>
        <w:t>interpretivism</w:t>
      </w:r>
      <w:proofErr w:type="spellEnd"/>
      <w:r>
        <w:t xml:space="preserve"> will be the more suitable approach.</w:t>
      </w:r>
    </w:p>
    <w:p w14:paraId="0000003B" w14:textId="77777777" w:rsidR="00511E8E" w:rsidRDefault="00E626F1">
      <w:pPr>
        <w:numPr>
          <w:ilvl w:val="1"/>
          <w:numId w:val="1"/>
        </w:numPr>
        <w:pBdr>
          <w:top w:val="nil"/>
          <w:left w:val="nil"/>
          <w:bottom w:val="nil"/>
          <w:right w:val="nil"/>
          <w:between w:val="nil"/>
        </w:pBdr>
      </w:pPr>
      <w:r>
        <w:rPr>
          <w:b/>
          <w:bCs/>
          <w:color w:val="000000"/>
        </w:rPr>
        <w:t>Ontology</w:t>
      </w:r>
    </w:p>
    <w:p w14:paraId="0000003C" w14:textId="77777777" w:rsidR="00511E8E" w:rsidRDefault="00E626F1">
      <w:proofErr w:type="spellStart"/>
      <w:r>
        <w:t>Grix,2002</w:t>
      </w:r>
      <w:proofErr w:type="spellEnd"/>
      <w:r>
        <w:t xml:space="preserve"> explains that ontology concerns our assumptions about the nature of reality and what can be said to exist. </w:t>
      </w:r>
    </w:p>
    <w:p w14:paraId="0000003D" w14:textId="77777777" w:rsidR="00511E8E" w:rsidRDefault="00E626F1">
      <w:r>
        <w:t xml:space="preserve">In this research, relativist ontology will be adopted, which means reality is understood as socially constructed and experienced differently by different individuals. Staff shortage can be measured through objective data such as vacancy rates, turnover statistics or recruitment figures. From a positivist perspective, these measurable indicators might be treated as the main reality of the crisis. </w:t>
      </w:r>
      <w:proofErr w:type="spellStart"/>
      <w:r>
        <w:t>Bruman</w:t>
      </w:r>
      <w:proofErr w:type="spellEnd"/>
      <w:r>
        <w:t xml:space="preserve">,  2016 argues that social reality is not only made-up of observable facts  but also of meanings that individuals attach to their experiences so, while staff shortage may be measurable, the way it affects practitioners emotionally and professionally will vary. Since the research will explore practitioners perspectives, </w:t>
      </w:r>
      <w:proofErr w:type="spellStart"/>
      <w:r>
        <w:t>interpretivism</w:t>
      </w:r>
      <w:proofErr w:type="spellEnd"/>
      <w:r>
        <w:t xml:space="preserve"> fits the research aim.</w:t>
      </w:r>
    </w:p>
    <w:p w14:paraId="0000003E" w14:textId="77777777" w:rsidR="00511E8E" w:rsidRDefault="00E626F1">
      <w:pPr>
        <w:numPr>
          <w:ilvl w:val="1"/>
          <w:numId w:val="1"/>
        </w:numPr>
        <w:pBdr>
          <w:top w:val="nil"/>
          <w:left w:val="nil"/>
          <w:bottom w:val="nil"/>
          <w:right w:val="nil"/>
          <w:between w:val="nil"/>
        </w:pBdr>
        <w:rPr>
          <w:b/>
          <w:bCs/>
          <w:color w:val="000000"/>
        </w:rPr>
      </w:pPr>
      <w:r>
        <w:rPr>
          <w:b/>
          <w:bCs/>
          <w:color w:val="000000"/>
        </w:rPr>
        <w:t>Methodological approach</w:t>
      </w:r>
    </w:p>
    <w:p w14:paraId="0000003F" w14:textId="77777777" w:rsidR="00511E8E" w:rsidRDefault="00E626F1">
      <w:r>
        <w:t>Hammond and Wellington,2020 explain that qualitative research is especially useful in education because people's experiences are shaped by relationships, emotions and context. This research will aim to explore how staff shortages affect practitioners' well-being and daily practice, so a qualitative approach is the best choice in this case. The research will be influenced by phenomenology which focuses on understanding people's lived experiences</w:t>
      </w:r>
    </w:p>
    <w:p w14:paraId="00000040" w14:textId="77777777" w:rsidR="00511E8E" w:rsidRDefault="00511E8E"/>
    <w:p w14:paraId="00000041" w14:textId="77777777" w:rsidR="00511E8E" w:rsidRDefault="00511E8E"/>
    <w:p w14:paraId="00000042" w14:textId="77777777" w:rsidR="00511E8E" w:rsidRDefault="00E626F1">
      <w:pPr>
        <w:numPr>
          <w:ilvl w:val="1"/>
          <w:numId w:val="1"/>
        </w:numPr>
        <w:pBdr>
          <w:top w:val="nil"/>
          <w:left w:val="nil"/>
          <w:bottom w:val="nil"/>
          <w:right w:val="nil"/>
          <w:between w:val="nil"/>
        </w:pBdr>
        <w:rPr>
          <w:b/>
          <w:bCs/>
          <w:color w:val="000000"/>
        </w:rPr>
      </w:pPr>
      <w:r>
        <w:rPr>
          <w:b/>
          <w:bCs/>
          <w:color w:val="000000"/>
        </w:rPr>
        <w:lastRenderedPageBreak/>
        <w:t xml:space="preserve">Vulnerability as methodology </w:t>
      </w:r>
    </w:p>
    <w:p w14:paraId="00000043" w14:textId="77777777" w:rsidR="00511E8E" w:rsidRDefault="00E626F1">
      <w:r>
        <w:t xml:space="preserve">Talking about staff shortage may involve discussing stress, burnout and emotional pressure. The idea of vulnerability as methodology means recognising that emotional openness can provide valuable insights but it must be handled carefully and ethically (Pamela Fisher, 2011). </w:t>
      </w:r>
    </w:p>
    <w:p w14:paraId="00000044" w14:textId="77777777" w:rsidR="00511E8E" w:rsidRDefault="00E626F1">
      <w:r>
        <w:t xml:space="preserve">Hammond and Wellington, 2020 explain that researchers must create a safe environment where participants feel comfortable sharing personal experiences. For this reason, the researcher will ensure informed consent, confidentiality, voluntary participation and emotional sensitivity during interviews. </w:t>
      </w:r>
    </w:p>
    <w:p w14:paraId="00000045" w14:textId="77777777" w:rsidR="00511E8E" w:rsidRDefault="00E626F1">
      <w:r>
        <w:t xml:space="preserve"> Due to the sensitivity of the topic, the researcher will be excluded from the research staff currently signed off work due to mental health reasons,  practitioners who indicate that the interview questions might affect their well-being and individuals under 18 years old. </w:t>
      </w:r>
    </w:p>
    <w:p w14:paraId="00000046" w14:textId="77777777" w:rsidR="00511E8E" w:rsidRDefault="00E626F1">
      <w:pPr>
        <w:numPr>
          <w:ilvl w:val="1"/>
          <w:numId w:val="1"/>
        </w:numPr>
        <w:pBdr>
          <w:top w:val="nil"/>
          <w:left w:val="nil"/>
          <w:bottom w:val="nil"/>
          <w:right w:val="nil"/>
          <w:between w:val="nil"/>
        </w:pBdr>
        <w:rPr>
          <w:b/>
          <w:bCs/>
          <w:color w:val="000000"/>
        </w:rPr>
      </w:pPr>
      <w:r>
        <w:rPr>
          <w:b/>
          <w:bCs/>
          <w:color w:val="000000"/>
        </w:rPr>
        <w:t xml:space="preserve">Researcher’s position and auto-ethnographic awareness </w:t>
      </w:r>
    </w:p>
    <w:p w14:paraId="00000047" w14:textId="77777777" w:rsidR="00511E8E" w:rsidRDefault="00E626F1">
      <w:r>
        <w:t xml:space="preserve"> The researcher currently works in the earlier sector and this makes the researcher an insider. This can help build trust and understanding with participants and to show emotional sensitivity during interviews. On the other side this can also create bias. </w:t>
      </w:r>
      <w:proofErr w:type="spellStart"/>
      <w:r>
        <w:t>Bryman</w:t>
      </w:r>
      <w:proofErr w:type="spellEnd"/>
      <w:r>
        <w:t xml:space="preserve"> and Buchanan, 2018  explain that insider researchers must balance closeness with objectivity. The research will not be full auto- ethnographic research as it will keep the focus on participants’  experiences while recognising the researcher’s  position.</w:t>
      </w:r>
    </w:p>
    <w:p w14:paraId="00000048" w14:textId="77777777" w:rsidR="00511E8E" w:rsidRDefault="00E626F1">
      <w:r>
        <w:t xml:space="preserve"> To reduce bias, the researcher will use reflexivity and will ask for peers' opinion about data analysis. As well, all analysis decisions will be clearly explained (Linda Finlay, 2002). </w:t>
      </w:r>
    </w:p>
    <w:p w14:paraId="00000049" w14:textId="77777777" w:rsidR="00511E8E" w:rsidRDefault="00E626F1">
      <w:r>
        <w:t>Sarah J. Tracy, 2010 states that in  qualitative research objectivity  means being transparent and systematic rather than completely detached.</w:t>
      </w:r>
    </w:p>
    <w:p w14:paraId="0000004A" w14:textId="77777777" w:rsidR="00511E8E" w:rsidRDefault="00E626F1">
      <w:pPr>
        <w:numPr>
          <w:ilvl w:val="1"/>
          <w:numId w:val="1"/>
        </w:numPr>
        <w:pBdr>
          <w:top w:val="nil"/>
          <w:left w:val="nil"/>
          <w:bottom w:val="nil"/>
          <w:right w:val="nil"/>
          <w:between w:val="nil"/>
        </w:pBdr>
        <w:rPr>
          <w:b/>
          <w:bCs/>
          <w:color w:val="000000"/>
        </w:rPr>
      </w:pPr>
      <w:r>
        <w:rPr>
          <w:b/>
          <w:bCs/>
          <w:color w:val="000000"/>
        </w:rPr>
        <w:t xml:space="preserve">Data collection </w:t>
      </w:r>
    </w:p>
    <w:p w14:paraId="0000004B" w14:textId="77777777" w:rsidR="00511E8E" w:rsidRDefault="00E626F1">
      <w:r>
        <w:t xml:space="preserve"> Primary data will be collected through semi structured interviews with nursery nurses practitioners. Catherine Marshall and Gretchen B. </w:t>
      </w:r>
      <w:proofErr w:type="spellStart"/>
      <w:r>
        <w:t>Rossman,2016</w:t>
      </w:r>
      <w:proofErr w:type="spellEnd"/>
      <w:r>
        <w:t xml:space="preserve"> explain that “interviews allow participants to speak in their own words “ and semi structured interviews allow flexibility while still focusing on key topics. </w:t>
      </w:r>
    </w:p>
    <w:p w14:paraId="0000004C" w14:textId="77777777" w:rsidR="00511E8E" w:rsidRDefault="00E626F1">
      <w:r>
        <w:t xml:space="preserve">After  the approval from the Ethics Committee of University of Wales Trinity Saint David the researcher will explain the nature of the research and ask for permission from the management team through a signed  ethics form. All participants will be informed about the topic of the interview and will be handed a form at least 48 hours in advance. </w:t>
      </w:r>
    </w:p>
    <w:p w14:paraId="0000004D" w14:textId="77777777" w:rsidR="00511E8E" w:rsidRDefault="00E626F1">
      <w:r>
        <w:t xml:space="preserve"> Secondary data  will include information gathered from academic journals articles,   Government reports and National Day Nurseries Association surveys and reports. </w:t>
      </w:r>
    </w:p>
    <w:p w14:paraId="0000004E" w14:textId="77777777" w:rsidR="00511E8E" w:rsidRDefault="00511E8E"/>
    <w:p w14:paraId="0000004F" w14:textId="77777777" w:rsidR="00511E8E" w:rsidRDefault="00E626F1">
      <w:pPr>
        <w:rPr>
          <w:b/>
          <w:bCs/>
        </w:rPr>
      </w:pPr>
      <w:r>
        <w:rPr>
          <w:b/>
          <w:bCs/>
        </w:rPr>
        <w:lastRenderedPageBreak/>
        <w:t xml:space="preserve">4.7 Data analysis </w:t>
      </w:r>
    </w:p>
    <w:p w14:paraId="00000050" w14:textId="77777777" w:rsidR="00511E8E" w:rsidRDefault="00E626F1">
      <w:r>
        <w:rPr>
          <w:b/>
          <w:bCs/>
        </w:rPr>
        <w:t xml:space="preserve"> </w:t>
      </w:r>
      <w:r>
        <w:t xml:space="preserve">The data will be analysed using thematic analysis following Braun and Clark's, 2006 six step process and it includes reading the data carefully as many times is needed for the researcher to identify codes; initial codes will be grouped into categories; identifying themes; reviewing themes and remove anything not related to the research questions and ultimately writing down the findings. </w:t>
      </w:r>
    </w:p>
    <w:p w14:paraId="00000051" w14:textId="77777777" w:rsidR="00511E8E" w:rsidRDefault="00E626F1">
      <w:pPr>
        <w:numPr>
          <w:ilvl w:val="0"/>
          <w:numId w:val="1"/>
        </w:numPr>
        <w:pBdr>
          <w:top w:val="nil"/>
          <w:left w:val="nil"/>
          <w:bottom w:val="nil"/>
          <w:right w:val="nil"/>
          <w:between w:val="nil"/>
        </w:pBdr>
        <w:rPr>
          <w:b/>
          <w:bCs/>
          <w:color w:val="000000"/>
        </w:rPr>
      </w:pPr>
      <w:r>
        <w:rPr>
          <w:b/>
          <w:bCs/>
          <w:color w:val="000000"/>
        </w:rPr>
        <w:t xml:space="preserve">Conclusion </w:t>
      </w:r>
    </w:p>
    <w:p w14:paraId="00000052" w14:textId="77777777" w:rsidR="00511E8E" w:rsidRDefault="00E626F1">
      <w:r>
        <w:t xml:space="preserve"> This research proposal has outlined a planned  qualitative research that aims to explore nursery nurses practitioners perspective on staff shortages crisis across 3 settings of Acorns, how this affects their well-being and the main  perceived causes of this crisis.</w:t>
      </w:r>
    </w:p>
    <w:p w14:paraId="00000053" w14:textId="77777777" w:rsidR="00511E8E" w:rsidRDefault="00E626F1">
      <w:r>
        <w:t xml:space="preserve"> National reports and work for surveys highlighted  increasing vacancy rates and recruitment difficulties, but there remains limited qualitative research which focuses specifically on how practitioners experience these challenges in their daily practice.  This  proposed research seeks to address that gap, giving practitioners the opportunity to express  the influence of these challenges upon their well-being and professional identity. Primary data data will be collected through semi structured interviews to</w:t>
      </w:r>
      <w:r>
        <w:t xml:space="preserve"> provide in depth and context specific insights within the selected  settings.</w:t>
      </w:r>
    </w:p>
    <w:p w14:paraId="00000054" w14:textId="77777777" w:rsidR="00511E8E" w:rsidRDefault="00E626F1">
      <w:r>
        <w:t xml:space="preserve"> As the research will be limited to three nursery settings within one organisation, further research would be required to explore why there are regional differences, include diverse providers and examine perspectives from leadership teams.  A mixed method approach could also bring more understanding of long term work and sustainability.</w:t>
      </w:r>
    </w:p>
    <w:p w14:paraId="00000055" w14:textId="77777777" w:rsidR="00511E8E" w:rsidRPr="00B90F72" w:rsidRDefault="00E626F1">
      <w:pPr>
        <w:numPr>
          <w:ilvl w:val="0"/>
          <w:numId w:val="1"/>
        </w:numPr>
        <w:pBdr>
          <w:top w:val="nil"/>
          <w:left w:val="nil"/>
          <w:bottom w:val="nil"/>
          <w:right w:val="nil"/>
          <w:between w:val="nil"/>
        </w:pBdr>
      </w:pPr>
      <w:r>
        <w:rPr>
          <w:b/>
          <w:bCs/>
          <w:color w:val="000000"/>
        </w:rPr>
        <w:t xml:space="preserve">References </w:t>
      </w:r>
    </w:p>
    <w:p w14:paraId="0965DD5B" w14:textId="2ED8B3BE"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 xml:space="preserve">Anne-Marie </w:t>
      </w:r>
      <w:proofErr w:type="spellStart"/>
      <w:r w:rsidRPr="00B90F72">
        <w:rPr>
          <w:rFonts w:ascii="Helvetica" w:eastAsiaTheme="minorEastAsia" w:hAnsi="Helvetica" w:cs="Times New Roman"/>
          <w:color w:val="000000"/>
          <w:sz w:val="18"/>
          <w:szCs w:val="18"/>
        </w:rPr>
        <w:t>Argile</w:t>
      </w:r>
      <w:proofErr w:type="spellEnd"/>
      <w:r w:rsidRPr="00B90F72">
        <w:rPr>
          <w:rFonts w:ascii="Helvetica" w:eastAsiaTheme="minorEastAsia" w:hAnsi="Helvetica" w:cs="Times New Roman"/>
          <w:color w:val="000000"/>
          <w:sz w:val="18"/>
          <w:szCs w:val="18"/>
        </w:rPr>
        <w:t xml:space="preserve"> (2023). </w:t>
      </w:r>
      <w:r w:rsidRPr="00B90F72">
        <w:rPr>
          <w:rFonts w:ascii="Helvetica-Oblique" w:eastAsiaTheme="minorEastAsia" w:hAnsi="Helvetica-Oblique" w:cs="Times New Roman"/>
          <w:i/>
          <w:iCs/>
          <w:color w:val="000000"/>
          <w:sz w:val="18"/>
          <w:szCs w:val="18"/>
        </w:rPr>
        <w:t>Provider survey 2023 results – more staff leaving and more apprentices in settings - NDNA</w:t>
      </w:r>
      <w:r w:rsidRPr="00B90F72">
        <w:rPr>
          <w:rFonts w:ascii="Helvetica" w:eastAsiaTheme="minorEastAsia" w:hAnsi="Helvetica" w:cs="Times New Roman"/>
          <w:color w:val="000000"/>
          <w:sz w:val="18"/>
          <w:szCs w:val="18"/>
        </w:rPr>
        <w:t>. [online] NDNA. Available at: </w:t>
      </w:r>
      <w:hyperlink r:id="rId7" w:history="1">
        <w:r w:rsidRPr="00B90F72">
          <w:rPr>
            <w:rFonts w:ascii="Helvetica" w:eastAsiaTheme="minorEastAsia" w:hAnsi="Helvetica" w:cs="Times New Roman"/>
            <w:color w:val="0000FF"/>
            <w:sz w:val="18"/>
            <w:szCs w:val="18"/>
            <w:u w:val="single"/>
          </w:rPr>
          <w:t>https://ndna.org.uk/provider-survey-2023-results-more-staff-leaving-and-more-apprentices-in-settings/</w:t>
        </w:r>
      </w:hyperlink>
      <w:r w:rsidRPr="00B90F72">
        <w:rPr>
          <w:rFonts w:ascii="Helvetica" w:eastAsiaTheme="minorEastAsia" w:hAnsi="Helvetica" w:cs="Times New Roman"/>
          <w:color w:val="000000"/>
          <w:sz w:val="18"/>
          <w:szCs w:val="18"/>
        </w:rPr>
        <w:t>.</w:t>
      </w:r>
    </w:p>
    <w:p w14:paraId="1C8E352E"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23E99067" w14:textId="74F600EB"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 xml:space="preserve">Anne-Marie </w:t>
      </w:r>
      <w:proofErr w:type="spellStart"/>
      <w:r w:rsidRPr="00B90F72">
        <w:rPr>
          <w:rFonts w:ascii="Helvetica" w:eastAsiaTheme="minorEastAsia" w:hAnsi="Helvetica" w:cs="Times New Roman"/>
          <w:color w:val="000000"/>
          <w:sz w:val="18"/>
          <w:szCs w:val="18"/>
        </w:rPr>
        <w:t>Argile</w:t>
      </w:r>
      <w:proofErr w:type="spellEnd"/>
      <w:r w:rsidRPr="00B90F72">
        <w:rPr>
          <w:rFonts w:ascii="Helvetica" w:eastAsiaTheme="minorEastAsia" w:hAnsi="Helvetica" w:cs="Times New Roman"/>
          <w:color w:val="000000"/>
          <w:sz w:val="18"/>
          <w:szCs w:val="18"/>
        </w:rPr>
        <w:t xml:space="preserve"> (2025). </w:t>
      </w:r>
      <w:r w:rsidRPr="00B90F72">
        <w:rPr>
          <w:rFonts w:ascii="Helvetica-Oblique" w:eastAsiaTheme="minorEastAsia" w:hAnsi="Helvetica-Oblique" w:cs="Times New Roman"/>
          <w:i/>
          <w:iCs/>
          <w:color w:val="000000"/>
          <w:sz w:val="18"/>
          <w:szCs w:val="18"/>
        </w:rPr>
        <w:t>Early years workforce crisis demands urgent action before further childcare expansion - NDNA</w:t>
      </w:r>
      <w:r w:rsidRPr="00B90F72">
        <w:rPr>
          <w:rFonts w:ascii="Helvetica" w:eastAsiaTheme="minorEastAsia" w:hAnsi="Helvetica" w:cs="Times New Roman"/>
          <w:color w:val="000000"/>
          <w:sz w:val="18"/>
          <w:szCs w:val="18"/>
        </w:rPr>
        <w:t>. [online] NDNA. Available at: </w:t>
      </w:r>
      <w:hyperlink r:id="rId8" w:history="1">
        <w:r w:rsidRPr="00B90F72">
          <w:rPr>
            <w:rFonts w:ascii="Helvetica" w:eastAsiaTheme="minorEastAsia" w:hAnsi="Helvetica" w:cs="Times New Roman"/>
            <w:color w:val="0000FF"/>
            <w:sz w:val="18"/>
            <w:szCs w:val="18"/>
            <w:u w:val="single"/>
          </w:rPr>
          <w:t>https://ndna.org.uk/early-years-workforce-crisis-demands-urgent-action-before-further-childcare-expansion/</w:t>
        </w:r>
      </w:hyperlink>
      <w:r w:rsidRPr="00B90F72">
        <w:rPr>
          <w:rFonts w:ascii="Helvetica" w:eastAsiaTheme="minorEastAsia" w:hAnsi="Helvetica" w:cs="Times New Roman"/>
          <w:color w:val="000000"/>
          <w:sz w:val="18"/>
          <w:szCs w:val="18"/>
        </w:rPr>
        <w:t>.</w:t>
      </w:r>
    </w:p>
    <w:p w14:paraId="6BC80F0B"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52557690" w14:textId="4A745405"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Bolaños, R. (2016). </w:t>
      </w:r>
      <w:r w:rsidRPr="00B90F72">
        <w:rPr>
          <w:rFonts w:ascii="Helvetica-Oblique" w:eastAsiaTheme="minorEastAsia" w:hAnsi="Helvetica-Oblique" w:cs="Times New Roman"/>
          <w:i/>
          <w:iCs/>
          <w:color w:val="000000"/>
          <w:sz w:val="18"/>
          <w:szCs w:val="18"/>
        </w:rPr>
        <w:t xml:space="preserve">Catherine Marshall_ Gretchen B. </w:t>
      </w:r>
      <w:proofErr w:type="spellStart"/>
      <w:r w:rsidRPr="00B90F72">
        <w:rPr>
          <w:rFonts w:ascii="Helvetica-Oblique" w:eastAsiaTheme="minorEastAsia" w:hAnsi="Helvetica-Oblique" w:cs="Times New Roman"/>
          <w:i/>
          <w:iCs/>
          <w:color w:val="000000"/>
          <w:sz w:val="18"/>
          <w:szCs w:val="18"/>
        </w:rPr>
        <w:t>Rossman</w:t>
      </w:r>
      <w:proofErr w:type="spellEnd"/>
      <w:r w:rsidRPr="00B90F72">
        <w:rPr>
          <w:rFonts w:ascii="Helvetica-Oblique" w:eastAsiaTheme="minorEastAsia" w:hAnsi="Helvetica-Oblique" w:cs="Times New Roman"/>
          <w:i/>
          <w:iCs/>
          <w:color w:val="000000"/>
          <w:sz w:val="18"/>
          <w:szCs w:val="18"/>
        </w:rPr>
        <w:t xml:space="preserve"> - Designing Qualitative Research-SAGE Publications, Inc. (2016)</w:t>
      </w:r>
      <w:r w:rsidRPr="00B90F72">
        <w:rPr>
          <w:rFonts w:ascii="Helvetica" w:eastAsiaTheme="minorEastAsia" w:hAnsi="Helvetica" w:cs="Times New Roman"/>
          <w:color w:val="000000"/>
          <w:sz w:val="18"/>
          <w:szCs w:val="18"/>
        </w:rPr>
        <w:t xml:space="preserve">. [online] </w:t>
      </w:r>
      <w:proofErr w:type="spellStart"/>
      <w:r w:rsidRPr="00B90F72">
        <w:rPr>
          <w:rFonts w:ascii="Helvetica" w:eastAsiaTheme="minorEastAsia" w:hAnsi="Helvetica" w:cs="Times New Roman"/>
          <w:color w:val="000000"/>
          <w:sz w:val="18"/>
          <w:szCs w:val="18"/>
        </w:rPr>
        <w:t>Scribd</w:t>
      </w:r>
      <w:proofErr w:type="spellEnd"/>
      <w:r w:rsidRPr="00B90F72">
        <w:rPr>
          <w:rFonts w:ascii="Helvetica" w:eastAsiaTheme="minorEastAsia" w:hAnsi="Helvetica" w:cs="Times New Roman"/>
          <w:color w:val="000000"/>
          <w:sz w:val="18"/>
          <w:szCs w:val="18"/>
        </w:rPr>
        <w:t>. Available at: </w:t>
      </w:r>
      <w:hyperlink r:id="rId9" w:anchor="page=6" w:history="1">
        <w:r w:rsidRPr="00B90F72">
          <w:rPr>
            <w:rFonts w:ascii="Helvetica" w:eastAsiaTheme="minorEastAsia" w:hAnsi="Helvetica" w:cs="Times New Roman"/>
            <w:color w:val="0000FF"/>
            <w:sz w:val="18"/>
            <w:szCs w:val="18"/>
            <w:u w:val="single"/>
          </w:rPr>
          <w:t>https://www.scribd.com/document/782040717/Catherine-Marshall-Gretchen-B-Rossman-Designing-Qualitative-Research-SAGE-Publications-Inc-2016#page=6</w:t>
        </w:r>
      </w:hyperlink>
      <w:r w:rsidRPr="00B90F72">
        <w:rPr>
          <w:rFonts w:ascii="Helvetica" w:eastAsiaTheme="minorEastAsia" w:hAnsi="Helvetica" w:cs="Times New Roman"/>
          <w:color w:val="000000"/>
          <w:sz w:val="18"/>
          <w:szCs w:val="18"/>
        </w:rPr>
        <w:t> [Accessed 28 Feb. 2026].</w:t>
      </w:r>
    </w:p>
    <w:p w14:paraId="4D6859A9"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33B26687" w14:textId="169AD84A"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Cowley, S. (2021). Valuing the early years workforce. </w:t>
      </w:r>
      <w:r w:rsidRPr="00B90F72">
        <w:rPr>
          <w:rFonts w:ascii="Helvetica-Oblique" w:eastAsiaTheme="minorEastAsia" w:hAnsi="Helvetica-Oblique" w:cs="Times New Roman"/>
          <w:i/>
          <w:iCs/>
          <w:color w:val="000000"/>
          <w:sz w:val="18"/>
          <w:szCs w:val="18"/>
        </w:rPr>
        <w:t>Early Years Educator</w:t>
      </w:r>
      <w:r w:rsidRPr="00B90F72">
        <w:rPr>
          <w:rFonts w:ascii="Helvetica" w:eastAsiaTheme="minorEastAsia" w:hAnsi="Helvetica" w:cs="Times New Roman"/>
          <w:color w:val="000000"/>
          <w:sz w:val="18"/>
          <w:szCs w:val="18"/>
        </w:rPr>
        <w:t xml:space="preserve">, 23(3), pp.14–16. </w:t>
      </w:r>
      <w:proofErr w:type="spellStart"/>
      <w:r w:rsidRPr="00B90F72">
        <w:rPr>
          <w:rFonts w:ascii="Helvetica" w:eastAsiaTheme="minorEastAsia" w:hAnsi="Helvetica" w:cs="Times New Roman"/>
          <w:color w:val="000000"/>
          <w:sz w:val="18"/>
          <w:szCs w:val="18"/>
        </w:rPr>
        <w:t>doi:</w:t>
      </w:r>
      <w:hyperlink r:id="rId10"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://doi.org/10.12968/eyed.2021.23.3.14</w:t>
        </w:r>
      </w:hyperlink>
      <w:r w:rsidRPr="00B90F72">
        <w:rPr>
          <w:rFonts w:ascii="Helvetica" w:eastAsiaTheme="minorEastAsia" w:hAnsi="Helvetica" w:cs="Times New Roman"/>
          <w:color w:val="000000"/>
          <w:sz w:val="18"/>
          <w:szCs w:val="18"/>
        </w:rPr>
        <w:t>.</w:t>
      </w:r>
    </w:p>
    <w:p w14:paraId="5BDD371A"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5E141851" w14:textId="37448CE0"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proofErr w:type="spellStart"/>
      <w:r w:rsidRPr="00B90F72">
        <w:rPr>
          <w:rFonts w:ascii="Helvetica" w:eastAsiaTheme="minorEastAsia" w:hAnsi="Helvetica" w:cs="Times New Roman"/>
          <w:color w:val="000000"/>
          <w:sz w:val="18"/>
          <w:szCs w:val="18"/>
        </w:rPr>
        <w:t>Cumming</w:t>
      </w:r>
      <w:proofErr w:type="spellEnd"/>
      <w:r w:rsidRPr="00B90F72">
        <w:rPr>
          <w:rFonts w:ascii="Helvetica" w:eastAsiaTheme="minorEastAsia" w:hAnsi="Helvetica" w:cs="Times New Roman"/>
          <w:color w:val="000000"/>
          <w:sz w:val="18"/>
          <w:szCs w:val="18"/>
        </w:rPr>
        <w:t>, T., Wong, S. and Logan, H. (2020). Early childhood educators’ well-being, work environments and ‘quality’: Possibilities for changing policy and practice. </w:t>
      </w:r>
      <w:r w:rsidRPr="00B90F72">
        <w:rPr>
          <w:rFonts w:ascii="Helvetica-Oblique" w:eastAsiaTheme="minorEastAsia" w:hAnsi="Helvetica-Oblique" w:cs="Times New Roman"/>
          <w:i/>
          <w:iCs/>
          <w:color w:val="000000"/>
          <w:sz w:val="18"/>
          <w:szCs w:val="18"/>
        </w:rPr>
        <w:t>Australasian Journal of Early Childhood</w:t>
      </w:r>
      <w:r w:rsidRPr="00B90F72">
        <w:rPr>
          <w:rFonts w:ascii="Helvetica" w:eastAsiaTheme="minorEastAsia" w:hAnsi="Helvetica" w:cs="Times New Roman"/>
          <w:color w:val="000000"/>
          <w:sz w:val="18"/>
          <w:szCs w:val="18"/>
        </w:rPr>
        <w:t xml:space="preserve">, 46(1). </w:t>
      </w:r>
      <w:proofErr w:type="spellStart"/>
      <w:r w:rsidRPr="00B90F72">
        <w:rPr>
          <w:rFonts w:ascii="Helvetica" w:eastAsiaTheme="minorEastAsia" w:hAnsi="Helvetica" w:cs="Times New Roman"/>
          <w:color w:val="000000"/>
          <w:sz w:val="18"/>
          <w:szCs w:val="18"/>
        </w:rPr>
        <w:t>doi:</w:t>
      </w:r>
      <w:hyperlink r:id="rId11"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://doi.org/10.1177/1836939120979064</w:t>
        </w:r>
      </w:hyperlink>
      <w:r w:rsidRPr="00B90F72">
        <w:rPr>
          <w:rFonts w:ascii="Helvetica" w:eastAsiaTheme="minorEastAsia" w:hAnsi="Helvetica" w:cs="Times New Roman"/>
          <w:color w:val="000000"/>
          <w:sz w:val="18"/>
          <w:szCs w:val="18"/>
        </w:rPr>
        <w:t>.</w:t>
      </w:r>
    </w:p>
    <w:p w14:paraId="6C0B2390"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43F5BC02" w14:textId="5097D675"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Delve (2022). </w:t>
      </w:r>
      <w:r w:rsidRPr="00B90F72">
        <w:rPr>
          <w:rFonts w:ascii="Helvetica-Oblique" w:eastAsiaTheme="minorEastAsia" w:hAnsi="Helvetica-Oblique" w:cs="Times New Roman"/>
          <w:i/>
          <w:iCs/>
          <w:color w:val="000000"/>
          <w:sz w:val="18"/>
          <w:szCs w:val="18"/>
        </w:rPr>
        <w:t>Essential guide to coding qualitative data</w:t>
      </w:r>
      <w:r w:rsidRPr="00B90F72">
        <w:rPr>
          <w:rFonts w:ascii="Helvetica" w:eastAsiaTheme="minorEastAsia" w:hAnsi="Helvetica" w:cs="Times New Roman"/>
          <w:color w:val="000000"/>
          <w:sz w:val="18"/>
          <w:szCs w:val="18"/>
        </w:rPr>
        <w:t>. [online] Delve. Available at: </w:t>
      </w:r>
      <w:hyperlink r:id="rId12" w:history="1">
        <w:r w:rsidRPr="00B90F72">
          <w:rPr>
            <w:rFonts w:ascii="Helvetica" w:eastAsiaTheme="minorEastAsia" w:hAnsi="Helvetica" w:cs="Times New Roman"/>
            <w:color w:val="0000FF"/>
            <w:sz w:val="18"/>
            <w:szCs w:val="18"/>
            <w:u w:val="single"/>
          </w:rPr>
          <w:t>https://delvetool.com/guide</w:t>
        </w:r>
      </w:hyperlink>
      <w:r w:rsidRPr="00B90F72">
        <w:rPr>
          <w:rFonts w:ascii="Helvetica" w:eastAsiaTheme="minorEastAsia" w:hAnsi="Helvetica" w:cs="Times New Roman"/>
          <w:color w:val="000000"/>
          <w:sz w:val="18"/>
          <w:szCs w:val="18"/>
        </w:rPr>
        <w:t>.</w:t>
      </w:r>
    </w:p>
    <w:p w14:paraId="40EDB357"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453A77BC" w14:textId="02603C15"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Early Years Wales. (2026). </w:t>
      </w:r>
      <w:r w:rsidRPr="00B90F72">
        <w:rPr>
          <w:rFonts w:ascii="Helvetica-Oblique" w:eastAsiaTheme="minorEastAsia" w:hAnsi="Helvetica-Oblique" w:cs="Times New Roman"/>
          <w:i/>
          <w:iCs/>
          <w:color w:val="000000"/>
          <w:sz w:val="18"/>
          <w:szCs w:val="18"/>
        </w:rPr>
        <w:t>Early Years Wales Well-being and Perceptions Survey 2025</w:t>
      </w:r>
      <w:r w:rsidRPr="00B90F72">
        <w:rPr>
          <w:rFonts w:ascii="Helvetica" w:eastAsiaTheme="minorEastAsia" w:hAnsi="Helvetica" w:cs="Times New Roman"/>
          <w:color w:val="000000"/>
          <w:sz w:val="18"/>
          <w:szCs w:val="18"/>
        </w:rPr>
        <w:t>. [online] Available at: </w:t>
      </w:r>
      <w:hyperlink r:id="rId13" w:history="1">
        <w:r w:rsidRPr="00B90F72">
          <w:rPr>
            <w:rFonts w:ascii="Helvetica" w:eastAsiaTheme="minorEastAsia" w:hAnsi="Helvetica" w:cs="Times New Roman"/>
            <w:color w:val="0000FF"/>
            <w:sz w:val="18"/>
            <w:szCs w:val="18"/>
            <w:u w:val="single"/>
          </w:rPr>
          <w:t>https://www.earlyyears.wales/en/news/early-years-wales-well-being-and-perceptions-survey-2025</w:t>
        </w:r>
      </w:hyperlink>
      <w:r w:rsidRPr="00B90F72">
        <w:rPr>
          <w:rFonts w:ascii="Helvetica" w:eastAsiaTheme="minorEastAsia" w:hAnsi="Helvetica" w:cs="Times New Roman"/>
          <w:color w:val="000000"/>
          <w:sz w:val="18"/>
          <w:szCs w:val="18"/>
        </w:rPr>
        <w:t> [Accessed 28 Feb. 2026].</w:t>
      </w:r>
    </w:p>
    <w:p w14:paraId="51B7CC4D"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6F104D6C" w14:textId="7A05F5E8"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Finlay, L. (2002). ‘Outing’ the Researcher: The Provenance, Process, and Practice of Reflexivity. </w:t>
      </w:r>
      <w:r w:rsidRPr="00B90F72">
        <w:rPr>
          <w:rFonts w:ascii="Helvetica-Oblique" w:eastAsiaTheme="minorEastAsia" w:hAnsi="Helvetica-Oblique" w:cs="Times New Roman"/>
          <w:i/>
          <w:iCs/>
          <w:color w:val="000000"/>
          <w:sz w:val="18"/>
          <w:szCs w:val="18"/>
        </w:rPr>
        <w:t>Qualitative Health Research</w:t>
      </w:r>
      <w:r w:rsidRPr="00B90F72">
        <w:rPr>
          <w:rFonts w:ascii="Helvetica" w:eastAsiaTheme="minorEastAsia" w:hAnsi="Helvetica" w:cs="Times New Roman"/>
          <w:color w:val="000000"/>
          <w:sz w:val="18"/>
          <w:szCs w:val="18"/>
        </w:rPr>
        <w:t xml:space="preserve">, [online] 12(4), pp.531–545. </w:t>
      </w:r>
      <w:proofErr w:type="spellStart"/>
      <w:r w:rsidRPr="00B90F72">
        <w:rPr>
          <w:rFonts w:ascii="Helvetica" w:eastAsiaTheme="minorEastAsia" w:hAnsi="Helvetica" w:cs="Times New Roman"/>
          <w:color w:val="000000"/>
          <w:sz w:val="18"/>
          <w:szCs w:val="18"/>
        </w:rPr>
        <w:t>doi:</w:t>
      </w:r>
      <w:hyperlink r:id="rId14"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://doi.org/10.1177/104973202129120052</w:t>
        </w:r>
      </w:hyperlink>
      <w:r w:rsidRPr="00B90F72">
        <w:rPr>
          <w:rFonts w:ascii="Helvetica" w:eastAsiaTheme="minorEastAsia" w:hAnsi="Helvetica" w:cs="Times New Roman"/>
          <w:color w:val="000000"/>
          <w:sz w:val="18"/>
          <w:szCs w:val="18"/>
        </w:rPr>
        <w:t>.</w:t>
      </w:r>
    </w:p>
    <w:p w14:paraId="2276CB49"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5F77182D" w14:textId="13258BF4"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Fisher, P. (2012). Ethics in Qualitative Research: ‘Vulnerability’, Citizenship and Human Rights. </w:t>
      </w:r>
      <w:r w:rsidRPr="00B90F72">
        <w:rPr>
          <w:rFonts w:ascii="Helvetica-Oblique" w:eastAsiaTheme="minorEastAsia" w:hAnsi="Helvetica-Oblique" w:cs="Times New Roman"/>
          <w:i/>
          <w:iCs/>
          <w:color w:val="000000"/>
          <w:sz w:val="18"/>
          <w:szCs w:val="18"/>
        </w:rPr>
        <w:t>Ethics and Social Welfare</w:t>
      </w:r>
      <w:r w:rsidRPr="00B90F72">
        <w:rPr>
          <w:rFonts w:ascii="Helvetica" w:eastAsiaTheme="minorEastAsia" w:hAnsi="Helvetica" w:cs="Times New Roman"/>
          <w:color w:val="000000"/>
          <w:sz w:val="18"/>
          <w:szCs w:val="18"/>
        </w:rPr>
        <w:t xml:space="preserve">, 6(1), pp.2–17. </w:t>
      </w:r>
      <w:proofErr w:type="spellStart"/>
      <w:r w:rsidRPr="00B90F72">
        <w:rPr>
          <w:rFonts w:ascii="Helvetica" w:eastAsiaTheme="minorEastAsia" w:hAnsi="Helvetica" w:cs="Times New Roman"/>
          <w:color w:val="000000"/>
          <w:sz w:val="18"/>
          <w:szCs w:val="18"/>
        </w:rPr>
        <w:t>doi:</w:t>
      </w:r>
      <w:hyperlink r:id="rId15"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://doi.org/10.1080/17496535.2011.591811</w:t>
        </w:r>
      </w:hyperlink>
      <w:r w:rsidRPr="00B90F72">
        <w:rPr>
          <w:rFonts w:ascii="Helvetica" w:eastAsiaTheme="minorEastAsia" w:hAnsi="Helvetica" w:cs="Times New Roman"/>
          <w:color w:val="000000"/>
          <w:sz w:val="18"/>
          <w:szCs w:val="18"/>
        </w:rPr>
        <w:t>.</w:t>
      </w:r>
    </w:p>
    <w:p w14:paraId="307DFB83"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76E75E6C" w14:textId="42617979"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proofErr w:type="spellStart"/>
      <w:r w:rsidRPr="00B90F72">
        <w:rPr>
          <w:rFonts w:ascii="Helvetica" w:eastAsiaTheme="minorEastAsia" w:hAnsi="Helvetica" w:cs="Times New Roman"/>
          <w:color w:val="000000"/>
          <w:sz w:val="18"/>
          <w:szCs w:val="18"/>
        </w:rPr>
        <w:t>Solvason</w:t>
      </w:r>
      <w:proofErr w:type="spellEnd"/>
      <w:r w:rsidRPr="00B90F72">
        <w:rPr>
          <w:rFonts w:ascii="Helvetica" w:eastAsiaTheme="minorEastAsia" w:hAnsi="Helvetica" w:cs="Times New Roman"/>
          <w:color w:val="000000"/>
          <w:sz w:val="18"/>
          <w:szCs w:val="18"/>
        </w:rPr>
        <w:t xml:space="preserve">, C., </w:t>
      </w:r>
      <w:proofErr w:type="spellStart"/>
      <w:r w:rsidRPr="00B90F72">
        <w:rPr>
          <w:rFonts w:ascii="Helvetica" w:eastAsiaTheme="minorEastAsia" w:hAnsi="Helvetica" w:cs="Times New Roman"/>
          <w:color w:val="000000"/>
          <w:sz w:val="18"/>
          <w:szCs w:val="18"/>
        </w:rPr>
        <w:t>Sutton-Tsang</w:t>
      </w:r>
      <w:proofErr w:type="spellEnd"/>
      <w:r w:rsidRPr="00B90F72">
        <w:rPr>
          <w:rFonts w:ascii="Helvetica" w:eastAsiaTheme="minorEastAsia" w:hAnsi="Helvetica" w:cs="Times New Roman"/>
          <w:color w:val="000000"/>
          <w:sz w:val="18"/>
          <w:szCs w:val="18"/>
        </w:rPr>
        <w:t xml:space="preserve">, S. and </w:t>
      </w:r>
      <w:proofErr w:type="spellStart"/>
      <w:r w:rsidRPr="00B90F72">
        <w:rPr>
          <w:rFonts w:ascii="Helvetica" w:eastAsiaTheme="minorEastAsia" w:hAnsi="Helvetica" w:cs="Times New Roman"/>
          <w:color w:val="000000"/>
          <w:sz w:val="18"/>
          <w:szCs w:val="18"/>
        </w:rPr>
        <w:t>Stobbs</w:t>
      </w:r>
      <w:proofErr w:type="spellEnd"/>
      <w:r w:rsidRPr="00B90F72">
        <w:rPr>
          <w:rFonts w:ascii="Helvetica" w:eastAsiaTheme="minorEastAsia" w:hAnsi="Helvetica" w:cs="Times New Roman"/>
          <w:color w:val="000000"/>
          <w:sz w:val="18"/>
          <w:szCs w:val="18"/>
        </w:rPr>
        <w:t>, N. (2025). Heading for burnout: The early years workforce in England post COVID-19. </w:t>
      </w:r>
      <w:r w:rsidRPr="00B90F72">
        <w:rPr>
          <w:rFonts w:ascii="Helvetica-Oblique" w:eastAsiaTheme="minorEastAsia" w:hAnsi="Helvetica-Oblique" w:cs="Times New Roman"/>
          <w:i/>
          <w:iCs/>
          <w:color w:val="000000"/>
          <w:sz w:val="18"/>
          <w:szCs w:val="18"/>
        </w:rPr>
        <w:t>Journal of Early Childhood Research</w:t>
      </w:r>
      <w:r w:rsidRPr="00B90F72">
        <w:rPr>
          <w:rFonts w:ascii="Helvetica" w:eastAsiaTheme="minorEastAsia" w:hAnsi="Helvetica" w:cs="Times New Roman"/>
          <w:color w:val="000000"/>
          <w:sz w:val="18"/>
          <w:szCs w:val="18"/>
        </w:rPr>
        <w:t xml:space="preserve">. </w:t>
      </w:r>
      <w:proofErr w:type="spellStart"/>
      <w:r w:rsidRPr="00B90F72">
        <w:rPr>
          <w:rFonts w:ascii="Helvetica" w:eastAsiaTheme="minorEastAsia" w:hAnsi="Helvetica" w:cs="Times New Roman"/>
          <w:color w:val="000000"/>
          <w:sz w:val="18"/>
          <w:szCs w:val="18"/>
        </w:rPr>
        <w:t>doi:</w:t>
      </w:r>
      <w:hyperlink r:id="rId16"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://doi.org/10.1177/1476718x241308402</w:t>
        </w:r>
      </w:hyperlink>
      <w:r w:rsidRPr="00B90F72">
        <w:rPr>
          <w:rFonts w:ascii="Helvetica" w:eastAsiaTheme="minorEastAsia" w:hAnsi="Helvetica" w:cs="Times New Roman"/>
          <w:color w:val="000000"/>
          <w:sz w:val="18"/>
          <w:szCs w:val="18"/>
        </w:rPr>
        <w:t>.</w:t>
      </w:r>
    </w:p>
    <w:p w14:paraId="21065F6A"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251E3A8A" w14:textId="6C26A149"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The COVID-19 pandemic and the early years workforce Staffing decisions in an uncertain environment. (2021). Available at: </w:t>
      </w:r>
      <w:hyperlink r:id="rId17" w:history="1">
        <w:r w:rsidRPr="00B90F72">
          <w:rPr>
            <w:rFonts w:ascii="Helvetica" w:eastAsiaTheme="minorEastAsia" w:hAnsi="Helvetica" w:cs="Times New Roman"/>
            <w:color w:val="0000FF"/>
            <w:sz w:val="18"/>
            <w:szCs w:val="18"/>
            <w:u w:val="single"/>
          </w:rPr>
          <w:t>https://epi.org.uk/wp-content/uploads/2021/07/EPI-NDNA-july2021-report.pdf</w:t>
        </w:r>
      </w:hyperlink>
      <w:r w:rsidRPr="00B90F72">
        <w:rPr>
          <w:rFonts w:ascii="Helvetica" w:eastAsiaTheme="minorEastAsia" w:hAnsi="Helvetica" w:cs="Times New Roman"/>
          <w:color w:val="000000"/>
          <w:sz w:val="18"/>
          <w:szCs w:val="18"/>
        </w:rPr>
        <w:t>.</w:t>
      </w:r>
    </w:p>
    <w:p w14:paraId="36604703" w14:textId="77777777" w:rsidR="00B90F72" w:rsidRDefault="00B90F72" w:rsidP="00B90F72">
      <w:pPr>
        <w:pStyle w:val="ListParagraph"/>
        <w:spacing w:after="180" w:line="240" w:lineRule="auto"/>
        <w:rPr>
          <w:rFonts w:ascii="Helvetica" w:eastAsiaTheme="minorEastAsia" w:hAnsi="Helvetica" w:cs="Times New Roman"/>
          <w:color w:val="000000"/>
          <w:sz w:val="18"/>
          <w:szCs w:val="18"/>
        </w:rPr>
      </w:pPr>
    </w:p>
    <w:p w14:paraId="13B889CA" w14:textId="0C871C95" w:rsidR="00B90F72" w:rsidRPr="00B90F72" w:rsidRDefault="00B90F72" w:rsidP="00B90F72">
      <w:pPr>
        <w:pStyle w:val="ListParagraph"/>
        <w:spacing w:after="180" w:line="240" w:lineRule="auto"/>
        <w:rPr>
          <w:rFonts w:ascii="Helvetica" w:eastAsiaTheme="minorEastAsia" w:hAnsi="Helvetica" w:cs="Times New Roman"/>
          <w:color w:val="000000"/>
          <w:sz w:val="18"/>
          <w:szCs w:val="18"/>
        </w:rPr>
      </w:pPr>
      <w:r w:rsidRPr="00B90F72">
        <w:rPr>
          <w:rFonts w:ascii="Helvetica" w:eastAsiaTheme="minorEastAsia" w:hAnsi="Helvetica" w:cs="Times New Roman"/>
          <w:color w:val="000000"/>
          <w:sz w:val="18"/>
          <w:szCs w:val="18"/>
        </w:rPr>
        <w:t>Tracy, S.J. (2010). Qualitative quality: Eight ‘big-tent’ Criteria for Excellent Qualitative Research. </w:t>
      </w:r>
      <w:r w:rsidRPr="00B90F72">
        <w:rPr>
          <w:rFonts w:ascii="Helvetica-Oblique" w:eastAsiaTheme="minorEastAsia" w:hAnsi="Helvetica-Oblique" w:cs="Times New Roman"/>
          <w:i/>
          <w:iCs/>
          <w:color w:val="000000"/>
          <w:sz w:val="18"/>
          <w:szCs w:val="18"/>
        </w:rPr>
        <w:t>Qualitative Inquiry</w:t>
      </w:r>
      <w:r w:rsidRPr="00B90F72">
        <w:rPr>
          <w:rFonts w:ascii="Helvetica" w:eastAsiaTheme="minorEastAsia" w:hAnsi="Helvetica" w:cs="Times New Roman"/>
          <w:color w:val="000000"/>
          <w:sz w:val="18"/>
          <w:szCs w:val="18"/>
        </w:rPr>
        <w:t xml:space="preserve">, [online] 16(10), pp.837–851. </w:t>
      </w:r>
      <w:proofErr w:type="spellStart"/>
      <w:r w:rsidRPr="00B90F72">
        <w:rPr>
          <w:rFonts w:ascii="Helvetica" w:eastAsiaTheme="minorEastAsia" w:hAnsi="Helvetica" w:cs="Times New Roman"/>
          <w:color w:val="000000"/>
          <w:sz w:val="18"/>
          <w:szCs w:val="18"/>
        </w:rPr>
        <w:t>doi:</w:t>
      </w:r>
      <w:hyperlink r:id="rId18" w:history="1">
        <w:r w:rsidRPr="00B90F72">
          <w:rPr>
            <w:rFonts w:ascii="Helvetica" w:eastAsiaTheme="minorEastAsia" w:hAnsi="Helvetica" w:cs="Times New Roman"/>
            <w:color w:val="0000FF"/>
            <w:sz w:val="18"/>
            <w:szCs w:val="18"/>
            <w:u w:val="single"/>
          </w:rPr>
          <w:t>https</w:t>
        </w:r>
        <w:proofErr w:type="spellEnd"/>
        <w:r w:rsidRPr="00B90F72">
          <w:rPr>
            <w:rFonts w:ascii="Helvetica" w:eastAsiaTheme="minorEastAsia" w:hAnsi="Helvetica" w:cs="Times New Roman"/>
            <w:color w:val="0000FF"/>
            <w:sz w:val="18"/>
            <w:szCs w:val="18"/>
            <w:u w:val="single"/>
          </w:rPr>
          <w:t>://doi.org/10.1177/1077800410383121</w:t>
        </w:r>
      </w:hyperlink>
      <w:r w:rsidRPr="00B90F72">
        <w:rPr>
          <w:rFonts w:ascii="Helvetica" w:eastAsiaTheme="minorEastAsia" w:hAnsi="Helvetica" w:cs="Times New Roman"/>
          <w:color w:val="000000"/>
          <w:sz w:val="18"/>
          <w:szCs w:val="18"/>
        </w:rPr>
        <w:t>.</w:t>
      </w:r>
    </w:p>
    <w:p w14:paraId="6FF6A4CA" w14:textId="77777777" w:rsidR="00B90F72" w:rsidRDefault="00B90F72" w:rsidP="00B90F72">
      <w:pPr>
        <w:pBdr>
          <w:top w:val="nil"/>
          <w:left w:val="nil"/>
          <w:bottom w:val="nil"/>
          <w:right w:val="nil"/>
          <w:between w:val="nil"/>
        </w:pBdr>
      </w:pPr>
    </w:p>
    <w:p w14:paraId="00000056" w14:textId="77777777" w:rsidR="00511E8E" w:rsidRDefault="00E626F1">
      <w:pPr>
        <w:pBdr>
          <w:top w:val="nil"/>
          <w:left w:val="nil"/>
          <w:bottom w:val="nil"/>
          <w:right w:val="nil"/>
          <w:between w:val="nil"/>
        </w:pBdr>
      </w:pPr>
      <w:proofErr w:type="spellStart"/>
      <w:r>
        <w:t>Merita</w:t>
      </w:r>
      <w:proofErr w:type="spellEnd"/>
      <w:r>
        <w:t xml:space="preserve"> </w:t>
      </w:r>
      <w:proofErr w:type="spellStart"/>
      <w:r>
        <w:t>Shala</w:t>
      </w:r>
      <w:proofErr w:type="spellEnd"/>
      <w:r>
        <w:t>-”</w:t>
      </w:r>
      <w:r>
        <w:rPr>
          <w:i/>
          <w:iCs/>
        </w:rPr>
        <w:t xml:space="preserve">The impact of Preschool Social-Emotional Development on Academic Success of Elementary School Students”, </w:t>
      </w:r>
      <w:r>
        <w:t>Journal, Psychology, Vol. 4, No.11, November 13, 2013</w:t>
      </w:r>
    </w:p>
    <w:p w14:paraId="00000066" w14:textId="0223EC9C" w:rsidR="00511E8E" w:rsidRPr="007D21BA" w:rsidRDefault="00E626F1" w:rsidP="007D21BA">
      <w:pPr>
        <w:pBdr>
          <w:top w:val="nil"/>
          <w:left w:val="nil"/>
          <w:bottom w:val="nil"/>
          <w:right w:val="nil"/>
          <w:between w:val="nil"/>
        </w:pBdr>
      </w:pPr>
      <w:r>
        <w:t>Available at:</w:t>
      </w:r>
      <w:r>
        <w:rPr>
          <w:color w:val="000000"/>
        </w:rPr>
        <w:t xml:space="preserve"> </w:t>
      </w:r>
      <w:hyperlink r:id="rId19">
        <w:r>
          <w:rPr>
            <w:rFonts w:ascii="UICTFontTextStyleBody" w:eastAsia="UICTFontTextStyleBody" w:hAnsi="UICTFontTextStyleBody" w:cs="UICTFontTextStyleBody"/>
            <w:color w:val="0000FF"/>
            <w:sz w:val="26"/>
            <w:szCs w:val="26"/>
            <w:u w:val="single"/>
          </w:rPr>
          <w:t>https://www.scirp.org/reference/referencespapers?referenceid=1000755</w:t>
        </w:r>
      </w:hyperlink>
    </w:p>
    <w:p w14:paraId="00000069" w14:textId="77777777" w:rsidR="00511E8E" w:rsidRDefault="00511E8E">
      <w:pPr>
        <w:pBdr>
          <w:top w:val="nil"/>
          <w:left w:val="nil"/>
          <w:bottom w:val="nil"/>
          <w:right w:val="nil"/>
          <w:between w:val="nil"/>
        </w:pBdr>
        <w:spacing w:after="0" w:line="240" w:lineRule="auto"/>
        <w:ind w:left="720"/>
        <w:rPr>
          <w:rFonts w:ascii=".AppleSystemUIFont" w:eastAsia=".AppleSystemUIFont" w:hAnsi=".AppleSystemUIFont" w:cs=".AppleSystemUIFont"/>
          <w:color w:val="000000"/>
          <w:sz w:val="26"/>
          <w:szCs w:val="26"/>
        </w:rPr>
      </w:pPr>
    </w:p>
    <w:p w14:paraId="0000006A" w14:textId="77777777" w:rsidR="00511E8E" w:rsidRDefault="00E626F1">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r>
        <w:rPr>
          <w:rFonts w:ascii="UICTFontTextStyleBody" w:eastAsia="UICTFontTextStyleBody" w:hAnsi="UICTFontTextStyleBody" w:cs="UICTFontTextStyleBody"/>
          <w:color w:val="000000"/>
          <w:sz w:val="26"/>
          <w:szCs w:val="26"/>
        </w:rPr>
        <w:t xml:space="preserve">Hodgkins, A. </w:t>
      </w:r>
      <w:r>
        <w:rPr>
          <w:rFonts w:ascii="UICTFontTextStyleItalicBody" w:eastAsia="UICTFontTextStyleItalicBody" w:hAnsi="UICTFontTextStyleItalicBody" w:cs="UICTFontTextStyleItalicBody"/>
          <w:i/>
          <w:iCs/>
          <w:color w:val="000000"/>
          <w:sz w:val="26"/>
          <w:szCs w:val="26"/>
        </w:rPr>
        <w:t>et al.</w:t>
      </w:r>
      <w:r>
        <w:rPr>
          <w:rFonts w:ascii="UICTFontTextStyleBody" w:eastAsia="UICTFontTextStyleBody" w:hAnsi="UICTFontTextStyleBody" w:cs="UICTFontTextStyleBody"/>
          <w:color w:val="000000"/>
          <w:sz w:val="26"/>
          <w:szCs w:val="26"/>
        </w:rPr>
        <w:t xml:space="preserve">(2024) “‘We cry together every day’ - expressing complex emotion in research with early childhood practitioners,” </w:t>
      </w:r>
      <w:r>
        <w:rPr>
          <w:rFonts w:ascii="UICTFontTextStyleItalicBody" w:eastAsia="UICTFontTextStyleItalicBody" w:hAnsi="UICTFontTextStyleItalicBody" w:cs="UICTFontTextStyleItalicBody"/>
          <w:i/>
          <w:iCs/>
          <w:color w:val="000000"/>
          <w:sz w:val="26"/>
          <w:szCs w:val="26"/>
        </w:rPr>
        <w:t>Early years (London, England)</w:t>
      </w:r>
      <w:r>
        <w:rPr>
          <w:rFonts w:ascii="UICTFontTextStyleBody" w:eastAsia="UICTFontTextStyleBody" w:hAnsi="UICTFontTextStyleBody" w:cs="UICTFontTextStyleBody"/>
          <w:color w:val="000000"/>
          <w:sz w:val="26"/>
          <w:szCs w:val="26"/>
        </w:rPr>
        <w:t>, 44(3–4), pp. 903–917. Available at: </w:t>
      </w:r>
    </w:p>
    <w:p w14:paraId="0000006D" w14:textId="2691117D" w:rsidR="00511E8E" w:rsidRPr="00B90F72" w:rsidRDefault="00E626F1" w:rsidP="00B90F72">
      <w:pPr>
        <w:pBdr>
          <w:top w:val="nil"/>
          <w:left w:val="nil"/>
          <w:bottom w:val="nil"/>
          <w:right w:val="nil"/>
          <w:between w:val="nil"/>
        </w:pBdr>
        <w:spacing w:after="0" w:line="240" w:lineRule="auto"/>
        <w:rPr>
          <w:rFonts w:ascii="UICTFontTextStyleBody" w:eastAsia="UICTFontTextStyleBody" w:hAnsi="UICTFontTextStyleBody" w:cs="UICTFontTextStyleBody"/>
          <w:color w:val="000000"/>
          <w:sz w:val="26"/>
          <w:szCs w:val="26"/>
        </w:rPr>
      </w:pPr>
      <w:hyperlink r:id="rId20">
        <w:r>
          <w:rPr>
            <w:rFonts w:ascii="UICTFontTextStyleBody" w:eastAsia="UICTFontTextStyleBody" w:hAnsi="UICTFontTextStyleBody" w:cs="UICTFontTextStyleBody"/>
            <w:color w:val="0000FF"/>
            <w:sz w:val="26"/>
            <w:szCs w:val="26"/>
            <w:u w:val="single"/>
          </w:rPr>
          <w:t>https://doi.org10.1080/09575146.2023.2266587</w:t>
        </w:r>
      </w:hyperlink>
    </w:p>
    <w:p w14:paraId="0000006E" w14:textId="77777777" w:rsidR="00511E8E" w:rsidRDefault="00511E8E">
      <w:pPr>
        <w:pBdr>
          <w:top w:val="nil"/>
          <w:left w:val="nil"/>
          <w:bottom w:val="nil"/>
          <w:right w:val="nil"/>
          <w:between w:val="nil"/>
        </w:pBdr>
        <w:spacing w:after="0" w:line="240" w:lineRule="auto"/>
        <w:ind w:left="720"/>
        <w:rPr>
          <w:rFonts w:ascii=".AppleSystemUIFont" w:eastAsia=".AppleSystemUIFont" w:hAnsi=".AppleSystemUIFont" w:cs=".AppleSystemUIFont"/>
          <w:color w:val="000000"/>
          <w:sz w:val="26"/>
          <w:szCs w:val="26"/>
        </w:rPr>
      </w:pPr>
    </w:p>
    <w:p w14:paraId="0000006F" w14:textId="2E938204" w:rsidR="00511E8E" w:rsidRDefault="00E626F1">
      <w:pPr>
        <w:pBdr>
          <w:top w:val="nil"/>
          <w:left w:val="nil"/>
          <w:bottom w:val="nil"/>
          <w:right w:val="nil"/>
          <w:between w:val="nil"/>
        </w:pBdr>
        <w:spacing w:after="0" w:line="240" w:lineRule="auto"/>
        <w:rPr>
          <w:rFonts w:ascii="UICTFontTextStyleBody" w:eastAsia="UICTFontTextStyleBody" w:hAnsi="UICTFontTextStyleBody" w:cs="UICTFontTextStyleBody"/>
          <w:color w:val="000000"/>
          <w:sz w:val="26"/>
          <w:szCs w:val="26"/>
        </w:rPr>
      </w:pPr>
      <w:r>
        <w:rPr>
          <w:rFonts w:ascii="UICTFontTextStyleBody" w:eastAsia="UICTFontTextStyleBody" w:hAnsi="UICTFontTextStyleBody" w:cs="UICTFontTextStyleBody"/>
          <w:color w:val="000000"/>
          <w:sz w:val="26"/>
          <w:szCs w:val="26"/>
        </w:rPr>
        <w:t xml:space="preserve">Fairchild, N. and </w:t>
      </w:r>
      <w:proofErr w:type="spellStart"/>
      <w:r>
        <w:rPr>
          <w:rFonts w:ascii="UICTFontTextStyleBody" w:eastAsia="UICTFontTextStyleBody" w:hAnsi="UICTFontTextStyleBody" w:cs="UICTFontTextStyleBody"/>
          <w:color w:val="000000"/>
          <w:sz w:val="26"/>
          <w:szCs w:val="26"/>
        </w:rPr>
        <w:t>Mikuska</w:t>
      </w:r>
      <w:proofErr w:type="spellEnd"/>
      <w:r>
        <w:rPr>
          <w:rFonts w:ascii="UICTFontTextStyleBody" w:eastAsia="UICTFontTextStyleBody" w:hAnsi="UICTFontTextStyleBody" w:cs="UICTFontTextStyleBody"/>
          <w:color w:val="000000"/>
          <w:sz w:val="26"/>
          <w:szCs w:val="26"/>
        </w:rPr>
        <w:t xml:space="preserve">, E. (2021) “Emotional labor, ordinary affects, and the early childhood education and care worker,” </w:t>
      </w:r>
      <w:r>
        <w:rPr>
          <w:rFonts w:ascii="UICTFontTextStyleItalicBody" w:eastAsia="UICTFontTextStyleItalicBody" w:hAnsi="UICTFontTextStyleItalicBody" w:cs="UICTFontTextStyleItalicBody"/>
          <w:i/>
          <w:iCs/>
          <w:color w:val="000000"/>
          <w:sz w:val="26"/>
          <w:szCs w:val="26"/>
        </w:rPr>
        <w:t xml:space="preserve">Gender, work, and </w:t>
      </w:r>
      <w:proofErr w:type="spellStart"/>
      <w:r>
        <w:rPr>
          <w:rFonts w:ascii="UICTFontTextStyleItalicBody" w:eastAsia="UICTFontTextStyleItalicBody" w:hAnsi="UICTFontTextStyleItalicBody" w:cs="UICTFontTextStyleItalicBody"/>
          <w:i/>
          <w:iCs/>
          <w:color w:val="000000"/>
          <w:sz w:val="26"/>
          <w:szCs w:val="26"/>
        </w:rPr>
        <w:t>organization</w:t>
      </w:r>
      <w:proofErr w:type="spellEnd"/>
      <w:r>
        <w:rPr>
          <w:rFonts w:ascii="UICTFontTextStyleBody" w:eastAsia="UICTFontTextStyleBody" w:hAnsi="UICTFontTextStyleBody" w:cs="UICTFontTextStyleBody"/>
          <w:color w:val="000000"/>
          <w:sz w:val="26"/>
          <w:szCs w:val="26"/>
        </w:rPr>
        <w:t xml:space="preserve">, 28(3), pp. 1177–1190. Available at: </w:t>
      </w:r>
      <w:hyperlink r:id="rId21" w:history="1">
        <w:r w:rsidR="00721E71" w:rsidRPr="007C6FF3">
          <w:rPr>
            <w:rStyle w:val="Hyperlink"/>
            <w:rFonts w:ascii="UICTFontTextStyleBody" w:eastAsia="UICTFontTextStyleBody" w:hAnsi="UICTFontTextStyleBody" w:cs="UICTFontTextStyleBody"/>
            <w:sz w:val="26"/>
            <w:szCs w:val="26"/>
          </w:rPr>
          <w:t>https://doi.org/10.1111/gwao.12663</w:t>
        </w:r>
      </w:hyperlink>
    </w:p>
    <w:p w14:paraId="00000070" w14:textId="77777777" w:rsidR="00511E8E" w:rsidRDefault="00511E8E">
      <w:pPr>
        <w:pBdr>
          <w:top w:val="nil"/>
          <w:left w:val="nil"/>
          <w:bottom w:val="nil"/>
          <w:right w:val="nil"/>
          <w:between w:val="nil"/>
        </w:pBdr>
        <w:spacing w:after="0" w:line="240" w:lineRule="auto"/>
        <w:ind w:left="720"/>
        <w:rPr>
          <w:rFonts w:ascii=".AppleSystemUIFont" w:eastAsia=".AppleSystemUIFont" w:hAnsi=".AppleSystemUIFont" w:cs=".AppleSystemUIFont"/>
          <w:color w:val="000000"/>
          <w:sz w:val="26"/>
          <w:szCs w:val="26"/>
        </w:rPr>
      </w:pPr>
    </w:p>
    <w:p w14:paraId="00000071" w14:textId="77777777" w:rsidR="00511E8E" w:rsidRDefault="00E626F1">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r>
        <w:rPr>
          <w:rFonts w:ascii="UICTFontTextStyleBody" w:eastAsia="UICTFontTextStyleBody" w:hAnsi="UICTFontTextStyleBody" w:cs="UICTFontTextStyleBody"/>
          <w:color w:val="000000"/>
          <w:sz w:val="26"/>
          <w:szCs w:val="26"/>
        </w:rPr>
        <w:t xml:space="preserve">Jennings, P.A. and Greenberg, M.T. (2009) “The Prosocial Classroom: Teacher Social and Emotional Competence in Relation to Student and Classroom Outcomes,” </w:t>
      </w:r>
      <w:r>
        <w:rPr>
          <w:rFonts w:ascii="UICTFontTextStyleItalicBody" w:eastAsia="UICTFontTextStyleItalicBody" w:hAnsi="UICTFontTextStyleItalicBody" w:cs="UICTFontTextStyleItalicBody"/>
          <w:i/>
          <w:iCs/>
          <w:color w:val="000000"/>
          <w:sz w:val="26"/>
          <w:szCs w:val="26"/>
        </w:rPr>
        <w:t>Review of educational research</w:t>
      </w:r>
      <w:r>
        <w:rPr>
          <w:rFonts w:ascii="UICTFontTextStyleBody" w:eastAsia="UICTFontTextStyleBody" w:hAnsi="UICTFontTextStyleBody" w:cs="UICTFontTextStyleBody"/>
          <w:color w:val="000000"/>
          <w:sz w:val="26"/>
          <w:szCs w:val="26"/>
        </w:rPr>
        <w:t>, 79(1), pp. 491–525. Available at: </w:t>
      </w:r>
    </w:p>
    <w:p w14:paraId="00000072" w14:textId="77777777" w:rsidR="00511E8E" w:rsidRDefault="00E626F1">
      <w:pPr>
        <w:pBdr>
          <w:top w:val="nil"/>
          <w:left w:val="nil"/>
          <w:bottom w:val="nil"/>
          <w:right w:val="nil"/>
          <w:between w:val="nil"/>
        </w:pBdr>
        <w:spacing w:after="0" w:line="240" w:lineRule="auto"/>
        <w:rPr>
          <w:rFonts w:ascii="UICTFontTextStyleBody" w:eastAsia="UICTFontTextStyleBody" w:hAnsi="UICTFontTextStyleBody" w:cs="UICTFontTextStyleBody"/>
          <w:color w:val="000000"/>
          <w:sz w:val="26"/>
          <w:szCs w:val="26"/>
        </w:rPr>
      </w:pPr>
      <w:hyperlink r:id="rId22">
        <w:r>
          <w:rPr>
            <w:rFonts w:ascii="UICTFontTextStyleBody" w:eastAsia="UICTFontTextStyleBody" w:hAnsi="UICTFontTextStyleBody" w:cs="UICTFontTextStyleBody"/>
            <w:color w:val="0000FF"/>
            <w:sz w:val="26"/>
            <w:szCs w:val="26"/>
            <w:u w:val="single"/>
          </w:rPr>
          <w:t>https://doi.org/10.3102/0034654308325693</w:t>
        </w:r>
      </w:hyperlink>
    </w:p>
    <w:p w14:paraId="00000074" w14:textId="77777777" w:rsidR="00511E8E" w:rsidRDefault="00511E8E" w:rsidP="00B90F72">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p>
    <w:p w14:paraId="00000075" w14:textId="77777777" w:rsidR="00511E8E" w:rsidRDefault="00E626F1">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r>
        <w:rPr>
          <w:rFonts w:ascii="UICTFontTextStyleBody" w:eastAsia="UICTFontTextStyleBody" w:hAnsi="UICTFontTextStyleBody" w:cs="UICTFontTextStyleBody"/>
          <w:color w:val="000000"/>
          <w:sz w:val="26"/>
          <w:szCs w:val="26"/>
        </w:rPr>
        <w:t xml:space="preserve">Dos Santos, L.M. (2021) “The Relationship between Workforce Sustainability, Stress, and Career Decision: A Study of Kindergarten Teachers during the COVID-19 Pandemic,” </w:t>
      </w:r>
      <w:r>
        <w:rPr>
          <w:rFonts w:ascii="UICTFontTextStyleItalicBody" w:eastAsia="UICTFontTextStyleItalicBody" w:hAnsi="UICTFontTextStyleItalicBody" w:cs="UICTFontTextStyleItalicBody"/>
          <w:i/>
          <w:iCs/>
          <w:color w:val="000000"/>
          <w:sz w:val="26"/>
          <w:szCs w:val="26"/>
        </w:rPr>
        <w:t>Sustainability</w:t>
      </w:r>
      <w:r>
        <w:rPr>
          <w:rFonts w:ascii="UICTFontTextStyleBody" w:eastAsia="UICTFontTextStyleBody" w:hAnsi="UICTFontTextStyleBody" w:cs="UICTFontTextStyleBody"/>
          <w:color w:val="000000"/>
          <w:sz w:val="26"/>
          <w:szCs w:val="26"/>
        </w:rPr>
        <w:t xml:space="preserve">, 13(20), p. 11521. Available at: </w:t>
      </w:r>
      <w:hyperlink r:id="rId23">
        <w:r>
          <w:rPr>
            <w:rFonts w:ascii="UICTFontTextStyleBody" w:eastAsia="UICTFontTextStyleBody" w:hAnsi="UICTFontTextStyleBody" w:cs="UICTFontTextStyleBody"/>
            <w:color w:val="0000FF"/>
            <w:sz w:val="26"/>
            <w:szCs w:val="26"/>
            <w:u w:val="single"/>
          </w:rPr>
          <w:t>https://doi.org/10.3390/su132011521</w:t>
        </w:r>
      </w:hyperlink>
      <w:r>
        <w:rPr>
          <w:rFonts w:ascii="UICTFontTextStyleBody" w:eastAsia="UICTFontTextStyleBody" w:hAnsi="UICTFontTextStyleBody" w:cs="UICTFontTextStyleBody"/>
          <w:color w:val="000000"/>
          <w:sz w:val="26"/>
          <w:szCs w:val="26"/>
        </w:rPr>
        <w:t>.</w:t>
      </w:r>
    </w:p>
    <w:p w14:paraId="00000080" w14:textId="7A6E70D8" w:rsidR="00511E8E" w:rsidRDefault="00511E8E">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p>
    <w:p w14:paraId="03560CE5" w14:textId="77777777" w:rsidR="001D27F5" w:rsidRDefault="001D27F5">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p>
    <w:p w14:paraId="116918D6" w14:textId="77777777" w:rsidR="001D27F5" w:rsidRDefault="001D27F5">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p>
    <w:p w14:paraId="4B4B2E13" w14:textId="77777777" w:rsidR="001D27F5" w:rsidRDefault="001D27F5">
      <w:pPr>
        <w:pBdr>
          <w:top w:val="nil"/>
          <w:left w:val="nil"/>
          <w:bottom w:val="nil"/>
          <w:right w:val="nil"/>
          <w:between w:val="nil"/>
        </w:pBdr>
        <w:spacing w:after="0" w:line="240" w:lineRule="auto"/>
        <w:rPr>
          <w:rFonts w:ascii=".AppleSystemUIFont" w:eastAsia=".AppleSystemUIFont" w:hAnsi=".AppleSystemUIFont" w:cs=".AppleSystemUIFont"/>
          <w:color w:val="000000"/>
          <w:sz w:val="26"/>
          <w:szCs w:val="26"/>
        </w:rPr>
      </w:pPr>
    </w:p>
    <w:p w14:paraId="00000081" w14:textId="77777777" w:rsidR="00511E8E" w:rsidRDefault="00E626F1">
      <w:pPr>
        <w:rPr>
          <w:b/>
          <w:bCs/>
        </w:rPr>
      </w:pPr>
      <w:r>
        <w:rPr>
          <w:b/>
          <w:bCs/>
        </w:rPr>
        <w:t>7. Gantt chart</w:t>
      </w:r>
    </w:p>
    <w:p w14:paraId="00000082" w14:textId="77777777" w:rsidR="00511E8E" w:rsidRDefault="00E626F1">
      <w:pPr>
        <w:rPr>
          <w:b/>
          <w:bCs/>
        </w:rPr>
      </w:pPr>
      <w:hyperlink r:id="rId24">
        <w:r>
          <w:rPr>
            <w:color w:val="0563C1"/>
            <w:u w:val="single"/>
          </w:rPr>
          <w:t>https://orbecialina1986s-team.monday.com/boards/5091130967?dl_slug=orbecialina1986s-team&amp;share_id=E039F005-A8C8-4723-80B0-39BF7D13B9AD&amp;link_type=board</w:t>
        </w:r>
      </w:hyperlink>
    </w:p>
    <w:p w14:paraId="00000083" w14:textId="77777777" w:rsidR="00511E8E" w:rsidRDefault="00511E8E">
      <w:pPr>
        <w:rPr>
          <w:b/>
          <w:bCs/>
        </w:rPr>
      </w:pPr>
    </w:p>
    <w:p w14:paraId="00000084" w14:textId="77777777" w:rsidR="00511E8E" w:rsidRDefault="00511E8E">
      <w:pPr>
        <w:rPr>
          <w:b/>
          <w:bCs/>
        </w:rPr>
      </w:pPr>
    </w:p>
    <w:p w14:paraId="00000085" w14:textId="77777777" w:rsidR="00511E8E" w:rsidRDefault="00511E8E">
      <w:pPr>
        <w:rPr>
          <w:b/>
          <w:bCs/>
        </w:rPr>
      </w:pPr>
    </w:p>
    <w:sectPr w:rsidR="00511E8E">
      <w:headerReference w:type="default" r:id="rId2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2A6ED" w14:textId="77777777" w:rsidR="00E626F1" w:rsidRDefault="00E626F1">
      <w:pPr>
        <w:spacing w:after="0" w:line="240" w:lineRule="auto"/>
      </w:pPr>
      <w:r>
        <w:separator/>
      </w:r>
    </w:p>
  </w:endnote>
  <w:endnote w:type="continuationSeparator" w:id="0">
    <w:p w14:paraId="4E72C358" w14:textId="77777777" w:rsidR="00E626F1" w:rsidRDefault="00E62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20B0604020202020204"/>
    <w:charset w:val="00"/>
    <w:family w:val="roman"/>
    <w:pitch w:val="default"/>
  </w:font>
  <w:font w:name="UICTFontTextStyleBody">
    <w:altName w:val="Cambria"/>
    <w:panose1 w:val="020B0604020202020204"/>
    <w:charset w:val="00"/>
    <w:family w:val="auto"/>
    <w:pitch w:val="default"/>
  </w:font>
  <w:font w:name=".AppleSystemUIFont">
    <w:altName w:val="Cambria"/>
    <w:panose1 w:val="020B0604020202020204"/>
    <w:charset w:val="00"/>
    <w:family w:val="auto"/>
    <w:pitch w:val="default"/>
  </w:font>
  <w:font w:name="UICTFontTextStyleItalicBody">
    <w:altName w:val="Cambria"/>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1580E" w14:textId="77777777" w:rsidR="00E626F1" w:rsidRDefault="00E626F1">
      <w:pPr>
        <w:spacing w:after="0" w:line="240" w:lineRule="auto"/>
      </w:pPr>
      <w:r>
        <w:separator/>
      </w:r>
    </w:p>
  </w:footnote>
  <w:footnote w:type="continuationSeparator" w:id="0">
    <w:p w14:paraId="22E68051" w14:textId="77777777" w:rsidR="00E626F1" w:rsidRDefault="00E62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6" w14:textId="22A52392" w:rsidR="00511E8E" w:rsidRDefault="00E626F1">
    <w:pPr>
      <w:jc w:val="right"/>
    </w:pPr>
    <w:r>
      <w:fldChar w:fldCharType="begin"/>
    </w:r>
    <w:r>
      <w:instrText>PAGE</w:instrText>
    </w:r>
    <w:r>
      <w:fldChar w:fldCharType="separate"/>
    </w:r>
    <w:r w:rsidR="00031678">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6E8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9CC0212"/>
    <w:multiLevelType w:val="multilevel"/>
    <w:tmpl w:val="FFFFFFFF"/>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70659841">
    <w:abstractNumId w:val="1"/>
  </w:num>
  <w:num w:numId="2" w16cid:durableId="1011104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E8E"/>
    <w:rsid w:val="00031678"/>
    <w:rsid w:val="001D27F5"/>
    <w:rsid w:val="0038594E"/>
    <w:rsid w:val="00511E8E"/>
    <w:rsid w:val="00721E71"/>
    <w:rsid w:val="007D21BA"/>
    <w:rsid w:val="009014D9"/>
    <w:rsid w:val="00B90F72"/>
    <w:rsid w:val="00C304BD"/>
    <w:rsid w:val="00D415F8"/>
    <w:rsid w:val="00E62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07A7BD"/>
  <w15:docId w15:val="{54BE2B59-B0A8-844A-8CDF-ABC9001E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paragraph" w:customStyle="1" w:styleId="p1">
    <w:name w:val="p1"/>
    <w:basedOn w:val="Normal"/>
    <w:rsid w:val="009014D9"/>
    <w:pPr>
      <w:spacing w:before="100" w:beforeAutospacing="1" w:after="100" w:afterAutospacing="1" w:line="240" w:lineRule="auto"/>
    </w:pPr>
    <w:rPr>
      <w:rFonts w:ascii="Times New Roman" w:eastAsiaTheme="minorEastAsia" w:hAnsi="Times New Roman" w:cs="Times New Roman"/>
    </w:rPr>
  </w:style>
  <w:style w:type="character" w:customStyle="1" w:styleId="s1">
    <w:name w:val="s1"/>
    <w:basedOn w:val="DefaultParagraphFont"/>
    <w:rsid w:val="009014D9"/>
  </w:style>
  <w:style w:type="character" w:customStyle="1" w:styleId="s2">
    <w:name w:val="s2"/>
    <w:basedOn w:val="DefaultParagraphFont"/>
    <w:rsid w:val="009014D9"/>
  </w:style>
  <w:style w:type="character" w:customStyle="1" w:styleId="s3">
    <w:name w:val="s3"/>
    <w:basedOn w:val="DefaultParagraphFont"/>
    <w:rsid w:val="009014D9"/>
  </w:style>
  <w:style w:type="character" w:customStyle="1" w:styleId="apple-converted-space">
    <w:name w:val="apple-converted-space"/>
    <w:basedOn w:val="DefaultParagraphFont"/>
    <w:rsid w:val="009014D9"/>
  </w:style>
  <w:style w:type="character" w:styleId="Hyperlink">
    <w:name w:val="Hyperlink"/>
    <w:basedOn w:val="DefaultParagraphFont"/>
    <w:uiPriority w:val="99"/>
    <w:unhideWhenUsed/>
    <w:rsid w:val="00721E71"/>
    <w:rPr>
      <w:color w:val="0000FF" w:themeColor="hyperlink"/>
      <w:u w:val="single"/>
    </w:rPr>
  </w:style>
  <w:style w:type="character" w:styleId="UnresolvedMention">
    <w:name w:val="Unresolved Mention"/>
    <w:basedOn w:val="DefaultParagraphFont"/>
    <w:uiPriority w:val="99"/>
    <w:semiHidden/>
    <w:unhideWhenUsed/>
    <w:rsid w:val="00721E71"/>
    <w:rPr>
      <w:color w:val="605E5C"/>
      <w:shd w:val="clear" w:color="auto" w:fill="E1DFDD"/>
    </w:rPr>
  </w:style>
  <w:style w:type="paragraph" w:customStyle="1" w:styleId="p2">
    <w:name w:val="p2"/>
    <w:basedOn w:val="Normal"/>
    <w:rsid w:val="00B90F72"/>
    <w:pPr>
      <w:spacing w:before="100" w:beforeAutospacing="1" w:after="100" w:afterAutospacing="1" w:line="240" w:lineRule="auto"/>
    </w:pPr>
    <w:rPr>
      <w:rFonts w:ascii="Times New Roman" w:eastAsiaTheme="minorEastAsia" w:hAnsi="Times New Roman" w:cs="Times New Roman"/>
    </w:rPr>
  </w:style>
  <w:style w:type="paragraph" w:styleId="ListParagraph">
    <w:name w:val="List Paragraph"/>
    <w:basedOn w:val="Normal"/>
    <w:uiPriority w:val="34"/>
    <w:qFormat/>
    <w:rsid w:val="00B90F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ndna.org.uk/early-years-workforce-crisis-demands-urgent-action-before-further-childcare-expansion/" TargetMode="External"/><Relationship Id="rId13" Type="http://schemas.openxmlformats.org/officeDocument/2006/relationships/hyperlink" Target="https://www.earlyyears.wales/en/news/early-years-wales-well-being-and-perceptions-survey-2025" TargetMode="External"/><Relationship Id="rId18" Type="http://schemas.openxmlformats.org/officeDocument/2006/relationships/hyperlink" Target="https://doi.org/10.1177/107780041038312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11/gwao.12663" TargetMode="External"/><Relationship Id="rId7" Type="http://schemas.openxmlformats.org/officeDocument/2006/relationships/hyperlink" Target="https://ndna.org.uk/provider-survey-2023-results-more-staff-leaving-and-more-apprentices-in-settings/" TargetMode="External"/><Relationship Id="rId12" Type="http://schemas.openxmlformats.org/officeDocument/2006/relationships/hyperlink" Target="https://delvetool.com/guide" TargetMode="External"/><Relationship Id="rId17" Type="http://schemas.openxmlformats.org/officeDocument/2006/relationships/hyperlink" Target="https://epi.org.uk/wp-content/uploads/2021/07/EPI-NDNA-july2021-report.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77/1476718x241308402"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836939120979064" TargetMode="External"/><Relationship Id="rId24" Type="http://schemas.openxmlformats.org/officeDocument/2006/relationships/hyperlink" Target="https://orbecialina1986s-team.monday.com/boards/5091130967?dl_slug=orbecialina1986s-team&amp;share_id=E039F005-A8C8-4723-80B0-39BF7D13B9AD&amp;link_type=board" TargetMode="External"/><Relationship Id="rId5" Type="http://schemas.openxmlformats.org/officeDocument/2006/relationships/footnotes" Target="footnotes.xml"/><Relationship Id="rId15" Type="http://schemas.openxmlformats.org/officeDocument/2006/relationships/hyperlink" Target="https://doi.org/10.1080/17496535.2011.591811" TargetMode="External"/><Relationship Id="rId23" Type="http://schemas.openxmlformats.org/officeDocument/2006/relationships/hyperlink" Target="https://doi.org/10.3390/su132011521" TargetMode="External"/><Relationship Id="rId10" Type="http://schemas.openxmlformats.org/officeDocument/2006/relationships/hyperlink" Target="https://doi.org/10.12968/eyed.2021.23.3.14" TargetMode="External"/><Relationship Id="rId19" Type="http://schemas.openxmlformats.org/officeDocument/2006/relationships/hyperlink" Target="https://www.scirp.org/reference/referencespapers?referenceid=1000755" TargetMode="External"/><Relationship Id="rId4" Type="http://schemas.openxmlformats.org/officeDocument/2006/relationships/webSettings" Target="webSettings.xml"/><Relationship Id="rId9" Type="http://schemas.openxmlformats.org/officeDocument/2006/relationships/hyperlink" Target="https://www.scribd.com/document/782040717/Catherine-Marshall-Gretchen-B-Rossman-Designing-Qualitative-Research-SAGE-Publications-Inc-2016" TargetMode="External"/><Relationship Id="rId14" Type="http://schemas.openxmlformats.org/officeDocument/2006/relationships/hyperlink" Target="https://doi.org/10.1177/104973202129120052" TargetMode="External"/><Relationship Id="rId22" Type="http://schemas.openxmlformats.org/officeDocument/2006/relationships/hyperlink" Target="https://doi.org/10.3102/003465430832569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2768</Words>
  <Characters>15779</Characters>
  <Application>Microsoft Office Word</Application>
  <DocSecurity>0</DocSecurity>
  <Lines>131</Lines>
  <Paragraphs>37</Paragraphs>
  <ScaleCrop>false</ScaleCrop>
  <Company/>
  <LinksUpToDate>false</LinksUpToDate>
  <CharactersWithSpaces>18510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Orbeci</cp:lastModifiedBy>
  <cp:revision>2</cp:revision>
  <dcterms:created xsi:type="dcterms:W3CDTF">2026-02-28T21:00:00Z</dcterms:created>
  <dcterms:modified xsi:type="dcterms:W3CDTF">2026-02-28T21:00:00Z</dcterms:modified>
</cp:coreProperties>
</file>