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0BE607" w14:textId="77777777" w:rsidR="00395077" w:rsidRDefault="00395077" w:rsidP="00F924F0">
      <w:pPr>
        <w:spacing w:line="480" w:lineRule="auto"/>
        <w:ind w:firstLine="720"/>
        <w:jc w:val="center"/>
        <w:rPr>
          <w:rFonts w:ascii="Times New Roman" w:hAnsi="Times New Roman" w:cs="Times New Roman"/>
          <w:b/>
          <w:bCs/>
          <w:sz w:val="24"/>
          <w:szCs w:val="24"/>
        </w:rPr>
      </w:pPr>
    </w:p>
    <w:p w14:paraId="509BE9C8" w14:textId="3BF5D2F0" w:rsidR="00395077" w:rsidRDefault="007630F4" w:rsidP="00F924F0">
      <w:pPr>
        <w:spacing w:line="480" w:lineRule="auto"/>
        <w:ind w:firstLine="720"/>
        <w:jc w:val="center"/>
        <w:rPr>
          <w:rFonts w:ascii="Times New Roman" w:hAnsi="Times New Roman" w:cs="Times New Roman"/>
          <w:b/>
          <w:bCs/>
          <w:sz w:val="24"/>
          <w:szCs w:val="24"/>
        </w:rPr>
      </w:pPr>
      <w:r>
        <w:rPr>
          <w:rFonts w:ascii="Times New Roman" w:hAnsi="Times New Roman" w:cs="Times New Roman"/>
          <w:b/>
          <w:bCs/>
          <w:sz w:val="24"/>
          <w:szCs w:val="24"/>
        </w:rPr>
        <w:t>Amer Alkadri</w:t>
      </w:r>
    </w:p>
    <w:p w14:paraId="6050FF74" w14:textId="120E506F" w:rsidR="00395077" w:rsidRDefault="007630F4" w:rsidP="00F924F0">
      <w:pPr>
        <w:spacing w:line="480" w:lineRule="auto"/>
        <w:ind w:firstLine="720"/>
        <w:jc w:val="center"/>
        <w:rPr>
          <w:rFonts w:ascii="Times New Roman" w:hAnsi="Times New Roman" w:cs="Times New Roman"/>
          <w:b/>
          <w:bCs/>
          <w:sz w:val="24"/>
          <w:szCs w:val="24"/>
        </w:rPr>
      </w:pPr>
      <w:r>
        <w:rPr>
          <w:rFonts w:ascii="Times New Roman" w:hAnsi="Times New Roman" w:cs="Times New Roman"/>
          <w:b/>
          <w:bCs/>
          <w:sz w:val="24"/>
          <w:szCs w:val="24"/>
        </w:rPr>
        <w:t>2123935</w:t>
      </w:r>
    </w:p>
    <w:p w14:paraId="057AD838" w14:textId="2635A662" w:rsidR="00395077" w:rsidRDefault="007630F4" w:rsidP="00F924F0">
      <w:pPr>
        <w:spacing w:line="480" w:lineRule="auto"/>
        <w:ind w:firstLine="720"/>
        <w:jc w:val="center"/>
        <w:rPr>
          <w:rFonts w:ascii="Times New Roman" w:hAnsi="Times New Roman" w:cs="Times New Roman"/>
          <w:b/>
          <w:bCs/>
          <w:sz w:val="24"/>
          <w:szCs w:val="24"/>
        </w:rPr>
      </w:pPr>
      <w:r>
        <w:rPr>
          <w:rFonts w:ascii="Times New Roman" w:hAnsi="Times New Roman" w:cs="Times New Roman"/>
          <w:b/>
          <w:bCs/>
          <w:sz w:val="24"/>
          <w:szCs w:val="24"/>
        </w:rPr>
        <w:t xml:space="preserve">Contract </w:t>
      </w:r>
      <w:r w:rsidR="002C018C">
        <w:rPr>
          <w:rFonts w:ascii="Times New Roman" w:hAnsi="Times New Roman" w:cs="Times New Roman"/>
          <w:b/>
          <w:bCs/>
          <w:sz w:val="24"/>
          <w:szCs w:val="24"/>
        </w:rPr>
        <w:t>Law (</w:t>
      </w:r>
      <w:r>
        <w:rPr>
          <w:rFonts w:ascii="Times New Roman" w:hAnsi="Times New Roman" w:cs="Times New Roman"/>
          <w:b/>
          <w:bCs/>
          <w:sz w:val="24"/>
          <w:szCs w:val="24"/>
        </w:rPr>
        <w:t>Consideration)</w:t>
      </w:r>
    </w:p>
    <w:p w14:paraId="53731116" w14:textId="2A812052" w:rsidR="00395077" w:rsidRDefault="00225188" w:rsidP="00F924F0">
      <w:pPr>
        <w:spacing w:line="480" w:lineRule="auto"/>
        <w:ind w:firstLine="720"/>
        <w:jc w:val="center"/>
        <w:rPr>
          <w:rFonts w:ascii="Times New Roman" w:hAnsi="Times New Roman" w:cs="Times New Roman"/>
          <w:b/>
          <w:bCs/>
          <w:sz w:val="24"/>
          <w:szCs w:val="24"/>
        </w:rPr>
      </w:pPr>
      <w:r>
        <w:rPr>
          <w:rFonts w:ascii="Times New Roman" w:hAnsi="Times New Roman" w:cs="Times New Roman"/>
          <w:b/>
          <w:bCs/>
          <w:sz w:val="24"/>
          <w:szCs w:val="24"/>
        </w:rPr>
        <w:t>15/03/24</w:t>
      </w:r>
    </w:p>
    <w:p w14:paraId="14962ECA" w14:textId="77777777" w:rsidR="00395077" w:rsidRDefault="00395077" w:rsidP="00F924F0">
      <w:pPr>
        <w:spacing w:line="480" w:lineRule="auto"/>
        <w:ind w:firstLine="720"/>
        <w:jc w:val="center"/>
        <w:rPr>
          <w:rFonts w:ascii="Times New Roman" w:hAnsi="Times New Roman" w:cs="Times New Roman"/>
          <w:b/>
          <w:bCs/>
          <w:sz w:val="24"/>
          <w:szCs w:val="24"/>
        </w:rPr>
      </w:pPr>
    </w:p>
    <w:p w14:paraId="38CFE4B2" w14:textId="77777777" w:rsidR="00395077" w:rsidRDefault="00395077" w:rsidP="00F924F0">
      <w:pPr>
        <w:spacing w:line="480" w:lineRule="auto"/>
        <w:ind w:firstLine="720"/>
        <w:jc w:val="center"/>
        <w:rPr>
          <w:rFonts w:ascii="Times New Roman" w:hAnsi="Times New Roman" w:cs="Times New Roman"/>
          <w:b/>
          <w:bCs/>
          <w:sz w:val="24"/>
          <w:szCs w:val="24"/>
        </w:rPr>
      </w:pPr>
    </w:p>
    <w:p w14:paraId="06E2B014" w14:textId="77777777" w:rsidR="00395077" w:rsidRDefault="00395077" w:rsidP="00F924F0">
      <w:pPr>
        <w:spacing w:line="480" w:lineRule="auto"/>
        <w:ind w:firstLine="720"/>
        <w:jc w:val="center"/>
        <w:rPr>
          <w:rFonts w:ascii="Times New Roman" w:hAnsi="Times New Roman" w:cs="Times New Roman"/>
          <w:b/>
          <w:bCs/>
          <w:sz w:val="24"/>
          <w:szCs w:val="24"/>
        </w:rPr>
      </w:pPr>
    </w:p>
    <w:p w14:paraId="558EC337" w14:textId="77777777" w:rsidR="00395077" w:rsidRDefault="00395077" w:rsidP="00F924F0">
      <w:pPr>
        <w:spacing w:line="480" w:lineRule="auto"/>
        <w:ind w:firstLine="720"/>
        <w:jc w:val="center"/>
        <w:rPr>
          <w:rFonts w:ascii="Times New Roman" w:hAnsi="Times New Roman" w:cs="Times New Roman"/>
          <w:b/>
          <w:bCs/>
          <w:sz w:val="24"/>
          <w:szCs w:val="24"/>
        </w:rPr>
      </w:pPr>
    </w:p>
    <w:p w14:paraId="2541E976" w14:textId="77777777" w:rsidR="00395077" w:rsidRDefault="00395077" w:rsidP="00F924F0">
      <w:pPr>
        <w:spacing w:line="480" w:lineRule="auto"/>
        <w:ind w:firstLine="720"/>
        <w:jc w:val="center"/>
        <w:rPr>
          <w:rFonts w:ascii="Times New Roman" w:hAnsi="Times New Roman" w:cs="Times New Roman"/>
          <w:b/>
          <w:bCs/>
          <w:sz w:val="24"/>
          <w:szCs w:val="24"/>
        </w:rPr>
      </w:pPr>
    </w:p>
    <w:p w14:paraId="3A2978FC" w14:textId="77777777" w:rsidR="00395077" w:rsidRDefault="00395077" w:rsidP="00F924F0">
      <w:pPr>
        <w:spacing w:line="480" w:lineRule="auto"/>
        <w:ind w:firstLine="720"/>
        <w:jc w:val="center"/>
        <w:rPr>
          <w:rFonts w:ascii="Times New Roman" w:hAnsi="Times New Roman" w:cs="Times New Roman"/>
          <w:b/>
          <w:bCs/>
          <w:sz w:val="24"/>
          <w:szCs w:val="24"/>
        </w:rPr>
      </w:pPr>
    </w:p>
    <w:p w14:paraId="4E057EE1" w14:textId="77777777" w:rsidR="00395077" w:rsidRDefault="00395077" w:rsidP="00F924F0">
      <w:pPr>
        <w:spacing w:line="480" w:lineRule="auto"/>
        <w:ind w:firstLine="720"/>
        <w:jc w:val="center"/>
        <w:rPr>
          <w:rFonts w:ascii="Times New Roman" w:hAnsi="Times New Roman" w:cs="Times New Roman"/>
          <w:b/>
          <w:bCs/>
          <w:sz w:val="24"/>
          <w:szCs w:val="24"/>
        </w:rPr>
      </w:pPr>
    </w:p>
    <w:p w14:paraId="3995BBA9" w14:textId="77777777" w:rsidR="00395077" w:rsidRDefault="00395077" w:rsidP="00F924F0">
      <w:pPr>
        <w:spacing w:line="480" w:lineRule="auto"/>
        <w:ind w:firstLine="720"/>
        <w:jc w:val="center"/>
        <w:rPr>
          <w:rFonts w:ascii="Times New Roman" w:hAnsi="Times New Roman" w:cs="Times New Roman"/>
          <w:b/>
          <w:bCs/>
          <w:sz w:val="24"/>
          <w:szCs w:val="24"/>
        </w:rPr>
      </w:pPr>
    </w:p>
    <w:p w14:paraId="65EE21BF" w14:textId="77777777" w:rsidR="00395077" w:rsidRDefault="00395077" w:rsidP="00F924F0">
      <w:pPr>
        <w:spacing w:line="480" w:lineRule="auto"/>
        <w:ind w:firstLine="720"/>
        <w:jc w:val="center"/>
        <w:rPr>
          <w:rFonts w:ascii="Times New Roman" w:hAnsi="Times New Roman" w:cs="Times New Roman"/>
          <w:b/>
          <w:bCs/>
          <w:sz w:val="24"/>
          <w:szCs w:val="24"/>
        </w:rPr>
      </w:pPr>
    </w:p>
    <w:p w14:paraId="1AF4ECC1" w14:textId="77777777" w:rsidR="00395077" w:rsidRDefault="00395077" w:rsidP="00F924F0">
      <w:pPr>
        <w:spacing w:line="480" w:lineRule="auto"/>
        <w:ind w:firstLine="720"/>
        <w:jc w:val="center"/>
        <w:rPr>
          <w:rFonts w:ascii="Times New Roman" w:hAnsi="Times New Roman" w:cs="Times New Roman"/>
          <w:b/>
          <w:bCs/>
          <w:sz w:val="24"/>
          <w:szCs w:val="24"/>
        </w:rPr>
      </w:pPr>
    </w:p>
    <w:p w14:paraId="3C05CC3F" w14:textId="77777777" w:rsidR="00395077" w:rsidRDefault="00395077" w:rsidP="00F924F0">
      <w:pPr>
        <w:spacing w:line="480" w:lineRule="auto"/>
        <w:ind w:firstLine="720"/>
        <w:jc w:val="center"/>
        <w:rPr>
          <w:rFonts w:ascii="Times New Roman" w:hAnsi="Times New Roman" w:cs="Times New Roman"/>
          <w:b/>
          <w:bCs/>
          <w:sz w:val="24"/>
          <w:szCs w:val="24"/>
        </w:rPr>
      </w:pPr>
    </w:p>
    <w:p w14:paraId="5BDA1116" w14:textId="77777777" w:rsidR="00395077" w:rsidRDefault="00395077" w:rsidP="00F924F0">
      <w:pPr>
        <w:spacing w:line="480" w:lineRule="auto"/>
        <w:ind w:firstLine="720"/>
        <w:jc w:val="center"/>
        <w:rPr>
          <w:rFonts w:ascii="Times New Roman" w:hAnsi="Times New Roman" w:cs="Times New Roman"/>
          <w:b/>
          <w:bCs/>
          <w:sz w:val="24"/>
          <w:szCs w:val="24"/>
        </w:rPr>
      </w:pPr>
    </w:p>
    <w:p w14:paraId="25F85141" w14:textId="77777777" w:rsidR="00395077" w:rsidRDefault="00395077" w:rsidP="00F924F0">
      <w:pPr>
        <w:spacing w:line="480" w:lineRule="auto"/>
        <w:ind w:firstLine="720"/>
        <w:jc w:val="center"/>
        <w:rPr>
          <w:rFonts w:ascii="Times New Roman" w:hAnsi="Times New Roman" w:cs="Times New Roman"/>
          <w:b/>
          <w:bCs/>
          <w:sz w:val="24"/>
          <w:szCs w:val="24"/>
        </w:rPr>
      </w:pPr>
    </w:p>
    <w:p w14:paraId="5B7C961C" w14:textId="77777777" w:rsidR="00395077" w:rsidRDefault="00395077" w:rsidP="00F924F0">
      <w:pPr>
        <w:spacing w:line="480" w:lineRule="auto"/>
        <w:ind w:firstLine="720"/>
        <w:jc w:val="center"/>
        <w:rPr>
          <w:rFonts w:ascii="Times New Roman" w:hAnsi="Times New Roman" w:cs="Times New Roman"/>
          <w:b/>
          <w:bCs/>
          <w:sz w:val="24"/>
          <w:szCs w:val="24"/>
        </w:rPr>
      </w:pPr>
    </w:p>
    <w:p w14:paraId="3425C947" w14:textId="77777777" w:rsidR="00395077" w:rsidRDefault="00395077" w:rsidP="00F924F0">
      <w:pPr>
        <w:spacing w:line="480" w:lineRule="auto"/>
        <w:ind w:firstLine="720"/>
        <w:jc w:val="center"/>
        <w:rPr>
          <w:rFonts w:ascii="Times New Roman" w:hAnsi="Times New Roman" w:cs="Times New Roman"/>
          <w:b/>
          <w:bCs/>
          <w:sz w:val="24"/>
          <w:szCs w:val="24"/>
        </w:rPr>
      </w:pPr>
    </w:p>
    <w:p w14:paraId="3A65B3E4" w14:textId="77777777" w:rsidR="00395077" w:rsidRDefault="00395077" w:rsidP="00F924F0">
      <w:pPr>
        <w:spacing w:line="480" w:lineRule="auto"/>
        <w:ind w:firstLine="720"/>
        <w:jc w:val="center"/>
        <w:rPr>
          <w:rFonts w:ascii="Times New Roman" w:hAnsi="Times New Roman" w:cs="Times New Roman"/>
          <w:b/>
          <w:bCs/>
          <w:sz w:val="24"/>
          <w:szCs w:val="24"/>
        </w:rPr>
      </w:pPr>
    </w:p>
    <w:p w14:paraId="701E8473" w14:textId="77777777" w:rsidR="00395077" w:rsidRDefault="00395077" w:rsidP="00F924F0">
      <w:pPr>
        <w:spacing w:line="480" w:lineRule="auto"/>
        <w:ind w:firstLine="720"/>
        <w:jc w:val="center"/>
        <w:rPr>
          <w:rFonts w:ascii="Times New Roman" w:hAnsi="Times New Roman" w:cs="Times New Roman"/>
          <w:b/>
          <w:bCs/>
          <w:sz w:val="24"/>
          <w:szCs w:val="24"/>
        </w:rPr>
      </w:pPr>
    </w:p>
    <w:p w14:paraId="796B6F31" w14:textId="77777777" w:rsidR="00395077" w:rsidRDefault="00395077" w:rsidP="00F924F0">
      <w:pPr>
        <w:spacing w:line="480" w:lineRule="auto"/>
        <w:ind w:firstLine="720"/>
        <w:jc w:val="center"/>
        <w:rPr>
          <w:rFonts w:ascii="Times New Roman" w:hAnsi="Times New Roman" w:cs="Times New Roman"/>
          <w:b/>
          <w:bCs/>
          <w:sz w:val="24"/>
          <w:szCs w:val="24"/>
        </w:rPr>
      </w:pPr>
    </w:p>
    <w:p w14:paraId="090C12A5" w14:textId="77777777" w:rsidR="00395077" w:rsidRDefault="00395077" w:rsidP="00395077">
      <w:pPr>
        <w:spacing w:line="480" w:lineRule="auto"/>
        <w:rPr>
          <w:rFonts w:ascii="Times New Roman" w:hAnsi="Times New Roman" w:cs="Times New Roman"/>
          <w:b/>
          <w:bCs/>
          <w:sz w:val="24"/>
          <w:szCs w:val="24"/>
        </w:rPr>
      </w:pPr>
    </w:p>
    <w:p w14:paraId="7731BAD8" w14:textId="77777777" w:rsidR="00395077" w:rsidRDefault="00395077" w:rsidP="00F924F0">
      <w:pPr>
        <w:spacing w:line="480" w:lineRule="auto"/>
        <w:ind w:firstLine="720"/>
        <w:jc w:val="center"/>
        <w:rPr>
          <w:rFonts w:ascii="Times New Roman" w:hAnsi="Times New Roman" w:cs="Times New Roman"/>
          <w:b/>
          <w:bCs/>
          <w:sz w:val="24"/>
          <w:szCs w:val="24"/>
        </w:rPr>
      </w:pPr>
    </w:p>
    <w:p w14:paraId="2D489638" w14:textId="2F33F459" w:rsidR="007D2E97" w:rsidRPr="00F924F0" w:rsidRDefault="007D2E97" w:rsidP="00F924F0">
      <w:pPr>
        <w:spacing w:line="480" w:lineRule="auto"/>
        <w:ind w:firstLine="720"/>
        <w:jc w:val="center"/>
        <w:rPr>
          <w:rFonts w:ascii="Times New Roman" w:hAnsi="Times New Roman" w:cs="Times New Roman"/>
          <w:b/>
          <w:bCs/>
          <w:sz w:val="24"/>
          <w:szCs w:val="24"/>
        </w:rPr>
      </w:pPr>
      <w:r w:rsidRPr="00F924F0">
        <w:rPr>
          <w:rFonts w:ascii="Times New Roman" w:hAnsi="Times New Roman" w:cs="Times New Roman"/>
          <w:b/>
          <w:bCs/>
          <w:sz w:val="24"/>
          <w:szCs w:val="24"/>
        </w:rPr>
        <w:t xml:space="preserve">The </w:t>
      </w:r>
      <w:r w:rsidR="00163CE5" w:rsidRPr="00F924F0">
        <w:rPr>
          <w:rFonts w:ascii="Times New Roman" w:hAnsi="Times New Roman" w:cs="Times New Roman"/>
          <w:b/>
          <w:bCs/>
          <w:sz w:val="24"/>
          <w:szCs w:val="24"/>
        </w:rPr>
        <w:t>E</w:t>
      </w:r>
      <w:r w:rsidRPr="00F924F0">
        <w:rPr>
          <w:rFonts w:ascii="Times New Roman" w:hAnsi="Times New Roman" w:cs="Times New Roman"/>
          <w:b/>
          <w:bCs/>
          <w:sz w:val="24"/>
          <w:szCs w:val="24"/>
        </w:rPr>
        <w:t>lement of Consideration in Contract Law</w:t>
      </w:r>
    </w:p>
    <w:p w14:paraId="6B0CFA19" w14:textId="5AC406E0" w:rsidR="00907FA3" w:rsidRPr="00F924F0" w:rsidRDefault="004F0503" w:rsidP="00F924F0">
      <w:pPr>
        <w:spacing w:line="480" w:lineRule="auto"/>
        <w:ind w:firstLine="720"/>
        <w:jc w:val="center"/>
        <w:rPr>
          <w:rFonts w:ascii="Times New Roman" w:hAnsi="Times New Roman" w:cs="Times New Roman"/>
          <w:b/>
          <w:bCs/>
          <w:sz w:val="24"/>
          <w:szCs w:val="24"/>
        </w:rPr>
      </w:pPr>
      <w:r w:rsidRPr="00F924F0">
        <w:rPr>
          <w:rFonts w:ascii="Times New Roman" w:hAnsi="Times New Roman" w:cs="Times New Roman"/>
          <w:b/>
          <w:bCs/>
          <w:sz w:val="24"/>
          <w:szCs w:val="24"/>
        </w:rPr>
        <w:t>Introduction</w:t>
      </w:r>
    </w:p>
    <w:p w14:paraId="5B8772FD" w14:textId="6992BF66" w:rsidR="004F0503" w:rsidRPr="00F924F0" w:rsidRDefault="004F0503" w:rsidP="00F924F0">
      <w:pPr>
        <w:spacing w:line="480" w:lineRule="auto"/>
        <w:ind w:firstLine="720"/>
        <w:jc w:val="both"/>
        <w:rPr>
          <w:rFonts w:ascii="Times New Roman" w:hAnsi="Times New Roman" w:cs="Times New Roman"/>
          <w:sz w:val="24"/>
          <w:szCs w:val="24"/>
        </w:rPr>
      </w:pPr>
      <w:r w:rsidRPr="00F924F0">
        <w:rPr>
          <w:rFonts w:ascii="Times New Roman" w:hAnsi="Times New Roman" w:cs="Times New Roman"/>
          <w:sz w:val="24"/>
          <w:szCs w:val="24"/>
        </w:rPr>
        <w:t>The</w:t>
      </w:r>
      <w:r w:rsidR="00A07F0C">
        <w:rPr>
          <w:rFonts w:ascii="Times New Roman" w:hAnsi="Times New Roman" w:cs="Times New Roman"/>
          <w:sz w:val="24"/>
          <w:szCs w:val="24"/>
        </w:rPr>
        <w:t xml:space="preserve"> law of contract helps in determining if a legal relation exists between parties in an agreement</w:t>
      </w:r>
      <w:r w:rsidR="00A82B3B" w:rsidRPr="00F924F0">
        <w:rPr>
          <w:rFonts w:ascii="Times New Roman" w:hAnsi="Times New Roman" w:cs="Times New Roman"/>
          <w:sz w:val="24"/>
          <w:szCs w:val="24"/>
        </w:rPr>
        <w:t>.</w:t>
      </w:r>
      <w:r w:rsidRPr="00F924F0">
        <w:rPr>
          <w:rFonts w:ascii="Times New Roman" w:hAnsi="Times New Roman" w:cs="Times New Roman"/>
          <w:sz w:val="24"/>
          <w:szCs w:val="24"/>
        </w:rPr>
        <w:t xml:space="preserve"> </w:t>
      </w:r>
      <w:r w:rsidR="00A07F0C">
        <w:rPr>
          <w:rFonts w:ascii="Times New Roman" w:hAnsi="Times New Roman" w:cs="Times New Roman"/>
          <w:sz w:val="24"/>
          <w:szCs w:val="24"/>
        </w:rPr>
        <w:t xml:space="preserve"> Consideration is one of the elements under this law that determines the existence of a contract. </w:t>
      </w:r>
      <w:r w:rsidRPr="00F924F0">
        <w:rPr>
          <w:rFonts w:ascii="Times New Roman" w:hAnsi="Times New Roman" w:cs="Times New Roman"/>
          <w:sz w:val="24"/>
          <w:szCs w:val="24"/>
        </w:rPr>
        <w:t xml:space="preserve"> The </w:t>
      </w:r>
      <w:r w:rsidR="00A07F0C">
        <w:rPr>
          <w:rFonts w:ascii="Times New Roman" w:hAnsi="Times New Roman" w:cs="Times New Roman"/>
          <w:sz w:val="24"/>
          <w:szCs w:val="24"/>
        </w:rPr>
        <w:t xml:space="preserve">doctrine is traced to the </w:t>
      </w:r>
      <w:r w:rsidRPr="00F924F0">
        <w:rPr>
          <w:rFonts w:ascii="Times New Roman" w:hAnsi="Times New Roman" w:cs="Times New Roman"/>
          <w:sz w:val="24"/>
          <w:szCs w:val="24"/>
        </w:rPr>
        <w:t>16</w:t>
      </w:r>
      <w:r w:rsidRPr="00F924F0">
        <w:rPr>
          <w:rFonts w:ascii="Times New Roman" w:hAnsi="Times New Roman" w:cs="Times New Roman"/>
          <w:sz w:val="24"/>
          <w:szCs w:val="24"/>
          <w:vertAlign w:val="superscript"/>
        </w:rPr>
        <w:t>th</w:t>
      </w:r>
      <w:r w:rsidRPr="00F924F0">
        <w:rPr>
          <w:rFonts w:ascii="Times New Roman" w:hAnsi="Times New Roman" w:cs="Times New Roman"/>
          <w:sz w:val="24"/>
          <w:szCs w:val="24"/>
        </w:rPr>
        <w:t xml:space="preserve"> </w:t>
      </w:r>
      <w:r w:rsidR="00A07F0C" w:rsidRPr="00F924F0">
        <w:rPr>
          <w:rFonts w:ascii="Times New Roman" w:hAnsi="Times New Roman" w:cs="Times New Roman"/>
          <w:sz w:val="24"/>
          <w:szCs w:val="24"/>
        </w:rPr>
        <w:t>century,</w:t>
      </w:r>
      <w:r w:rsidR="00A07F0C">
        <w:rPr>
          <w:rFonts w:ascii="Times New Roman" w:hAnsi="Times New Roman" w:cs="Times New Roman"/>
          <w:sz w:val="24"/>
          <w:szCs w:val="24"/>
        </w:rPr>
        <w:t xml:space="preserve"> a time when it was applied as an </w:t>
      </w:r>
      <w:r w:rsidR="00A82B3B" w:rsidRPr="00F924F0">
        <w:rPr>
          <w:rFonts w:ascii="Times New Roman" w:hAnsi="Times New Roman" w:cs="Times New Roman"/>
          <w:sz w:val="24"/>
          <w:szCs w:val="24"/>
        </w:rPr>
        <w:t>element of</w:t>
      </w:r>
      <w:r w:rsidRPr="00F924F0">
        <w:rPr>
          <w:rFonts w:ascii="Times New Roman" w:hAnsi="Times New Roman" w:cs="Times New Roman"/>
          <w:sz w:val="24"/>
          <w:szCs w:val="24"/>
        </w:rPr>
        <w:t xml:space="preserve"> action in breach of promise.</w:t>
      </w:r>
      <w:r w:rsidRPr="00F924F0">
        <w:rPr>
          <w:rStyle w:val="FootnoteReference"/>
          <w:rFonts w:ascii="Times New Roman" w:hAnsi="Times New Roman" w:cs="Times New Roman"/>
          <w:sz w:val="24"/>
          <w:szCs w:val="24"/>
        </w:rPr>
        <w:footnoteReference w:id="1"/>
      </w:r>
      <w:r w:rsidRPr="00F924F0">
        <w:rPr>
          <w:rFonts w:ascii="Times New Roman" w:hAnsi="Times New Roman" w:cs="Times New Roman"/>
          <w:sz w:val="24"/>
          <w:szCs w:val="24"/>
        </w:rPr>
        <w:t xml:space="preserve">  This doctrine remains one of the most essential requirements for contract formation. Through </w:t>
      </w:r>
      <w:r w:rsidR="00A82B3B" w:rsidRPr="00F924F0">
        <w:rPr>
          <w:rFonts w:ascii="Times New Roman" w:hAnsi="Times New Roman" w:cs="Times New Roman"/>
          <w:sz w:val="24"/>
          <w:szCs w:val="24"/>
        </w:rPr>
        <w:t>consideration, restrictions</w:t>
      </w:r>
      <w:r w:rsidRPr="00F924F0">
        <w:rPr>
          <w:rFonts w:ascii="Times New Roman" w:hAnsi="Times New Roman" w:cs="Times New Roman"/>
          <w:sz w:val="24"/>
          <w:szCs w:val="24"/>
        </w:rPr>
        <w:t xml:space="preserve"> have been </w:t>
      </w:r>
      <w:r w:rsidR="00177334" w:rsidRPr="00F924F0">
        <w:rPr>
          <w:rFonts w:ascii="Times New Roman" w:hAnsi="Times New Roman" w:cs="Times New Roman"/>
          <w:sz w:val="24"/>
          <w:szCs w:val="24"/>
        </w:rPr>
        <w:t xml:space="preserve">imposed </w:t>
      </w:r>
      <w:r w:rsidR="00163CE5" w:rsidRPr="00F924F0">
        <w:rPr>
          <w:rFonts w:ascii="Times New Roman" w:hAnsi="Times New Roman" w:cs="Times New Roman"/>
          <w:sz w:val="24"/>
          <w:szCs w:val="24"/>
        </w:rPr>
        <w:t>on</w:t>
      </w:r>
      <w:r w:rsidRPr="00F924F0">
        <w:rPr>
          <w:rFonts w:ascii="Times New Roman" w:hAnsi="Times New Roman" w:cs="Times New Roman"/>
          <w:sz w:val="24"/>
          <w:szCs w:val="24"/>
        </w:rPr>
        <w:t xml:space="preserve"> contracts to the scope of bargains </w:t>
      </w:r>
      <w:r w:rsidR="00177334" w:rsidRPr="00F924F0">
        <w:rPr>
          <w:rFonts w:ascii="Times New Roman" w:hAnsi="Times New Roman" w:cs="Times New Roman"/>
          <w:sz w:val="24"/>
          <w:szCs w:val="24"/>
        </w:rPr>
        <w:t>that entail</w:t>
      </w:r>
      <w:r w:rsidRPr="00F924F0">
        <w:rPr>
          <w:rFonts w:ascii="Times New Roman" w:hAnsi="Times New Roman" w:cs="Times New Roman"/>
          <w:sz w:val="24"/>
          <w:szCs w:val="24"/>
        </w:rPr>
        <w:t xml:space="preserve"> an exchange of value between the contracting parties.  This paper will analyse the role of the doctrine of consideration in contract law.</w:t>
      </w:r>
    </w:p>
    <w:p w14:paraId="6BF21A31" w14:textId="34E5410F" w:rsidR="004F0503" w:rsidRPr="00F924F0" w:rsidRDefault="004F0503" w:rsidP="00F924F0">
      <w:pPr>
        <w:spacing w:line="480" w:lineRule="auto"/>
        <w:ind w:firstLine="720"/>
        <w:jc w:val="center"/>
        <w:rPr>
          <w:rFonts w:ascii="Times New Roman" w:hAnsi="Times New Roman" w:cs="Times New Roman"/>
          <w:b/>
          <w:bCs/>
          <w:sz w:val="24"/>
          <w:szCs w:val="24"/>
        </w:rPr>
      </w:pPr>
      <w:r w:rsidRPr="00F924F0">
        <w:rPr>
          <w:rFonts w:ascii="Times New Roman" w:hAnsi="Times New Roman" w:cs="Times New Roman"/>
          <w:b/>
          <w:bCs/>
          <w:sz w:val="24"/>
          <w:szCs w:val="24"/>
        </w:rPr>
        <w:t>Formation of a contract</w:t>
      </w:r>
    </w:p>
    <w:p w14:paraId="70CC985B" w14:textId="29E399CE" w:rsidR="004F0503" w:rsidRPr="00F924F0" w:rsidRDefault="004F0503" w:rsidP="00F924F0">
      <w:pPr>
        <w:spacing w:line="480" w:lineRule="auto"/>
        <w:ind w:firstLine="720"/>
        <w:jc w:val="both"/>
        <w:rPr>
          <w:rFonts w:ascii="Times New Roman" w:hAnsi="Times New Roman" w:cs="Times New Roman"/>
          <w:sz w:val="24"/>
          <w:szCs w:val="24"/>
        </w:rPr>
      </w:pPr>
      <w:r w:rsidRPr="00F924F0">
        <w:rPr>
          <w:rFonts w:ascii="Times New Roman" w:hAnsi="Times New Roman" w:cs="Times New Roman"/>
          <w:sz w:val="24"/>
          <w:szCs w:val="24"/>
        </w:rPr>
        <w:t xml:space="preserve"> The formation of a valid contract under common law is determined by three basic elements which include 1) agreement, 2) contractual intention</w:t>
      </w:r>
      <w:r w:rsidR="00163CE5" w:rsidRPr="00F924F0">
        <w:rPr>
          <w:rFonts w:ascii="Times New Roman" w:hAnsi="Times New Roman" w:cs="Times New Roman"/>
          <w:sz w:val="24"/>
          <w:szCs w:val="24"/>
        </w:rPr>
        <w:t>,</w:t>
      </w:r>
      <w:r w:rsidRPr="00F924F0">
        <w:rPr>
          <w:rFonts w:ascii="Times New Roman" w:hAnsi="Times New Roman" w:cs="Times New Roman"/>
          <w:sz w:val="24"/>
          <w:szCs w:val="24"/>
        </w:rPr>
        <w:t xml:space="preserve"> and 3) </w:t>
      </w:r>
      <w:r w:rsidR="00177334" w:rsidRPr="00F924F0">
        <w:rPr>
          <w:rFonts w:ascii="Times New Roman" w:hAnsi="Times New Roman" w:cs="Times New Roman"/>
          <w:sz w:val="24"/>
          <w:szCs w:val="24"/>
        </w:rPr>
        <w:t>consideration.</w:t>
      </w:r>
      <w:r w:rsidR="00A52964" w:rsidRPr="00F924F0">
        <w:rPr>
          <w:rStyle w:val="FootnoteReference"/>
          <w:rFonts w:ascii="Times New Roman" w:hAnsi="Times New Roman" w:cs="Times New Roman"/>
          <w:sz w:val="24"/>
          <w:szCs w:val="24"/>
        </w:rPr>
        <w:footnoteReference w:id="2"/>
      </w:r>
      <w:r w:rsidRPr="00F924F0">
        <w:rPr>
          <w:rFonts w:ascii="Times New Roman" w:hAnsi="Times New Roman" w:cs="Times New Roman"/>
          <w:sz w:val="24"/>
          <w:szCs w:val="24"/>
        </w:rPr>
        <w:t xml:space="preserve"> The first step in the formation of a contract is reaching an agreement whereby an offer made by party A is accepted by party B.  The second element that needs to be established is consideration, which </w:t>
      </w:r>
      <w:r w:rsidRPr="00F924F0">
        <w:rPr>
          <w:rFonts w:ascii="Times New Roman" w:hAnsi="Times New Roman" w:cs="Times New Roman"/>
          <w:sz w:val="24"/>
          <w:szCs w:val="24"/>
        </w:rPr>
        <w:lastRenderedPageBreak/>
        <w:t xml:space="preserve">qualifies a contract to be binding.  Further, there is </w:t>
      </w:r>
      <w:r w:rsidR="00163CE5" w:rsidRPr="00F924F0">
        <w:rPr>
          <w:rFonts w:ascii="Times New Roman" w:hAnsi="Times New Roman" w:cs="Times New Roman"/>
          <w:sz w:val="24"/>
          <w:szCs w:val="24"/>
        </w:rPr>
        <w:t xml:space="preserve">a </w:t>
      </w:r>
      <w:r w:rsidRPr="00F924F0">
        <w:rPr>
          <w:rFonts w:ascii="Times New Roman" w:hAnsi="Times New Roman" w:cs="Times New Roman"/>
          <w:sz w:val="24"/>
          <w:szCs w:val="24"/>
        </w:rPr>
        <w:t xml:space="preserve">need to satisfy the element of intention to </w:t>
      </w:r>
      <w:r w:rsidR="00177334" w:rsidRPr="00F924F0">
        <w:rPr>
          <w:rFonts w:ascii="Times New Roman" w:hAnsi="Times New Roman" w:cs="Times New Roman"/>
          <w:sz w:val="24"/>
          <w:szCs w:val="24"/>
        </w:rPr>
        <w:t>create legal</w:t>
      </w:r>
      <w:r w:rsidRPr="00F924F0">
        <w:rPr>
          <w:rFonts w:ascii="Times New Roman" w:hAnsi="Times New Roman" w:cs="Times New Roman"/>
          <w:sz w:val="24"/>
          <w:szCs w:val="24"/>
        </w:rPr>
        <w:t xml:space="preserve"> relations for a contract to be binding.  </w:t>
      </w:r>
    </w:p>
    <w:p w14:paraId="2E716D37" w14:textId="733BDE17" w:rsidR="004F0503" w:rsidRPr="00F924F0" w:rsidRDefault="004F0503" w:rsidP="00F924F0">
      <w:pPr>
        <w:spacing w:line="480" w:lineRule="auto"/>
        <w:ind w:firstLine="720"/>
        <w:jc w:val="center"/>
        <w:rPr>
          <w:rFonts w:ascii="Times New Roman" w:hAnsi="Times New Roman" w:cs="Times New Roman"/>
          <w:b/>
          <w:bCs/>
          <w:sz w:val="24"/>
          <w:szCs w:val="24"/>
        </w:rPr>
      </w:pPr>
      <w:r w:rsidRPr="00F924F0">
        <w:rPr>
          <w:rFonts w:ascii="Times New Roman" w:hAnsi="Times New Roman" w:cs="Times New Roman"/>
          <w:b/>
          <w:bCs/>
          <w:sz w:val="24"/>
          <w:szCs w:val="24"/>
        </w:rPr>
        <w:t>Consideration in contract law</w:t>
      </w:r>
    </w:p>
    <w:p w14:paraId="302EF34D" w14:textId="419297CF" w:rsidR="004F0503" w:rsidRPr="00F924F0" w:rsidRDefault="008B4A3C" w:rsidP="00F924F0">
      <w:pPr>
        <w:spacing w:line="480" w:lineRule="auto"/>
        <w:ind w:firstLine="720"/>
        <w:jc w:val="both"/>
        <w:rPr>
          <w:rFonts w:ascii="Times New Roman" w:hAnsi="Times New Roman" w:cs="Times New Roman"/>
          <w:sz w:val="24"/>
          <w:szCs w:val="24"/>
        </w:rPr>
      </w:pPr>
      <w:r w:rsidRPr="00F924F0">
        <w:rPr>
          <w:rFonts w:ascii="Times New Roman" w:hAnsi="Times New Roman" w:cs="Times New Roman"/>
          <w:b/>
          <w:bCs/>
          <w:sz w:val="24"/>
          <w:szCs w:val="24"/>
        </w:rPr>
        <w:t xml:space="preserve"> </w:t>
      </w:r>
      <w:r w:rsidRPr="00F924F0">
        <w:rPr>
          <w:rFonts w:ascii="Times New Roman" w:hAnsi="Times New Roman" w:cs="Times New Roman"/>
          <w:sz w:val="24"/>
          <w:szCs w:val="24"/>
        </w:rPr>
        <w:t>Consideration needs to be established for a contract to be considered legally binding.</w:t>
      </w:r>
      <w:r w:rsidR="00A52964" w:rsidRPr="00F924F0">
        <w:rPr>
          <w:rStyle w:val="FootnoteReference"/>
          <w:rFonts w:ascii="Times New Roman" w:hAnsi="Times New Roman" w:cs="Times New Roman"/>
          <w:sz w:val="24"/>
          <w:szCs w:val="24"/>
        </w:rPr>
        <w:footnoteReference w:id="3"/>
      </w:r>
      <w:r w:rsidRPr="00F924F0">
        <w:rPr>
          <w:rFonts w:ascii="Times New Roman" w:hAnsi="Times New Roman" w:cs="Times New Roman"/>
          <w:sz w:val="24"/>
          <w:szCs w:val="24"/>
        </w:rPr>
        <w:t xml:space="preserve"> </w:t>
      </w:r>
      <w:r w:rsidR="00A07F0C">
        <w:rPr>
          <w:rFonts w:ascii="Times New Roman" w:hAnsi="Times New Roman" w:cs="Times New Roman"/>
          <w:sz w:val="24"/>
          <w:szCs w:val="24"/>
        </w:rPr>
        <w:t>It</w:t>
      </w:r>
      <w:r w:rsidRPr="00F924F0">
        <w:rPr>
          <w:rFonts w:ascii="Times New Roman" w:hAnsi="Times New Roman" w:cs="Times New Roman"/>
          <w:sz w:val="24"/>
          <w:szCs w:val="24"/>
        </w:rPr>
        <w:t xml:space="preserve"> entails the </w:t>
      </w:r>
      <w:r w:rsidR="00177334" w:rsidRPr="00F924F0">
        <w:rPr>
          <w:rFonts w:ascii="Times New Roman" w:hAnsi="Times New Roman" w:cs="Times New Roman"/>
          <w:sz w:val="24"/>
          <w:szCs w:val="24"/>
        </w:rPr>
        <w:t>exchange of</w:t>
      </w:r>
      <w:r w:rsidRPr="00F924F0">
        <w:rPr>
          <w:rFonts w:ascii="Times New Roman" w:hAnsi="Times New Roman" w:cs="Times New Roman"/>
          <w:sz w:val="24"/>
          <w:szCs w:val="24"/>
        </w:rPr>
        <w:t xml:space="preserve"> something of value between the contracting </w:t>
      </w:r>
      <w:r w:rsidR="00177334" w:rsidRPr="00F924F0">
        <w:rPr>
          <w:rFonts w:ascii="Times New Roman" w:hAnsi="Times New Roman" w:cs="Times New Roman"/>
          <w:sz w:val="24"/>
          <w:szCs w:val="24"/>
        </w:rPr>
        <w:t>parties,</w:t>
      </w:r>
      <w:r w:rsidRPr="00F924F0">
        <w:rPr>
          <w:rFonts w:ascii="Times New Roman" w:hAnsi="Times New Roman" w:cs="Times New Roman"/>
          <w:sz w:val="24"/>
          <w:szCs w:val="24"/>
        </w:rPr>
        <w:t xml:space="preserve"> which might be in the form of goods, services, monetary </w:t>
      </w:r>
      <w:r w:rsidR="00177334" w:rsidRPr="00F924F0">
        <w:rPr>
          <w:rFonts w:ascii="Times New Roman" w:hAnsi="Times New Roman" w:cs="Times New Roman"/>
          <w:sz w:val="24"/>
          <w:szCs w:val="24"/>
        </w:rPr>
        <w:t>payment</w:t>
      </w:r>
      <w:r w:rsidR="00163CE5" w:rsidRPr="00F924F0">
        <w:rPr>
          <w:rFonts w:ascii="Times New Roman" w:hAnsi="Times New Roman" w:cs="Times New Roman"/>
          <w:sz w:val="24"/>
          <w:szCs w:val="24"/>
        </w:rPr>
        <w:t>,</w:t>
      </w:r>
      <w:r w:rsidR="00177334" w:rsidRPr="00F924F0">
        <w:rPr>
          <w:rFonts w:ascii="Times New Roman" w:hAnsi="Times New Roman" w:cs="Times New Roman"/>
          <w:sz w:val="24"/>
          <w:szCs w:val="24"/>
        </w:rPr>
        <w:t xml:space="preserve"> and</w:t>
      </w:r>
      <w:r w:rsidRPr="00F924F0">
        <w:rPr>
          <w:rFonts w:ascii="Times New Roman" w:hAnsi="Times New Roman" w:cs="Times New Roman"/>
          <w:sz w:val="24"/>
          <w:szCs w:val="24"/>
        </w:rPr>
        <w:t xml:space="preserve"> a promise to avoid certain conduct, </w:t>
      </w:r>
    </w:p>
    <w:p w14:paraId="41F84074" w14:textId="358C1BF0" w:rsidR="008B4A3C" w:rsidRPr="00F924F0" w:rsidRDefault="008B4A3C" w:rsidP="00F924F0">
      <w:pPr>
        <w:spacing w:line="480" w:lineRule="auto"/>
        <w:ind w:firstLine="720"/>
        <w:jc w:val="both"/>
        <w:rPr>
          <w:rFonts w:ascii="Times New Roman" w:hAnsi="Times New Roman" w:cs="Times New Roman"/>
          <w:sz w:val="24"/>
          <w:szCs w:val="24"/>
        </w:rPr>
      </w:pPr>
      <w:r w:rsidRPr="00F924F0">
        <w:rPr>
          <w:rFonts w:ascii="Times New Roman" w:hAnsi="Times New Roman" w:cs="Times New Roman"/>
          <w:sz w:val="24"/>
          <w:szCs w:val="24"/>
        </w:rPr>
        <w:t xml:space="preserve">Without consideration, a contract cannot be </w:t>
      </w:r>
      <w:r w:rsidR="00177334" w:rsidRPr="00F924F0">
        <w:rPr>
          <w:rFonts w:ascii="Times New Roman" w:hAnsi="Times New Roman" w:cs="Times New Roman"/>
          <w:sz w:val="24"/>
          <w:szCs w:val="24"/>
        </w:rPr>
        <w:t>enforced</w:t>
      </w:r>
      <w:r w:rsidRPr="00F924F0">
        <w:rPr>
          <w:rFonts w:ascii="Times New Roman" w:hAnsi="Times New Roman" w:cs="Times New Roman"/>
          <w:sz w:val="24"/>
          <w:szCs w:val="24"/>
        </w:rPr>
        <w:t xml:space="preserve">.  This is because this element </w:t>
      </w:r>
      <w:r w:rsidR="00177334" w:rsidRPr="00F924F0">
        <w:rPr>
          <w:rFonts w:ascii="Times New Roman" w:hAnsi="Times New Roman" w:cs="Times New Roman"/>
          <w:sz w:val="24"/>
          <w:szCs w:val="24"/>
        </w:rPr>
        <w:t>entails a</w:t>
      </w:r>
      <w:r w:rsidRPr="00F924F0">
        <w:rPr>
          <w:rFonts w:ascii="Times New Roman" w:hAnsi="Times New Roman" w:cs="Times New Roman"/>
          <w:sz w:val="24"/>
          <w:szCs w:val="24"/>
        </w:rPr>
        <w:t xml:space="preserve"> mutual exchange of </w:t>
      </w:r>
      <w:r w:rsidR="00177334" w:rsidRPr="00F924F0">
        <w:rPr>
          <w:rFonts w:ascii="Times New Roman" w:hAnsi="Times New Roman" w:cs="Times New Roman"/>
          <w:sz w:val="24"/>
          <w:szCs w:val="24"/>
        </w:rPr>
        <w:t>benefits that</w:t>
      </w:r>
      <w:r w:rsidRPr="00F924F0">
        <w:rPr>
          <w:rFonts w:ascii="Times New Roman" w:hAnsi="Times New Roman" w:cs="Times New Roman"/>
          <w:sz w:val="24"/>
          <w:szCs w:val="24"/>
        </w:rPr>
        <w:t xml:space="preserve"> make the contract </w:t>
      </w:r>
      <w:r w:rsidR="00177334" w:rsidRPr="00F924F0">
        <w:rPr>
          <w:rFonts w:ascii="Times New Roman" w:hAnsi="Times New Roman" w:cs="Times New Roman"/>
          <w:sz w:val="24"/>
          <w:szCs w:val="24"/>
        </w:rPr>
        <w:t>fair to</w:t>
      </w:r>
      <w:r w:rsidRPr="00F924F0">
        <w:rPr>
          <w:rFonts w:ascii="Times New Roman" w:hAnsi="Times New Roman" w:cs="Times New Roman"/>
          <w:sz w:val="24"/>
          <w:szCs w:val="24"/>
        </w:rPr>
        <w:t xml:space="preserve"> both parties involved.</w:t>
      </w:r>
      <w:r w:rsidR="00A52964" w:rsidRPr="00F924F0">
        <w:rPr>
          <w:rStyle w:val="FootnoteReference"/>
          <w:rFonts w:ascii="Times New Roman" w:hAnsi="Times New Roman" w:cs="Times New Roman"/>
          <w:sz w:val="24"/>
          <w:szCs w:val="24"/>
        </w:rPr>
        <w:footnoteReference w:id="4"/>
      </w:r>
      <w:r w:rsidRPr="00F924F0">
        <w:rPr>
          <w:rFonts w:ascii="Times New Roman" w:hAnsi="Times New Roman" w:cs="Times New Roman"/>
          <w:sz w:val="24"/>
          <w:szCs w:val="24"/>
        </w:rPr>
        <w:t xml:space="preserve">  </w:t>
      </w:r>
      <w:r w:rsidR="00177334" w:rsidRPr="00F924F0">
        <w:rPr>
          <w:rFonts w:ascii="Times New Roman" w:hAnsi="Times New Roman" w:cs="Times New Roman"/>
          <w:sz w:val="24"/>
          <w:szCs w:val="24"/>
        </w:rPr>
        <w:t>This element</w:t>
      </w:r>
      <w:r w:rsidRPr="00F924F0">
        <w:rPr>
          <w:rFonts w:ascii="Times New Roman" w:hAnsi="Times New Roman" w:cs="Times New Roman"/>
          <w:sz w:val="24"/>
          <w:szCs w:val="24"/>
        </w:rPr>
        <w:t xml:space="preserve"> helps ensure there is some value, which will commit the parties to upholding their obligations.  </w:t>
      </w:r>
      <w:r w:rsidR="00177334" w:rsidRPr="00F924F0">
        <w:rPr>
          <w:rFonts w:ascii="Times New Roman" w:hAnsi="Times New Roman" w:cs="Times New Roman"/>
          <w:sz w:val="24"/>
          <w:szCs w:val="24"/>
        </w:rPr>
        <w:t>Moreover, consideration</w:t>
      </w:r>
      <w:r w:rsidRPr="00F924F0">
        <w:rPr>
          <w:rFonts w:ascii="Times New Roman" w:hAnsi="Times New Roman" w:cs="Times New Roman"/>
          <w:sz w:val="24"/>
          <w:szCs w:val="24"/>
        </w:rPr>
        <w:t xml:space="preserve"> is also evidence that the parties intend to create a legally binding agreement.  It</w:t>
      </w:r>
      <w:r w:rsidR="00A07F0C">
        <w:rPr>
          <w:rFonts w:ascii="Times New Roman" w:hAnsi="Times New Roman" w:cs="Times New Roman"/>
          <w:sz w:val="24"/>
          <w:szCs w:val="24"/>
        </w:rPr>
        <w:t xml:space="preserve"> is an indication that contracting parties </w:t>
      </w:r>
      <w:r w:rsidR="00177334" w:rsidRPr="00F924F0">
        <w:rPr>
          <w:rFonts w:ascii="Times New Roman" w:hAnsi="Times New Roman" w:cs="Times New Roman"/>
          <w:sz w:val="24"/>
          <w:szCs w:val="24"/>
        </w:rPr>
        <w:t>are</w:t>
      </w:r>
      <w:r w:rsidRPr="00F924F0">
        <w:rPr>
          <w:rFonts w:ascii="Times New Roman" w:hAnsi="Times New Roman" w:cs="Times New Roman"/>
          <w:sz w:val="24"/>
          <w:szCs w:val="24"/>
        </w:rPr>
        <w:t xml:space="preserve"> committed to the promises they make and that they are ready to give up </w:t>
      </w:r>
      <w:r w:rsidR="00177334" w:rsidRPr="00F924F0">
        <w:rPr>
          <w:rFonts w:ascii="Times New Roman" w:hAnsi="Times New Roman" w:cs="Times New Roman"/>
          <w:sz w:val="24"/>
          <w:szCs w:val="24"/>
        </w:rPr>
        <w:t>something in</w:t>
      </w:r>
      <w:r w:rsidRPr="00F924F0">
        <w:rPr>
          <w:rFonts w:ascii="Times New Roman" w:hAnsi="Times New Roman" w:cs="Times New Roman"/>
          <w:sz w:val="24"/>
          <w:szCs w:val="24"/>
        </w:rPr>
        <w:t xml:space="preserve"> exchange for another thing. </w:t>
      </w:r>
    </w:p>
    <w:p w14:paraId="5EBFA291" w14:textId="3259C77C" w:rsidR="008B4A3C" w:rsidRPr="00F924F0" w:rsidRDefault="008B4A3C" w:rsidP="00F924F0">
      <w:pPr>
        <w:spacing w:line="480" w:lineRule="auto"/>
        <w:ind w:firstLine="720"/>
        <w:jc w:val="both"/>
        <w:rPr>
          <w:rFonts w:ascii="Times New Roman" w:hAnsi="Times New Roman" w:cs="Times New Roman"/>
          <w:sz w:val="24"/>
          <w:szCs w:val="24"/>
        </w:rPr>
      </w:pPr>
      <w:r w:rsidRPr="00F924F0">
        <w:rPr>
          <w:rFonts w:ascii="Times New Roman" w:hAnsi="Times New Roman" w:cs="Times New Roman"/>
          <w:sz w:val="24"/>
          <w:szCs w:val="24"/>
        </w:rPr>
        <w:t xml:space="preserve">In </w:t>
      </w:r>
      <w:r w:rsidRPr="00F924F0">
        <w:rPr>
          <w:rFonts w:ascii="Times New Roman" w:hAnsi="Times New Roman" w:cs="Times New Roman"/>
          <w:i/>
          <w:iCs/>
          <w:sz w:val="24"/>
          <w:szCs w:val="24"/>
        </w:rPr>
        <w:t>Currie v Misa 1875</w:t>
      </w:r>
      <w:r w:rsidRPr="00F924F0">
        <w:rPr>
          <w:rFonts w:ascii="Times New Roman" w:hAnsi="Times New Roman" w:cs="Times New Roman"/>
          <w:sz w:val="24"/>
          <w:szCs w:val="24"/>
        </w:rPr>
        <w:t>, the term consideration was defined as a particular right, interest</w:t>
      </w:r>
      <w:r w:rsidR="00163CE5" w:rsidRPr="00F924F0">
        <w:rPr>
          <w:rFonts w:ascii="Times New Roman" w:hAnsi="Times New Roman" w:cs="Times New Roman"/>
          <w:sz w:val="24"/>
          <w:szCs w:val="24"/>
        </w:rPr>
        <w:t>,</w:t>
      </w:r>
      <w:r w:rsidRPr="00F924F0">
        <w:rPr>
          <w:rFonts w:ascii="Times New Roman" w:hAnsi="Times New Roman" w:cs="Times New Roman"/>
          <w:sz w:val="24"/>
          <w:szCs w:val="24"/>
        </w:rPr>
        <w:t xml:space="preserve"> or benefit arising from one party </w:t>
      </w:r>
      <w:r w:rsidR="00177334" w:rsidRPr="00F924F0">
        <w:rPr>
          <w:rFonts w:ascii="Times New Roman" w:hAnsi="Times New Roman" w:cs="Times New Roman"/>
          <w:sz w:val="24"/>
          <w:szCs w:val="24"/>
        </w:rPr>
        <w:t>or a</w:t>
      </w:r>
      <w:r w:rsidRPr="00F924F0">
        <w:rPr>
          <w:rFonts w:ascii="Times New Roman" w:hAnsi="Times New Roman" w:cs="Times New Roman"/>
          <w:sz w:val="24"/>
          <w:szCs w:val="24"/>
        </w:rPr>
        <w:t xml:space="preserve"> loss, forbearance</w:t>
      </w:r>
      <w:r w:rsidR="00163CE5" w:rsidRPr="00F924F0">
        <w:rPr>
          <w:rFonts w:ascii="Times New Roman" w:hAnsi="Times New Roman" w:cs="Times New Roman"/>
          <w:sz w:val="24"/>
          <w:szCs w:val="24"/>
        </w:rPr>
        <w:t>,</w:t>
      </w:r>
      <w:r w:rsidRPr="00F924F0">
        <w:rPr>
          <w:rFonts w:ascii="Times New Roman" w:hAnsi="Times New Roman" w:cs="Times New Roman"/>
          <w:sz w:val="24"/>
          <w:szCs w:val="24"/>
        </w:rPr>
        <w:t xml:space="preserve"> or responsibility </w:t>
      </w:r>
      <w:r w:rsidR="00177334" w:rsidRPr="00F924F0">
        <w:rPr>
          <w:rFonts w:ascii="Times New Roman" w:hAnsi="Times New Roman" w:cs="Times New Roman"/>
          <w:sz w:val="24"/>
          <w:szCs w:val="24"/>
        </w:rPr>
        <w:t>that is</w:t>
      </w:r>
      <w:r w:rsidRPr="00F924F0">
        <w:rPr>
          <w:rFonts w:ascii="Times New Roman" w:hAnsi="Times New Roman" w:cs="Times New Roman"/>
          <w:sz w:val="24"/>
          <w:szCs w:val="24"/>
        </w:rPr>
        <w:t xml:space="preserve"> suffered by another party. </w:t>
      </w:r>
      <w:r w:rsidR="00803C3B" w:rsidRPr="00F924F0">
        <w:rPr>
          <w:rStyle w:val="FootnoteReference"/>
          <w:rFonts w:ascii="Times New Roman" w:hAnsi="Times New Roman" w:cs="Times New Roman"/>
          <w:sz w:val="24"/>
          <w:szCs w:val="24"/>
        </w:rPr>
        <w:footnoteReference w:id="5"/>
      </w:r>
      <w:r w:rsidRPr="00F924F0">
        <w:rPr>
          <w:rFonts w:ascii="Times New Roman" w:hAnsi="Times New Roman" w:cs="Times New Roman"/>
          <w:sz w:val="24"/>
          <w:szCs w:val="24"/>
        </w:rPr>
        <w:t xml:space="preserve"> Based on the above definition, it is evident that </w:t>
      </w:r>
      <w:r w:rsidR="00177334" w:rsidRPr="00F924F0">
        <w:rPr>
          <w:rFonts w:ascii="Times New Roman" w:hAnsi="Times New Roman" w:cs="Times New Roman"/>
          <w:sz w:val="24"/>
          <w:szCs w:val="24"/>
        </w:rPr>
        <w:t>all contractual</w:t>
      </w:r>
      <w:r w:rsidRPr="00F924F0">
        <w:rPr>
          <w:rFonts w:ascii="Times New Roman" w:hAnsi="Times New Roman" w:cs="Times New Roman"/>
          <w:sz w:val="24"/>
          <w:szCs w:val="24"/>
        </w:rPr>
        <w:t xml:space="preserve"> promises need to be </w:t>
      </w:r>
      <w:r w:rsidR="00177334" w:rsidRPr="00F924F0">
        <w:rPr>
          <w:rFonts w:ascii="Times New Roman" w:hAnsi="Times New Roman" w:cs="Times New Roman"/>
          <w:sz w:val="24"/>
          <w:szCs w:val="24"/>
        </w:rPr>
        <w:t>supported with</w:t>
      </w:r>
      <w:r w:rsidRPr="00F924F0">
        <w:rPr>
          <w:rFonts w:ascii="Times New Roman" w:hAnsi="Times New Roman" w:cs="Times New Roman"/>
          <w:sz w:val="24"/>
          <w:szCs w:val="24"/>
        </w:rPr>
        <w:t xml:space="preserve"> consideration. The consideration also needs to be of value for it to be enforced. </w:t>
      </w:r>
    </w:p>
    <w:p w14:paraId="774077F2" w14:textId="77777777" w:rsidR="0045461B" w:rsidRPr="00F924F0" w:rsidRDefault="0045461B" w:rsidP="00F924F0">
      <w:pPr>
        <w:spacing w:line="480" w:lineRule="auto"/>
        <w:ind w:firstLine="720"/>
        <w:jc w:val="both"/>
        <w:rPr>
          <w:rFonts w:ascii="Times New Roman" w:hAnsi="Times New Roman" w:cs="Times New Roman"/>
          <w:b/>
          <w:bCs/>
          <w:sz w:val="24"/>
          <w:szCs w:val="24"/>
        </w:rPr>
      </w:pPr>
      <w:r w:rsidRPr="00F924F0">
        <w:rPr>
          <w:rFonts w:ascii="Times New Roman" w:hAnsi="Times New Roman" w:cs="Times New Roman"/>
          <w:b/>
          <w:bCs/>
          <w:sz w:val="24"/>
          <w:szCs w:val="24"/>
        </w:rPr>
        <w:t>Role of Consideration</w:t>
      </w:r>
    </w:p>
    <w:p w14:paraId="7F4672C0" w14:textId="1DDBC19A" w:rsidR="0045461B" w:rsidRPr="00F924F0" w:rsidRDefault="0045461B" w:rsidP="00F924F0">
      <w:pPr>
        <w:spacing w:line="480" w:lineRule="auto"/>
        <w:ind w:firstLine="720"/>
        <w:jc w:val="both"/>
        <w:rPr>
          <w:rFonts w:ascii="Times New Roman" w:hAnsi="Times New Roman" w:cs="Times New Roman"/>
          <w:sz w:val="24"/>
          <w:szCs w:val="24"/>
        </w:rPr>
      </w:pPr>
      <w:r w:rsidRPr="00F924F0">
        <w:rPr>
          <w:rFonts w:ascii="Times New Roman" w:hAnsi="Times New Roman" w:cs="Times New Roman"/>
          <w:sz w:val="24"/>
          <w:szCs w:val="24"/>
        </w:rPr>
        <w:t xml:space="preserve">The main role of consideration in contract law is </w:t>
      </w:r>
      <w:r w:rsidR="00177334" w:rsidRPr="00F924F0">
        <w:rPr>
          <w:rFonts w:ascii="Times New Roman" w:hAnsi="Times New Roman" w:cs="Times New Roman"/>
          <w:sz w:val="24"/>
          <w:szCs w:val="24"/>
        </w:rPr>
        <w:t>to enforce</w:t>
      </w:r>
      <w:r w:rsidRPr="00F924F0">
        <w:rPr>
          <w:rFonts w:ascii="Times New Roman" w:hAnsi="Times New Roman" w:cs="Times New Roman"/>
          <w:sz w:val="24"/>
          <w:szCs w:val="24"/>
        </w:rPr>
        <w:t xml:space="preserve"> promises because the </w:t>
      </w:r>
      <w:r w:rsidR="00A07F0C">
        <w:rPr>
          <w:rFonts w:ascii="Times New Roman" w:hAnsi="Times New Roman" w:cs="Times New Roman"/>
          <w:sz w:val="24"/>
          <w:szCs w:val="24"/>
        </w:rPr>
        <w:t xml:space="preserve">enforceability </w:t>
      </w:r>
      <w:r w:rsidRPr="00F924F0">
        <w:rPr>
          <w:rFonts w:ascii="Times New Roman" w:hAnsi="Times New Roman" w:cs="Times New Roman"/>
          <w:sz w:val="24"/>
          <w:szCs w:val="24"/>
        </w:rPr>
        <w:t xml:space="preserve">depends on the mutual obligation between the parties.  The doctrine is </w:t>
      </w:r>
      <w:r w:rsidR="00177334" w:rsidRPr="00F924F0">
        <w:rPr>
          <w:rFonts w:ascii="Times New Roman" w:hAnsi="Times New Roman" w:cs="Times New Roman"/>
          <w:sz w:val="24"/>
          <w:szCs w:val="24"/>
        </w:rPr>
        <w:t>used to</w:t>
      </w:r>
      <w:r w:rsidRPr="00F924F0">
        <w:rPr>
          <w:rFonts w:ascii="Times New Roman" w:hAnsi="Times New Roman" w:cs="Times New Roman"/>
          <w:sz w:val="24"/>
          <w:szCs w:val="24"/>
        </w:rPr>
        <w:t xml:space="preserve"> </w:t>
      </w:r>
      <w:r w:rsidRPr="00F924F0">
        <w:rPr>
          <w:rFonts w:ascii="Times New Roman" w:hAnsi="Times New Roman" w:cs="Times New Roman"/>
          <w:sz w:val="24"/>
          <w:szCs w:val="24"/>
        </w:rPr>
        <w:lastRenderedPageBreak/>
        <w:t xml:space="preserve">establish whether there are sufficient reasons why a contract needs to be enforced. </w:t>
      </w:r>
      <w:r w:rsidR="00A52964" w:rsidRPr="00F924F0">
        <w:rPr>
          <w:rStyle w:val="FootnoteReference"/>
          <w:rFonts w:ascii="Times New Roman" w:hAnsi="Times New Roman" w:cs="Times New Roman"/>
          <w:sz w:val="24"/>
          <w:szCs w:val="24"/>
        </w:rPr>
        <w:footnoteReference w:id="6"/>
      </w:r>
      <w:r w:rsidRPr="00F924F0">
        <w:rPr>
          <w:rFonts w:ascii="Times New Roman" w:hAnsi="Times New Roman" w:cs="Times New Roman"/>
          <w:sz w:val="24"/>
          <w:szCs w:val="24"/>
        </w:rPr>
        <w:t xml:space="preserve"> This implies </w:t>
      </w:r>
      <w:r w:rsidR="00177334" w:rsidRPr="00F924F0">
        <w:rPr>
          <w:rFonts w:ascii="Times New Roman" w:hAnsi="Times New Roman" w:cs="Times New Roman"/>
          <w:sz w:val="24"/>
          <w:szCs w:val="24"/>
        </w:rPr>
        <w:t>that</w:t>
      </w:r>
      <w:r w:rsidRPr="00F924F0">
        <w:rPr>
          <w:rFonts w:ascii="Times New Roman" w:hAnsi="Times New Roman" w:cs="Times New Roman"/>
          <w:sz w:val="24"/>
          <w:szCs w:val="24"/>
        </w:rPr>
        <w:t xml:space="preserve"> in instances where consideration cannot be </w:t>
      </w:r>
      <w:r w:rsidR="00177334" w:rsidRPr="00F924F0">
        <w:rPr>
          <w:rFonts w:ascii="Times New Roman" w:hAnsi="Times New Roman" w:cs="Times New Roman"/>
          <w:sz w:val="24"/>
          <w:szCs w:val="24"/>
        </w:rPr>
        <w:t>established, then</w:t>
      </w:r>
      <w:r w:rsidRPr="00F924F0">
        <w:rPr>
          <w:rFonts w:ascii="Times New Roman" w:hAnsi="Times New Roman" w:cs="Times New Roman"/>
          <w:sz w:val="24"/>
          <w:szCs w:val="24"/>
        </w:rPr>
        <w:t xml:space="preserve"> there is no reason why a contract needs to be enforced. </w:t>
      </w:r>
    </w:p>
    <w:p w14:paraId="4CAD290F" w14:textId="3F35C2EE" w:rsidR="0045461B" w:rsidRPr="00F924F0" w:rsidRDefault="0045461B" w:rsidP="00F924F0">
      <w:pPr>
        <w:spacing w:line="480" w:lineRule="auto"/>
        <w:ind w:firstLine="720"/>
        <w:jc w:val="both"/>
        <w:rPr>
          <w:rFonts w:ascii="Times New Roman" w:hAnsi="Times New Roman" w:cs="Times New Roman"/>
          <w:sz w:val="24"/>
          <w:szCs w:val="24"/>
        </w:rPr>
      </w:pPr>
      <w:r w:rsidRPr="00F924F0">
        <w:rPr>
          <w:rFonts w:ascii="Times New Roman" w:hAnsi="Times New Roman" w:cs="Times New Roman"/>
          <w:sz w:val="24"/>
          <w:szCs w:val="24"/>
        </w:rPr>
        <w:t xml:space="preserve"> During the 18</w:t>
      </w:r>
      <w:r w:rsidRPr="00F924F0">
        <w:rPr>
          <w:rFonts w:ascii="Times New Roman" w:hAnsi="Times New Roman" w:cs="Times New Roman"/>
          <w:sz w:val="24"/>
          <w:szCs w:val="24"/>
          <w:vertAlign w:val="superscript"/>
        </w:rPr>
        <w:t>th</w:t>
      </w:r>
      <w:r w:rsidRPr="00F924F0">
        <w:rPr>
          <w:rFonts w:ascii="Times New Roman" w:hAnsi="Times New Roman" w:cs="Times New Roman"/>
          <w:sz w:val="24"/>
          <w:szCs w:val="24"/>
        </w:rPr>
        <w:t xml:space="preserve"> </w:t>
      </w:r>
      <w:r w:rsidR="00177334" w:rsidRPr="00F924F0">
        <w:rPr>
          <w:rFonts w:ascii="Times New Roman" w:hAnsi="Times New Roman" w:cs="Times New Roman"/>
          <w:sz w:val="24"/>
          <w:szCs w:val="24"/>
        </w:rPr>
        <w:t>and 19</w:t>
      </w:r>
      <w:r w:rsidRPr="00F924F0">
        <w:rPr>
          <w:rFonts w:ascii="Times New Roman" w:hAnsi="Times New Roman" w:cs="Times New Roman"/>
          <w:sz w:val="24"/>
          <w:szCs w:val="24"/>
          <w:vertAlign w:val="superscript"/>
        </w:rPr>
        <w:t>th</w:t>
      </w:r>
      <w:r w:rsidRPr="00F924F0">
        <w:rPr>
          <w:rFonts w:ascii="Times New Roman" w:hAnsi="Times New Roman" w:cs="Times New Roman"/>
          <w:sz w:val="24"/>
          <w:szCs w:val="24"/>
        </w:rPr>
        <w:t xml:space="preserve"> </w:t>
      </w:r>
      <w:r w:rsidR="00177334" w:rsidRPr="00F924F0">
        <w:rPr>
          <w:rFonts w:ascii="Times New Roman" w:hAnsi="Times New Roman" w:cs="Times New Roman"/>
          <w:sz w:val="24"/>
          <w:szCs w:val="24"/>
        </w:rPr>
        <w:t>Century, consideration</w:t>
      </w:r>
      <w:r w:rsidRPr="00F924F0">
        <w:rPr>
          <w:rFonts w:ascii="Times New Roman" w:hAnsi="Times New Roman" w:cs="Times New Roman"/>
          <w:sz w:val="24"/>
          <w:szCs w:val="24"/>
        </w:rPr>
        <w:t xml:space="preserve"> was used as a </w:t>
      </w:r>
      <w:r w:rsidR="00177334" w:rsidRPr="00F924F0">
        <w:rPr>
          <w:rFonts w:ascii="Times New Roman" w:hAnsi="Times New Roman" w:cs="Times New Roman"/>
          <w:sz w:val="24"/>
          <w:szCs w:val="24"/>
        </w:rPr>
        <w:t>mechanism to</w:t>
      </w:r>
      <w:r w:rsidRPr="00F924F0">
        <w:rPr>
          <w:rFonts w:ascii="Times New Roman" w:hAnsi="Times New Roman" w:cs="Times New Roman"/>
          <w:sz w:val="24"/>
          <w:szCs w:val="24"/>
        </w:rPr>
        <w:t xml:space="preserve"> </w:t>
      </w:r>
      <w:r w:rsidR="00177334" w:rsidRPr="00F924F0">
        <w:rPr>
          <w:rFonts w:ascii="Times New Roman" w:hAnsi="Times New Roman" w:cs="Times New Roman"/>
          <w:sz w:val="24"/>
          <w:szCs w:val="24"/>
        </w:rPr>
        <w:t>prevent enforcement</w:t>
      </w:r>
      <w:r w:rsidRPr="00F924F0">
        <w:rPr>
          <w:rFonts w:ascii="Times New Roman" w:hAnsi="Times New Roman" w:cs="Times New Roman"/>
          <w:sz w:val="24"/>
          <w:szCs w:val="24"/>
        </w:rPr>
        <w:t xml:space="preserve"> of agreements in </w:t>
      </w:r>
      <w:r w:rsidR="00177334" w:rsidRPr="00F924F0">
        <w:rPr>
          <w:rFonts w:ascii="Times New Roman" w:hAnsi="Times New Roman" w:cs="Times New Roman"/>
          <w:sz w:val="24"/>
          <w:szCs w:val="24"/>
        </w:rPr>
        <w:t>instances where</w:t>
      </w:r>
      <w:r w:rsidRPr="00F924F0">
        <w:rPr>
          <w:rFonts w:ascii="Times New Roman" w:hAnsi="Times New Roman" w:cs="Times New Roman"/>
          <w:sz w:val="24"/>
          <w:szCs w:val="24"/>
        </w:rPr>
        <w:t xml:space="preserve"> there was undue </w:t>
      </w:r>
      <w:r w:rsidR="00177334" w:rsidRPr="00F924F0">
        <w:rPr>
          <w:rFonts w:ascii="Times New Roman" w:hAnsi="Times New Roman" w:cs="Times New Roman"/>
          <w:sz w:val="24"/>
          <w:szCs w:val="24"/>
        </w:rPr>
        <w:t>influence,</w:t>
      </w:r>
      <w:r w:rsidRPr="00F924F0">
        <w:rPr>
          <w:rFonts w:ascii="Times New Roman" w:hAnsi="Times New Roman" w:cs="Times New Roman"/>
          <w:sz w:val="24"/>
          <w:szCs w:val="24"/>
        </w:rPr>
        <w:t xml:space="preserve"> duress</w:t>
      </w:r>
      <w:r w:rsidR="00163CE5" w:rsidRPr="00F924F0">
        <w:rPr>
          <w:rFonts w:ascii="Times New Roman" w:hAnsi="Times New Roman" w:cs="Times New Roman"/>
          <w:sz w:val="24"/>
          <w:szCs w:val="24"/>
        </w:rPr>
        <w:t>,</w:t>
      </w:r>
      <w:r w:rsidRPr="00F924F0">
        <w:rPr>
          <w:rFonts w:ascii="Times New Roman" w:hAnsi="Times New Roman" w:cs="Times New Roman"/>
          <w:sz w:val="24"/>
          <w:szCs w:val="24"/>
        </w:rPr>
        <w:t xml:space="preserve"> or any </w:t>
      </w:r>
      <w:r w:rsidR="00163CE5" w:rsidRPr="00F924F0">
        <w:rPr>
          <w:rFonts w:ascii="Times New Roman" w:hAnsi="Times New Roman" w:cs="Times New Roman"/>
          <w:sz w:val="24"/>
          <w:szCs w:val="24"/>
        </w:rPr>
        <w:t>illegal conduct</w:t>
      </w:r>
      <w:r w:rsidRPr="00F924F0">
        <w:rPr>
          <w:rFonts w:ascii="Times New Roman" w:hAnsi="Times New Roman" w:cs="Times New Roman"/>
          <w:sz w:val="24"/>
          <w:szCs w:val="24"/>
        </w:rPr>
        <w:t xml:space="preserve">. </w:t>
      </w:r>
      <w:r w:rsidR="00A52964" w:rsidRPr="00F924F0">
        <w:rPr>
          <w:rStyle w:val="FootnoteReference"/>
          <w:rFonts w:ascii="Times New Roman" w:hAnsi="Times New Roman" w:cs="Times New Roman"/>
          <w:sz w:val="24"/>
          <w:szCs w:val="24"/>
        </w:rPr>
        <w:footnoteReference w:id="7"/>
      </w:r>
    </w:p>
    <w:p w14:paraId="2A0D0149" w14:textId="79049A65" w:rsidR="0045461B" w:rsidRPr="00F924F0" w:rsidRDefault="0045461B" w:rsidP="00F924F0">
      <w:pPr>
        <w:spacing w:line="480" w:lineRule="auto"/>
        <w:ind w:firstLine="720"/>
        <w:jc w:val="both"/>
        <w:rPr>
          <w:rFonts w:ascii="Times New Roman" w:hAnsi="Times New Roman" w:cs="Times New Roman"/>
          <w:sz w:val="24"/>
          <w:szCs w:val="24"/>
        </w:rPr>
      </w:pPr>
      <w:r w:rsidRPr="00F924F0">
        <w:rPr>
          <w:rFonts w:ascii="Times New Roman" w:hAnsi="Times New Roman" w:cs="Times New Roman"/>
          <w:sz w:val="24"/>
          <w:szCs w:val="24"/>
        </w:rPr>
        <w:t xml:space="preserve"> Consideration is used as an </w:t>
      </w:r>
      <w:r w:rsidR="00177334" w:rsidRPr="00F924F0">
        <w:rPr>
          <w:rFonts w:ascii="Times New Roman" w:hAnsi="Times New Roman" w:cs="Times New Roman"/>
          <w:sz w:val="24"/>
          <w:szCs w:val="24"/>
        </w:rPr>
        <w:t>indicator of</w:t>
      </w:r>
      <w:r w:rsidRPr="00F924F0">
        <w:rPr>
          <w:rFonts w:ascii="Times New Roman" w:hAnsi="Times New Roman" w:cs="Times New Roman"/>
          <w:sz w:val="24"/>
          <w:szCs w:val="24"/>
        </w:rPr>
        <w:t xml:space="preserve"> a mutual bargain between parties.  The doctrine can </w:t>
      </w:r>
      <w:r w:rsidR="001F31E0" w:rsidRPr="00F924F0">
        <w:rPr>
          <w:rFonts w:ascii="Times New Roman" w:hAnsi="Times New Roman" w:cs="Times New Roman"/>
          <w:sz w:val="24"/>
          <w:szCs w:val="24"/>
        </w:rPr>
        <w:t>be</w:t>
      </w:r>
      <w:r w:rsidRPr="00F924F0">
        <w:rPr>
          <w:rFonts w:ascii="Times New Roman" w:hAnsi="Times New Roman" w:cs="Times New Roman"/>
          <w:sz w:val="24"/>
          <w:szCs w:val="24"/>
        </w:rPr>
        <w:t xml:space="preserve"> a mechanism that is used in differentiating </w:t>
      </w:r>
      <w:r w:rsidR="00177334" w:rsidRPr="00F924F0">
        <w:rPr>
          <w:rFonts w:ascii="Times New Roman" w:hAnsi="Times New Roman" w:cs="Times New Roman"/>
          <w:sz w:val="24"/>
          <w:szCs w:val="24"/>
        </w:rPr>
        <w:t>between mutual</w:t>
      </w:r>
      <w:r w:rsidRPr="00F924F0">
        <w:rPr>
          <w:rFonts w:ascii="Times New Roman" w:hAnsi="Times New Roman" w:cs="Times New Roman"/>
          <w:sz w:val="24"/>
          <w:szCs w:val="24"/>
        </w:rPr>
        <w:t xml:space="preserve"> promises </w:t>
      </w:r>
      <w:r w:rsidR="00177334" w:rsidRPr="00F924F0">
        <w:rPr>
          <w:rFonts w:ascii="Times New Roman" w:hAnsi="Times New Roman" w:cs="Times New Roman"/>
          <w:sz w:val="24"/>
          <w:szCs w:val="24"/>
        </w:rPr>
        <w:t>and</w:t>
      </w:r>
      <w:r w:rsidRPr="00F924F0">
        <w:rPr>
          <w:rFonts w:ascii="Times New Roman" w:hAnsi="Times New Roman" w:cs="Times New Roman"/>
          <w:sz w:val="24"/>
          <w:szCs w:val="24"/>
        </w:rPr>
        <w:t xml:space="preserve"> those that are donative and gratuitous promises.  While the </w:t>
      </w:r>
      <w:r w:rsidR="00177334" w:rsidRPr="00F924F0">
        <w:rPr>
          <w:rFonts w:ascii="Times New Roman" w:hAnsi="Times New Roman" w:cs="Times New Roman"/>
          <w:sz w:val="24"/>
          <w:szCs w:val="24"/>
        </w:rPr>
        <w:t>latter</w:t>
      </w:r>
      <w:r w:rsidRPr="00F924F0">
        <w:rPr>
          <w:rFonts w:ascii="Times New Roman" w:hAnsi="Times New Roman" w:cs="Times New Roman"/>
          <w:sz w:val="24"/>
          <w:szCs w:val="24"/>
        </w:rPr>
        <w:t xml:space="preserve"> does not have an economic </w:t>
      </w:r>
      <w:r w:rsidR="00177334" w:rsidRPr="00F924F0">
        <w:rPr>
          <w:rFonts w:ascii="Times New Roman" w:hAnsi="Times New Roman" w:cs="Times New Roman"/>
          <w:sz w:val="24"/>
          <w:szCs w:val="24"/>
        </w:rPr>
        <w:t>value, the</w:t>
      </w:r>
      <w:r w:rsidRPr="00F924F0">
        <w:rPr>
          <w:rFonts w:ascii="Times New Roman" w:hAnsi="Times New Roman" w:cs="Times New Roman"/>
          <w:sz w:val="24"/>
          <w:szCs w:val="24"/>
        </w:rPr>
        <w:t xml:space="preserve"> former has economic </w:t>
      </w:r>
      <w:r w:rsidR="001F31E0" w:rsidRPr="00F924F0">
        <w:rPr>
          <w:rFonts w:ascii="Times New Roman" w:hAnsi="Times New Roman" w:cs="Times New Roman"/>
          <w:sz w:val="24"/>
          <w:szCs w:val="24"/>
        </w:rPr>
        <w:t>value,</w:t>
      </w:r>
      <w:r w:rsidRPr="00F924F0">
        <w:rPr>
          <w:rFonts w:ascii="Times New Roman" w:hAnsi="Times New Roman" w:cs="Times New Roman"/>
          <w:sz w:val="24"/>
          <w:szCs w:val="24"/>
        </w:rPr>
        <w:t xml:space="preserve"> and it leads to an exchange of wealth in society.  Promises are considered to have an intangible value </w:t>
      </w:r>
      <w:r w:rsidR="00177334" w:rsidRPr="00F924F0">
        <w:rPr>
          <w:rFonts w:ascii="Times New Roman" w:hAnsi="Times New Roman" w:cs="Times New Roman"/>
          <w:sz w:val="24"/>
          <w:szCs w:val="24"/>
        </w:rPr>
        <w:t>that result</w:t>
      </w:r>
      <w:r w:rsidR="00163CE5" w:rsidRPr="00F924F0">
        <w:rPr>
          <w:rFonts w:ascii="Times New Roman" w:hAnsi="Times New Roman" w:cs="Times New Roman"/>
          <w:sz w:val="24"/>
          <w:szCs w:val="24"/>
        </w:rPr>
        <w:t>s</w:t>
      </w:r>
      <w:r w:rsidRPr="00F924F0">
        <w:rPr>
          <w:rFonts w:ascii="Times New Roman" w:hAnsi="Times New Roman" w:cs="Times New Roman"/>
          <w:sz w:val="24"/>
          <w:szCs w:val="24"/>
        </w:rPr>
        <w:t xml:space="preserve"> from the donative intent, </w:t>
      </w:r>
      <w:r w:rsidR="00177334" w:rsidRPr="00F924F0">
        <w:rPr>
          <w:rFonts w:ascii="Times New Roman" w:hAnsi="Times New Roman" w:cs="Times New Roman"/>
          <w:sz w:val="24"/>
          <w:szCs w:val="24"/>
        </w:rPr>
        <w:t>which creates</w:t>
      </w:r>
      <w:r w:rsidRPr="00F924F0">
        <w:rPr>
          <w:rFonts w:ascii="Times New Roman" w:hAnsi="Times New Roman" w:cs="Times New Roman"/>
          <w:sz w:val="24"/>
          <w:szCs w:val="24"/>
        </w:rPr>
        <w:t xml:space="preserve"> a feeling of generosity. </w:t>
      </w:r>
      <w:r w:rsidR="00F924F0" w:rsidRPr="00F924F0">
        <w:rPr>
          <w:rStyle w:val="FootnoteReference"/>
          <w:rFonts w:ascii="Times New Roman" w:hAnsi="Times New Roman" w:cs="Times New Roman"/>
          <w:sz w:val="24"/>
          <w:szCs w:val="24"/>
        </w:rPr>
        <w:footnoteReference w:id="8"/>
      </w:r>
      <w:r w:rsidRPr="00F924F0">
        <w:rPr>
          <w:rFonts w:ascii="Times New Roman" w:hAnsi="Times New Roman" w:cs="Times New Roman"/>
          <w:sz w:val="24"/>
          <w:szCs w:val="24"/>
        </w:rPr>
        <w:t xml:space="preserve"> However, this value is eliminated </w:t>
      </w:r>
      <w:r w:rsidR="00177334" w:rsidRPr="00F924F0">
        <w:rPr>
          <w:rFonts w:ascii="Times New Roman" w:hAnsi="Times New Roman" w:cs="Times New Roman"/>
          <w:sz w:val="24"/>
          <w:szCs w:val="24"/>
        </w:rPr>
        <w:t>because the</w:t>
      </w:r>
      <w:r w:rsidRPr="00F924F0">
        <w:rPr>
          <w:rFonts w:ascii="Times New Roman" w:hAnsi="Times New Roman" w:cs="Times New Roman"/>
          <w:sz w:val="24"/>
          <w:szCs w:val="24"/>
        </w:rPr>
        <w:t xml:space="preserve"> element of </w:t>
      </w:r>
      <w:r w:rsidR="00177334" w:rsidRPr="00F924F0">
        <w:rPr>
          <w:rFonts w:ascii="Times New Roman" w:hAnsi="Times New Roman" w:cs="Times New Roman"/>
          <w:sz w:val="24"/>
          <w:szCs w:val="24"/>
        </w:rPr>
        <w:t>generosity</w:t>
      </w:r>
      <w:r w:rsidRPr="00F924F0">
        <w:rPr>
          <w:rFonts w:ascii="Times New Roman" w:hAnsi="Times New Roman" w:cs="Times New Roman"/>
          <w:sz w:val="24"/>
          <w:szCs w:val="24"/>
        </w:rPr>
        <w:t xml:space="preserve"> does not qualify an agreement for enforcement.  Based on the </w:t>
      </w:r>
      <w:r w:rsidR="00177334" w:rsidRPr="00F924F0">
        <w:rPr>
          <w:rFonts w:ascii="Times New Roman" w:hAnsi="Times New Roman" w:cs="Times New Roman"/>
          <w:sz w:val="24"/>
          <w:szCs w:val="24"/>
        </w:rPr>
        <w:t>above, it</w:t>
      </w:r>
      <w:r w:rsidRPr="00F924F0">
        <w:rPr>
          <w:rFonts w:ascii="Times New Roman" w:hAnsi="Times New Roman" w:cs="Times New Roman"/>
          <w:sz w:val="24"/>
          <w:szCs w:val="24"/>
        </w:rPr>
        <w:t xml:space="preserve"> is evident that consideration entails a mutual exchange of </w:t>
      </w:r>
      <w:r w:rsidR="001F31E0" w:rsidRPr="00F924F0">
        <w:rPr>
          <w:rFonts w:ascii="Times New Roman" w:hAnsi="Times New Roman" w:cs="Times New Roman"/>
          <w:sz w:val="24"/>
          <w:szCs w:val="24"/>
        </w:rPr>
        <w:t>promises,</w:t>
      </w:r>
      <w:r w:rsidR="00177334" w:rsidRPr="00F924F0">
        <w:rPr>
          <w:rFonts w:ascii="Times New Roman" w:hAnsi="Times New Roman" w:cs="Times New Roman"/>
          <w:sz w:val="24"/>
          <w:szCs w:val="24"/>
        </w:rPr>
        <w:t xml:space="preserve"> and</w:t>
      </w:r>
      <w:r w:rsidRPr="00F924F0">
        <w:rPr>
          <w:rFonts w:ascii="Times New Roman" w:hAnsi="Times New Roman" w:cs="Times New Roman"/>
          <w:sz w:val="24"/>
          <w:szCs w:val="24"/>
        </w:rPr>
        <w:t xml:space="preserve"> that consideration is only present when there is an economic value, which determines enforceability. </w:t>
      </w:r>
    </w:p>
    <w:p w14:paraId="2653C886" w14:textId="647A815B" w:rsidR="0045461B" w:rsidRPr="00F924F0" w:rsidRDefault="0045461B" w:rsidP="00F924F0">
      <w:pPr>
        <w:spacing w:line="480" w:lineRule="auto"/>
        <w:ind w:firstLine="720"/>
        <w:jc w:val="both"/>
        <w:rPr>
          <w:rFonts w:ascii="Times New Roman" w:hAnsi="Times New Roman" w:cs="Times New Roman"/>
          <w:sz w:val="24"/>
          <w:szCs w:val="24"/>
        </w:rPr>
      </w:pPr>
      <w:r w:rsidRPr="00F924F0">
        <w:rPr>
          <w:rFonts w:ascii="Times New Roman" w:hAnsi="Times New Roman" w:cs="Times New Roman"/>
          <w:sz w:val="24"/>
          <w:szCs w:val="24"/>
        </w:rPr>
        <w:t xml:space="preserve"> The doctrine is </w:t>
      </w:r>
      <w:r w:rsidR="00A07F0C">
        <w:rPr>
          <w:rFonts w:ascii="Times New Roman" w:hAnsi="Times New Roman" w:cs="Times New Roman"/>
          <w:sz w:val="24"/>
          <w:szCs w:val="24"/>
        </w:rPr>
        <w:t xml:space="preserve">also used for </w:t>
      </w:r>
      <w:r w:rsidRPr="00F924F0">
        <w:rPr>
          <w:rFonts w:ascii="Times New Roman" w:hAnsi="Times New Roman" w:cs="Times New Roman"/>
          <w:sz w:val="24"/>
          <w:szCs w:val="24"/>
        </w:rPr>
        <w:t>formality</w:t>
      </w:r>
      <w:r w:rsidR="00A07F0C">
        <w:rPr>
          <w:rFonts w:ascii="Times New Roman" w:hAnsi="Times New Roman" w:cs="Times New Roman"/>
          <w:sz w:val="24"/>
          <w:szCs w:val="24"/>
        </w:rPr>
        <w:t xml:space="preserve"> purposes</w:t>
      </w:r>
      <w:r w:rsidRPr="00F924F0">
        <w:rPr>
          <w:rFonts w:ascii="Times New Roman" w:hAnsi="Times New Roman" w:cs="Times New Roman"/>
          <w:sz w:val="24"/>
          <w:szCs w:val="24"/>
        </w:rPr>
        <w:t>.  The doctrine is one of the formalities required for a promise to be enforced.  The other recogni</w:t>
      </w:r>
      <w:r w:rsidR="00163CE5" w:rsidRPr="00F924F0">
        <w:rPr>
          <w:rFonts w:ascii="Times New Roman" w:hAnsi="Times New Roman" w:cs="Times New Roman"/>
          <w:sz w:val="24"/>
          <w:szCs w:val="24"/>
        </w:rPr>
        <w:t>z</w:t>
      </w:r>
      <w:r w:rsidRPr="00F924F0">
        <w:rPr>
          <w:rFonts w:ascii="Times New Roman" w:hAnsi="Times New Roman" w:cs="Times New Roman"/>
          <w:sz w:val="24"/>
          <w:szCs w:val="24"/>
        </w:rPr>
        <w:t xml:space="preserve">ed formalities are written deeds or </w:t>
      </w:r>
      <w:r w:rsidR="00177334" w:rsidRPr="00F924F0">
        <w:rPr>
          <w:rFonts w:ascii="Times New Roman" w:hAnsi="Times New Roman" w:cs="Times New Roman"/>
          <w:sz w:val="24"/>
          <w:szCs w:val="24"/>
        </w:rPr>
        <w:t>signing</w:t>
      </w:r>
      <w:r w:rsidRPr="00F924F0">
        <w:rPr>
          <w:rFonts w:ascii="Times New Roman" w:hAnsi="Times New Roman" w:cs="Times New Roman"/>
          <w:sz w:val="24"/>
          <w:szCs w:val="24"/>
        </w:rPr>
        <w:t xml:space="preserve"> before a witness.  As such, consideration provides evidence of the existence of a promise. </w:t>
      </w:r>
      <w:r w:rsidR="00177334" w:rsidRPr="00F924F0">
        <w:rPr>
          <w:rFonts w:ascii="Times New Roman" w:hAnsi="Times New Roman" w:cs="Times New Roman"/>
          <w:sz w:val="24"/>
          <w:szCs w:val="24"/>
        </w:rPr>
        <w:t>Also, the</w:t>
      </w:r>
      <w:r w:rsidRPr="00F924F0">
        <w:rPr>
          <w:rFonts w:ascii="Times New Roman" w:hAnsi="Times New Roman" w:cs="Times New Roman"/>
          <w:sz w:val="24"/>
          <w:szCs w:val="24"/>
        </w:rPr>
        <w:t xml:space="preserve"> doctrine provides a legal framework through which a promisor can express intention in a legally effective manner. </w:t>
      </w:r>
    </w:p>
    <w:p w14:paraId="679563FB" w14:textId="2026D9A4" w:rsidR="008B4A3C" w:rsidRPr="00F924F0" w:rsidRDefault="008B4A3C" w:rsidP="00F924F0">
      <w:pPr>
        <w:spacing w:line="480" w:lineRule="auto"/>
        <w:ind w:firstLine="720"/>
        <w:jc w:val="center"/>
        <w:rPr>
          <w:rFonts w:ascii="Times New Roman" w:hAnsi="Times New Roman" w:cs="Times New Roman"/>
          <w:b/>
          <w:bCs/>
          <w:sz w:val="24"/>
          <w:szCs w:val="24"/>
        </w:rPr>
      </w:pPr>
      <w:r w:rsidRPr="00F924F0">
        <w:rPr>
          <w:rFonts w:ascii="Times New Roman" w:hAnsi="Times New Roman" w:cs="Times New Roman"/>
          <w:b/>
          <w:bCs/>
          <w:sz w:val="24"/>
          <w:szCs w:val="24"/>
        </w:rPr>
        <w:t>Types of Consideration</w:t>
      </w:r>
    </w:p>
    <w:p w14:paraId="580C2664" w14:textId="4D1E27EC" w:rsidR="008B4A3C" w:rsidRPr="00F924F0" w:rsidRDefault="00A82B3B" w:rsidP="00F924F0">
      <w:pPr>
        <w:spacing w:line="480" w:lineRule="auto"/>
        <w:ind w:firstLine="720"/>
        <w:jc w:val="both"/>
        <w:rPr>
          <w:rFonts w:ascii="Times New Roman" w:hAnsi="Times New Roman" w:cs="Times New Roman"/>
          <w:b/>
          <w:bCs/>
          <w:i/>
          <w:iCs/>
          <w:sz w:val="24"/>
          <w:szCs w:val="24"/>
        </w:rPr>
      </w:pPr>
      <w:r w:rsidRPr="00F924F0">
        <w:rPr>
          <w:rFonts w:ascii="Times New Roman" w:hAnsi="Times New Roman" w:cs="Times New Roman"/>
          <w:b/>
          <w:bCs/>
          <w:i/>
          <w:iCs/>
          <w:sz w:val="24"/>
          <w:szCs w:val="24"/>
        </w:rPr>
        <w:lastRenderedPageBreak/>
        <w:t xml:space="preserve">Executory Consideration </w:t>
      </w:r>
    </w:p>
    <w:p w14:paraId="0B0456C0" w14:textId="66C2AF95" w:rsidR="00A82B3B" w:rsidRPr="00F924F0" w:rsidRDefault="00A82B3B" w:rsidP="00F924F0">
      <w:pPr>
        <w:spacing w:line="480" w:lineRule="auto"/>
        <w:ind w:firstLine="720"/>
        <w:jc w:val="both"/>
        <w:rPr>
          <w:rFonts w:ascii="Times New Roman" w:hAnsi="Times New Roman" w:cs="Times New Roman"/>
          <w:sz w:val="24"/>
          <w:szCs w:val="24"/>
        </w:rPr>
      </w:pPr>
      <w:r w:rsidRPr="00F924F0">
        <w:rPr>
          <w:rFonts w:ascii="Times New Roman" w:hAnsi="Times New Roman" w:cs="Times New Roman"/>
          <w:sz w:val="24"/>
          <w:szCs w:val="24"/>
        </w:rPr>
        <w:t xml:space="preserve"> This type of consideration comprises a promise that is made in exchange </w:t>
      </w:r>
      <w:r w:rsidR="00163CE5" w:rsidRPr="00F924F0">
        <w:rPr>
          <w:rFonts w:ascii="Times New Roman" w:hAnsi="Times New Roman" w:cs="Times New Roman"/>
          <w:sz w:val="24"/>
          <w:szCs w:val="24"/>
        </w:rPr>
        <w:t>for</w:t>
      </w:r>
      <w:r w:rsidRPr="00F924F0">
        <w:rPr>
          <w:rFonts w:ascii="Times New Roman" w:hAnsi="Times New Roman" w:cs="Times New Roman"/>
          <w:sz w:val="24"/>
          <w:szCs w:val="24"/>
        </w:rPr>
        <w:t xml:space="preserve"> a promise, in instances where the promises are yet to be performed.  </w:t>
      </w:r>
      <w:r w:rsidR="00A52964" w:rsidRPr="00F924F0">
        <w:rPr>
          <w:rStyle w:val="FootnoteReference"/>
          <w:rFonts w:ascii="Times New Roman" w:hAnsi="Times New Roman" w:cs="Times New Roman"/>
          <w:sz w:val="24"/>
          <w:szCs w:val="24"/>
        </w:rPr>
        <w:footnoteReference w:id="9"/>
      </w:r>
      <w:r w:rsidRPr="00F924F0">
        <w:rPr>
          <w:rFonts w:ascii="Times New Roman" w:hAnsi="Times New Roman" w:cs="Times New Roman"/>
          <w:sz w:val="24"/>
          <w:szCs w:val="24"/>
        </w:rPr>
        <w:t xml:space="preserve">This mostly occurs in instances where there is a contract between a seller and a buyer regarding services that intend to be executed in the future.  This can be seen in </w:t>
      </w:r>
      <w:r w:rsidRPr="00F924F0">
        <w:rPr>
          <w:rFonts w:ascii="Times New Roman" w:hAnsi="Times New Roman" w:cs="Times New Roman"/>
          <w:i/>
          <w:iCs/>
          <w:sz w:val="24"/>
          <w:szCs w:val="24"/>
        </w:rPr>
        <w:t>Carlill</w:t>
      </w:r>
      <w:r w:rsidR="00163CE5" w:rsidRPr="00F924F0">
        <w:rPr>
          <w:rFonts w:ascii="Times New Roman" w:hAnsi="Times New Roman" w:cs="Times New Roman"/>
          <w:i/>
          <w:iCs/>
          <w:sz w:val="24"/>
          <w:szCs w:val="24"/>
        </w:rPr>
        <w:t>'s</w:t>
      </w:r>
      <w:r w:rsidR="007D2E97" w:rsidRPr="00F924F0">
        <w:rPr>
          <w:rFonts w:ascii="Times New Roman" w:hAnsi="Times New Roman" w:cs="Times New Roman"/>
          <w:i/>
          <w:iCs/>
          <w:sz w:val="24"/>
          <w:szCs w:val="24"/>
        </w:rPr>
        <w:t xml:space="preserve"> case</w:t>
      </w:r>
      <w:r w:rsidRPr="00F924F0">
        <w:rPr>
          <w:rFonts w:ascii="Times New Roman" w:hAnsi="Times New Roman" w:cs="Times New Roman"/>
          <w:sz w:val="24"/>
          <w:szCs w:val="24"/>
        </w:rPr>
        <w:t xml:space="preserve">, where a promise was made to pay </w:t>
      </w:r>
      <w:r w:rsidR="00A07F0C">
        <w:rPr>
          <w:rFonts w:ascii="Times New Roman" w:hAnsi="Times New Roman" w:cs="Times New Roman"/>
          <w:sz w:val="24"/>
          <w:szCs w:val="24"/>
        </w:rPr>
        <w:t>an agreed amount if they contracted influenza while using</w:t>
      </w:r>
      <w:r w:rsidRPr="00F924F0">
        <w:rPr>
          <w:rFonts w:ascii="Times New Roman" w:hAnsi="Times New Roman" w:cs="Times New Roman"/>
          <w:sz w:val="24"/>
          <w:szCs w:val="24"/>
        </w:rPr>
        <w:t xml:space="preserve"> ball.</w:t>
      </w:r>
      <w:r w:rsidR="007D2E97" w:rsidRPr="00F924F0">
        <w:rPr>
          <w:rStyle w:val="FootnoteReference"/>
          <w:rFonts w:ascii="Times New Roman" w:hAnsi="Times New Roman" w:cs="Times New Roman"/>
          <w:sz w:val="24"/>
          <w:szCs w:val="24"/>
        </w:rPr>
        <w:footnoteReference w:id="10"/>
      </w:r>
      <w:r w:rsidRPr="00F924F0">
        <w:rPr>
          <w:rFonts w:ascii="Times New Roman" w:hAnsi="Times New Roman" w:cs="Times New Roman"/>
          <w:sz w:val="24"/>
          <w:szCs w:val="24"/>
        </w:rPr>
        <w:t xml:space="preserve">  In this case, the court established that there was sufficient </w:t>
      </w:r>
      <w:r w:rsidR="001F31E0" w:rsidRPr="00F924F0">
        <w:rPr>
          <w:rFonts w:ascii="Times New Roman" w:hAnsi="Times New Roman" w:cs="Times New Roman"/>
          <w:sz w:val="24"/>
          <w:szCs w:val="24"/>
        </w:rPr>
        <w:t>consideration.</w:t>
      </w:r>
      <w:r w:rsidRPr="00F924F0">
        <w:rPr>
          <w:rFonts w:ascii="Times New Roman" w:hAnsi="Times New Roman" w:cs="Times New Roman"/>
          <w:sz w:val="24"/>
          <w:szCs w:val="24"/>
        </w:rPr>
        <w:t xml:space="preserve">  </w:t>
      </w:r>
    </w:p>
    <w:p w14:paraId="0ECF35FB" w14:textId="285C1A06" w:rsidR="00A82B3B" w:rsidRPr="00F924F0" w:rsidRDefault="00A82B3B" w:rsidP="00F924F0">
      <w:pPr>
        <w:spacing w:line="480" w:lineRule="auto"/>
        <w:ind w:firstLine="720"/>
        <w:jc w:val="both"/>
        <w:rPr>
          <w:rFonts w:ascii="Times New Roman" w:hAnsi="Times New Roman" w:cs="Times New Roman"/>
          <w:b/>
          <w:bCs/>
          <w:i/>
          <w:iCs/>
          <w:sz w:val="24"/>
          <w:szCs w:val="24"/>
        </w:rPr>
      </w:pPr>
      <w:r w:rsidRPr="00F924F0">
        <w:rPr>
          <w:rFonts w:ascii="Times New Roman" w:hAnsi="Times New Roman" w:cs="Times New Roman"/>
          <w:b/>
          <w:bCs/>
          <w:i/>
          <w:iCs/>
          <w:sz w:val="24"/>
          <w:szCs w:val="24"/>
        </w:rPr>
        <w:t>Executed Consideration</w:t>
      </w:r>
    </w:p>
    <w:p w14:paraId="69FF07BB" w14:textId="7AE30F64" w:rsidR="00A82B3B" w:rsidRPr="00F924F0" w:rsidRDefault="00A82B3B" w:rsidP="00F924F0">
      <w:pPr>
        <w:spacing w:line="480" w:lineRule="auto"/>
        <w:ind w:firstLine="720"/>
        <w:jc w:val="both"/>
        <w:rPr>
          <w:rFonts w:ascii="Times New Roman" w:hAnsi="Times New Roman" w:cs="Times New Roman"/>
          <w:sz w:val="24"/>
          <w:szCs w:val="24"/>
        </w:rPr>
      </w:pPr>
      <w:r w:rsidRPr="00F924F0">
        <w:rPr>
          <w:rFonts w:ascii="Times New Roman" w:hAnsi="Times New Roman" w:cs="Times New Roman"/>
          <w:sz w:val="24"/>
          <w:szCs w:val="24"/>
        </w:rPr>
        <w:t xml:space="preserve"> Under this type of consideration, one party has fulfilled their part of the </w:t>
      </w:r>
      <w:r w:rsidR="00177334" w:rsidRPr="00F924F0">
        <w:rPr>
          <w:rFonts w:ascii="Times New Roman" w:hAnsi="Times New Roman" w:cs="Times New Roman"/>
          <w:sz w:val="24"/>
          <w:szCs w:val="24"/>
        </w:rPr>
        <w:t>bargain</w:t>
      </w:r>
      <w:r w:rsidR="00163CE5" w:rsidRPr="00F924F0">
        <w:rPr>
          <w:rFonts w:ascii="Times New Roman" w:hAnsi="Times New Roman" w:cs="Times New Roman"/>
          <w:sz w:val="24"/>
          <w:szCs w:val="24"/>
        </w:rPr>
        <w:t>,</w:t>
      </w:r>
      <w:r w:rsidR="00177334" w:rsidRPr="00F924F0">
        <w:rPr>
          <w:rFonts w:ascii="Times New Roman" w:hAnsi="Times New Roman" w:cs="Times New Roman"/>
          <w:sz w:val="24"/>
          <w:szCs w:val="24"/>
        </w:rPr>
        <w:t xml:space="preserve"> and</w:t>
      </w:r>
      <w:r w:rsidRPr="00F924F0">
        <w:rPr>
          <w:rFonts w:ascii="Times New Roman" w:hAnsi="Times New Roman" w:cs="Times New Roman"/>
          <w:sz w:val="24"/>
          <w:szCs w:val="24"/>
        </w:rPr>
        <w:t xml:space="preserve"> the outstanding liability is </w:t>
      </w:r>
      <w:r w:rsidR="007D2E97" w:rsidRPr="00F924F0">
        <w:rPr>
          <w:rFonts w:ascii="Times New Roman" w:hAnsi="Times New Roman" w:cs="Times New Roman"/>
          <w:sz w:val="24"/>
          <w:szCs w:val="24"/>
        </w:rPr>
        <w:t>left to</w:t>
      </w:r>
      <w:r w:rsidRPr="00F924F0">
        <w:rPr>
          <w:rFonts w:ascii="Times New Roman" w:hAnsi="Times New Roman" w:cs="Times New Roman"/>
          <w:sz w:val="24"/>
          <w:szCs w:val="24"/>
        </w:rPr>
        <w:t xml:space="preserve"> the other party. This can be seen </w:t>
      </w:r>
      <w:r w:rsidR="007D2E97" w:rsidRPr="00F924F0">
        <w:rPr>
          <w:rFonts w:ascii="Times New Roman" w:hAnsi="Times New Roman" w:cs="Times New Roman"/>
          <w:sz w:val="24"/>
          <w:szCs w:val="24"/>
        </w:rPr>
        <w:t xml:space="preserve">in </w:t>
      </w:r>
      <w:r w:rsidR="00163CE5" w:rsidRPr="00F924F0">
        <w:rPr>
          <w:rFonts w:ascii="Times New Roman" w:hAnsi="Times New Roman" w:cs="Times New Roman"/>
          <w:sz w:val="24"/>
          <w:szCs w:val="24"/>
        </w:rPr>
        <w:t xml:space="preserve">the </w:t>
      </w:r>
      <w:proofErr w:type="spellStart"/>
      <w:r w:rsidR="007D2E97" w:rsidRPr="00F924F0">
        <w:rPr>
          <w:rFonts w:ascii="Times New Roman" w:hAnsi="Times New Roman" w:cs="Times New Roman"/>
          <w:i/>
          <w:iCs/>
          <w:sz w:val="24"/>
          <w:szCs w:val="24"/>
        </w:rPr>
        <w:t>Winadell</w:t>
      </w:r>
      <w:proofErr w:type="spellEnd"/>
      <w:r w:rsidRPr="00F924F0">
        <w:rPr>
          <w:rFonts w:ascii="Times New Roman" w:hAnsi="Times New Roman" w:cs="Times New Roman"/>
          <w:i/>
          <w:iCs/>
          <w:sz w:val="24"/>
          <w:szCs w:val="24"/>
        </w:rPr>
        <w:t xml:space="preserve"> </w:t>
      </w:r>
      <w:r w:rsidR="007D2E97" w:rsidRPr="00F924F0">
        <w:rPr>
          <w:rFonts w:ascii="Times New Roman" w:hAnsi="Times New Roman" w:cs="Times New Roman"/>
          <w:i/>
          <w:iCs/>
          <w:sz w:val="24"/>
          <w:szCs w:val="24"/>
        </w:rPr>
        <w:t>case</w:t>
      </w:r>
      <w:r w:rsidRPr="00F924F0">
        <w:rPr>
          <w:rFonts w:ascii="Times New Roman" w:hAnsi="Times New Roman" w:cs="Times New Roman"/>
          <w:sz w:val="24"/>
          <w:szCs w:val="24"/>
        </w:rPr>
        <w:t xml:space="preserve">, where </w:t>
      </w:r>
      <w:r w:rsidR="00A07F0C">
        <w:rPr>
          <w:rFonts w:ascii="Times New Roman" w:hAnsi="Times New Roman" w:cs="Times New Roman"/>
          <w:sz w:val="24"/>
          <w:szCs w:val="24"/>
        </w:rPr>
        <w:t xml:space="preserve">it was established </w:t>
      </w:r>
      <w:r w:rsidRPr="00F924F0">
        <w:rPr>
          <w:rFonts w:ascii="Times New Roman" w:hAnsi="Times New Roman" w:cs="Times New Roman"/>
          <w:sz w:val="24"/>
          <w:szCs w:val="24"/>
        </w:rPr>
        <w:t xml:space="preserve">that a good consideration is established in instances </w:t>
      </w:r>
      <w:r w:rsidR="00177334" w:rsidRPr="00F924F0">
        <w:rPr>
          <w:rFonts w:ascii="Times New Roman" w:hAnsi="Times New Roman" w:cs="Times New Roman"/>
          <w:sz w:val="24"/>
          <w:szCs w:val="24"/>
        </w:rPr>
        <w:t>where a</w:t>
      </w:r>
      <w:r w:rsidRPr="00F924F0">
        <w:rPr>
          <w:rFonts w:ascii="Times New Roman" w:hAnsi="Times New Roman" w:cs="Times New Roman"/>
          <w:sz w:val="24"/>
          <w:szCs w:val="24"/>
        </w:rPr>
        <w:t xml:space="preserve"> promise to perform a preexisting contractual obligation so long as the promise is awarded to the </w:t>
      </w:r>
      <w:r w:rsidR="00EC39CC" w:rsidRPr="00F924F0">
        <w:rPr>
          <w:rFonts w:ascii="Times New Roman" w:hAnsi="Times New Roman" w:cs="Times New Roman"/>
          <w:sz w:val="24"/>
          <w:szCs w:val="24"/>
        </w:rPr>
        <w:t>promise</w:t>
      </w:r>
      <w:r w:rsidRPr="00F924F0">
        <w:rPr>
          <w:rFonts w:ascii="Times New Roman" w:hAnsi="Times New Roman" w:cs="Times New Roman"/>
          <w:sz w:val="24"/>
          <w:szCs w:val="24"/>
        </w:rPr>
        <w:t xml:space="preserve">. </w:t>
      </w:r>
      <w:r w:rsidR="007D2E97" w:rsidRPr="00F924F0">
        <w:rPr>
          <w:rStyle w:val="FootnoteReference"/>
          <w:rFonts w:ascii="Times New Roman" w:hAnsi="Times New Roman" w:cs="Times New Roman"/>
          <w:sz w:val="24"/>
          <w:szCs w:val="24"/>
        </w:rPr>
        <w:footnoteReference w:id="11"/>
      </w:r>
    </w:p>
    <w:p w14:paraId="1DD92937" w14:textId="2B6D1631" w:rsidR="00A82B3B" w:rsidRPr="00F924F0" w:rsidRDefault="00A82B3B" w:rsidP="00F924F0">
      <w:pPr>
        <w:spacing w:line="480" w:lineRule="auto"/>
        <w:ind w:firstLine="720"/>
        <w:jc w:val="both"/>
        <w:rPr>
          <w:rFonts w:ascii="Times New Roman" w:hAnsi="Times New Roman" w:cs="Times New Roman"/>
          <w:b/>
          <w:bCs/>
          <w:sz w:val="24"/>
          <w:szCs w:val="24"/>
        </w:rPr>
      </w:pPr>
      <w:r w:rsidRPr="00F924F0">
        <w:rPr>
          <w:rFonts w:ascii="Times New Roman" w:hAnsi="Times New Roman" w:cs="Times New Roman"/>
          <w:b/>
          <w:bCs/>
          <w:sz w:val="24"/>
          <w:szCs w:val="24"/>
        </w:rPr>
        <w:t>Past Consideration</w:t>
      </w:r>
    </w:p>
    <w:p w14:paraId="78FC6268" w14:textId="3B1E3B07" w:rsidR="00A82B3B" w:rsidRPr="00F924F0" w:rsidRDefault="00163CE5" w:rsidP="00F924F0">
      <w:pPr>
        <w:spacing w:line="480" w:lineRule="auto"/>
        <w:ind w:firstLine="720"/>
        <w:jc w:val="both"/>
        <w:rPr>
          <w:rFonts w:ascii="Times New Roman" w:hAnsi="Times New Roman" w:cs="Times New Roman"/>
          <w:sz w:val="24"/>
          <w:szCs w:val="24"/>
        </w:rPr>
      </w:pPr>
      <w:r w:rsidRPr="00F924F0">
        <w:rPr>
          <w:rFonts w:ascii="Times New Roman" w:hAnsi="Times New Roman" w:cs="Times New Roman"/>
          <w:sz w:val="24"/>
          <w:szCs w:val="24"/>
        </w:rPr>
        <w:t>A c</w:t>
      </w:r>
      <w:r w:rsidR="00A82B3B" w:rsidRPr="00F924F0">
        <w:rPr>
          <w:rFonts w:ascii="Times New Roman" w:hAnsi="Times New Roman" w:cs="Times New Roman"/>
          <w:sz w:val="24"/>
          <w:szCs w:val="24"/>
        </w:rPr>
        <w:t>onsideration that has occurred in the past is also under the categor</w:t>
      </w:r>
      <w:r w:rsidRPr="00F924F0">
        <w:rPr>
          <w:rFonts w:ascii="Times New Roman" w:hAnsi="Times New Roman" w:cs="Times New Roman"/>
          <w:sz w:val="24"/>
          <w:szCs w:val="24"/>
        </w:rPr>
        <w:t>y</w:t>
      </w:r>
      <w:r w:rsidR="00A82B3B" w:rsidRPr="00F924F0">
        <w:rPr>
          <w:rFonts w:ascii="Times New Roman" w:hAnsi="Times New Roman" w:cs="Times New Roman"/>
          <w:sz w:val="24"/>
          <w:szCs w:val="24"/>
        </w:rPr>
        <w:t xml:space="preserve"> of consideration. </w:t>
      </w:r>
      <w:r w:rsidR="00177334" w:rsidRPr="00F924F0">
        <w:rPr>
          <w:rFonts w:ascii="Times New Roman" w:hAnsi="Times New Roman" w:cs="Times New Roman"/>
          <w:sz w:val="24"/>
          <w:szCs w:val="24"/>
        </w:rPr>
        <w:t>However, this</w:t>
      </w:r>
      <w:r w:rsidR="00A82B3B" w:rsidRPr="00F924F0">
        <w:rPr>
          <w:rFonts w:ascii="Times New Roman" w:hAnsi="Times New Roman" w:cs="Times New Roman"/>
          <w:sz w:val="24"/>
          <w:szCs w:val="24"/>
        </w:rPr>
        <w:t xml:space="preserve"> is not a good consideration </w:t>
      </w:r>
      <w:r w:rsidR="00177334" w:rsidRPr="00F924F0">
        <w:rPr>
          <w:rFonts w:ascii="Times New Roman" w:hAnsi="Times New Roman" w:cs="Times New Roman"/>
          <w:sz w:val="24"/>
          <w:szCs w:val="24"/>
        </w:rPr>
        <w:t>because the</w:t>
      </w:r>
      <w:r w:rsidR="00A82B3B" w:rsidRPr="00F924F0">
        <w:rPr>
          <w:rFonts w:ascii="Times New Roman" w:hAnsi="Times New Roman" w:cs="Times New Roman"/>
          <w:sz w:val="24"/>
          <w:szCs w:val="24"/>
        </w:rPr>
        <w:t xml:space="preserve"> </w:t>
      </w:r>
      <w:r w:rsidR="00177334" w:rsidRPr="00F924F0">
        <w:rPr>
          <w:rFonts w:ascii="Times New Roman" w:hAnsi="Times New Roman" w:cs="Times New Roman"/>
          <w:sz w:val="24"/>
          <w:szCs w:val="24"/>
        </w:rPr>
        <w:t>recipient</w:t>
      </w:r>
      <w:r w:rsidR="00A82B3B" w:rsidRPr="00F924F0">
        <w:rPr>
          <w:rFonts w:ascii="Times New Roman" w:hAnsi="Times New Roman" w:cs="Times New Roman"/>
          <w:sz w:val="24"/>
          <w:szCs w:val="24"/>
        </w:rPr>
        <w:t xml:space="preserve"> does not receive any </w:t>
      </w:r>
      <w:r w:rsidR="00177334" w:rsidRPr="00F924F0">
        <w:rPr>
          <w:rFonts w:ascii="Times New Roman" w:hAnsi="Times New Roman" w:cs="Times New Roman"/>
          <w:sz w:val="24"/>
          <w:szCs w:val="24"/>
        </w:rPr>
        <w:t>benefits from</w:t>
      </w:r>
      <w:r w:rsidR="00A82B3B" w:rsidRPr="00F924F0">
        <w:rPr>
          <w:rFonts w:ascii="Times New Roman" w:hAnsi="Times New Roman" w:cs="Times New Roman"/>
          <w:sz w:val="24"/>
          <w:szCs w:val="24"/>
        </w:rPr>
        <w:t xml:space="preserve"> the consideration</w:t>
      </w:r>
      <w:r w:rsidRPr="00F924F0">
        <w:rPr>
          <w:rFonts w:ascii="Times New Roman" w:hAnsi="Times New Roman" w:cs="Times New Roman"/>
          <w:sz w:val="24"/>
          <w:szCs w:val="24"/>
        </w:rPr>
        <w:t xml:space="preserve">. </w:t>
      </w:r>
      <w:r w:rsidR="00A52964" w:rsidRPr="00F924F0">
        <w:rPr>
          <w:rStyle w:val="FootnoteReference"/>
          <w:rFonts w:ascii="Times New Roman" w:hAnsi="Times New Roman" w:cs="Times New Roman"/>
          <w:sz w:val="24"/>
          <w:szCs w:val="24"/>
        </w:rPr>
        <w:footnoteReference w:id="12"/>
      </w:r>
      <w:r w:rsidRPr="00F924F0">
        <w:rPr>
          <w:rFonts w:ascii="Times New Roman" w:hAnsi="Times New Roman" w:cs="Times New Roman"/>
          <w:sz w:val="24"/>
          <w:szCs w:val="24"/>
        </w:rPr>
        <w:t>After all,</w:t>
      </w:r>
      <w:r w:rsidR="00A82B3B" w:rsidRPr="00F924F0">
        <w:rPr>
          <w:rFonts w:ascii="Times New Roman" w:hAnsi="Times New Roman" w:cs="Times New Roman"/>
          <w:sz w:val="24"/>
          <w:szCs w:val="24"/>
        </w:rPr>
        <w:t xml:space="preserve"> it already occurred. This has been established in </w:t>
      </w:r>
      <w:r w:rsidRPr="00F924F0">
        <w:rPr>
          <w:rFonts w:ascii="Times New Roman" w:hAnsi="Times New Roman" w:cs="Times New Roman"/>
          <w:sz w:val="24"/>
          <w:szCs w:val="24"/>
        </w:rPr>
        <w:t xml:space="preserve">the </w:t>
      </w:r>
      <w:r w:rsidR="00A82B3B" w:rsidRPr="00F924F0">
        <w:rPr>
          <w:rFonts w:ascii="Times New Roman" w:hAnsi="Times New Roman" w:cs="Times New Roman"/>
          <w:i/>
          <w:iCs/>
          <w:sz w:val="24"/>
          <w:szCs w:val="24"/>
        </w:rPr>
        <w:t>Roscorla</w:t>
      </w:r>
      <w:r w:rsidR="00177334" w:rsidRPr="00F924F0">
        <w:rPr>
          <w:rFonts w:ascii="Times New Roman" w:hAnsi="Times New Roman" w:cs="Times New Roman"/>
          <w:i/>
          <w:iCs/>
          <w:sz w:val="24"/>
          <w:szCs w:val="24"/>
        </w:rPr>
        <w:t xml:space="preserve"> case</w:t>
      </w:r>
      <w:r w:rsidR="00A82B3B" w:rsidRPr="00F924F0">
        <w:rPr>
          <w:rFonts w:ascii="Times New Roman" w:hAnsi="Times New Roman" w:cs="Times New Roman"/>
          <w:sz w:val="24"/>
          <w:szCs w:val="24"/>
        </w:rPr>
        <w:t xml:space="preserve">, where </w:t>
      </w:r>
      <w:r w:rsidR="00177334" w:rsidRPr="00F924F0">
        <w:rPr>
          <w:rFonts w:ascii="Times New Roman" w:hAnsi="Times New Roman" w:cs="Times New Roman"/>
          <w:sz w:val="24"/>
          <w:szCs w:val="24"/>
        </w:rPr>
        <w:t>the concept</w:t>
      </w:r>
      <w:r w:rsidR="00A82B3B" w:rsidRPr="00F924F0">
        <w:rPr>
          <w:rFonts w:ascii="Times New Roman" w:hAnsi="Times New Roman" w:cs="Times New Roman"/>
          <w:sz w:val="24"/>
          <w:szCs w:val="24"/>
        </w:rPr>
        <w:t xml:space="preserve"> of invalidity of a past consideration was established. </w:t>
      </w:r>
      <w:r w:rsidR="00177334" w:rsidRPr="00F924F0">
        <w:rPr>
          <w:rStyle w:val="FootnoteReference"/>
          <w:rFonts w:ascii="Times New Roman" w:hAnsi="Times New Roman" w:cs="Times New Roman"/>
          <w:sz w:val="24"/>
          <w:szCs w:val="24"/>
        </w:rPr>
        <w:footnoteReference w:id="13"/>
      </w:r>
      <w:r w:rsidR="00A82B3B" w:rsidRPr="00F924F0">
        <w:rPr>
          <w:rFonts w:ascii="Times New Roman" w:hAnsi="Times New Roman" w:cs="Times New Roman"/>
          <w:sz w:val="24"/>
          <w:szCs w:val="24"/>
        </w:rPr>
        <w:t xml:space="preserve"> Through this case, it was established that past conduct was not enough to </w:t>
      </w:r>
      <w:r w:rsidR="00177334" w:rsidRPr="00F924F0">
        <w:rPr>
          <w:rFonts w:ascii="Times New Roman" w:hAnsi="Times New Roman" w:cs="Times New Roman"/>
          <w:sz w:val="24"/>
          <w:szCs w:val="24"/>
        </w:rPr>
        <w:t>support the</w:t>
      </w:r>
      <w:r w:rsidR="00A82B3B" w:rsidRPr="00F924F0">
        <w:rPr>
          <w:rFonts w:ascii="Times New Roman" w:hAnsi="Times New Roman" w:cs="Times New Roman"/>
          <w:sz w:val="24"/>
          <w:szCs w:val="24"/>
        </w:rPr>
        <w:t xml:space="preserve"> validity of a contract. </w:t>
      </w:r>
    </w:p>
    <w:p w14:paraId="0E526ABD" w14:textId="55E6491C" w:rsidR="00A82B3B" w:rsidRPr="00F924F0" w:rsidRDefault="00A82B3B" w:rsidP="00F924F0">
      <w:pPr>
        <w:spacing w:line="480" w:lineRule="auto"/>
        <w:ind w:firstLine="720"/>
        <w:jc w:val="center"/>
        <w:rPr>
          <w:rFonts w:ascii="Times New Roman" w:hAnsi="Times New Roman" w:cs="Times New Roman"/>
          <w:b/>
          <w:bCs/>
          <w:sz w:val="24"/>
          <w:szCs w:val="24"/>
        </w:rPr>
      </w:pPr>
      <w:r w:rsidRPr="00F924F0">
        <w:rPr>
          <w:rFonts w:ascii="Times New Roman" w:hAnsi="Times New Roman" w:cs="Times New Roman"/>
          <w:b/>
          <w:bCs/>
          <w:sz w:val="24"/>
          <w:szCs w:val="24"/>
        </w:rPr>
        <w:lastRenderedPageBreak/>
        <w:t>Factors that determine the validity of consideration</w:t>
      </w:r>
    </w:p>
    <w:p w14:paraId="3C7CC3F4" w14:textId="77777777" w:rsidR="00A82B3B" w:rsidRPr="00F924F0" w:rsidRDefault="00A82B3B" w:rsidP="00F924F0">
      <w:pPr>
        <w:spacing w:line="480" w:lineRule="auto"/>
        <w:ind w:firstLine="720"/>
        <w:jc w:val="both"/>
        <w:rPr>
          <w:rFonts w:ascii="Times New Roman" w:hAnsi="Times New Roman" w:cs="Times New Roman"/>
          <w:b/>
          <w:bCs/>
          <w:i/>
          <w:iCs/>
          <w:sz w:val="24"/>
          <w:szCs w:val="24"/>
        </w:rPr>
      </w:pPr>
      <w:r w:rsidRPr="00F924F0">
        <w:rPr>
          <w:rFonts w:ascii="Times New Roman" w:hAnsi="Times New Roman" w:cs="Times New Roman"/>
          <w:b/>
          <w:bCs/>
          <w:sz w:val="24"/>
          <w:szCs w:val="24"/>
        </w:rPr>
        <w:t xml:space="preserve"> </w:t>
      </w:r>
      <w:r w:rsidRPr="00F924F0">
        <w:rPr>
          <w:rFonts w:ascii="Times New Roman" w:hAnsi="Times New Roman" w:cs="Times New Roman"/>
          <w:b/>
          <w:bCs/>
          <w:i/>
          <w:iCs/>
          <w:sz w:val="24"/>
          <w:szCs w:val="24"/>
        </w:rPr>
        <w:t xml:space="preserve">The consideration needs to move from the </w:t>
      </w:r>
      <w:proofErr w:type="spellStart"/>
      <w:r w:rsidRPr="00F924F0">
        <w:rPr>
          <w:rFonts w:ascii="Times New Roman" w:hAnsi="Times New Roman" w:cs="Times New Roman"/>
          <w:b/>
          <w:bCs/>
          <w:i/>
          <w:iCs/>
          <w:sz w:val="24"/>
          <w:szCs w:val="24"/>
        </w:rPr>
        <w:t>promisee</w:t>
      </w:r>
      <w:proofErr w:type="spellEnd"/>
      <w:r w:rsidRPr="00F924F0">
        <w:rPr>
          <w:rFonts w:ascii="Times New Roman" w:hAnsi="Times New Roman" w:cs="Times New Roman"/>
          <w:b/>
          <w:bCs/>
          <w:i/>
          <w:iCs/>
          <w:sz w:val="24"/>
          <w:szCs w:val="24"/>
        </w:rPr>
        <w:t>.</w:t>
      </w:r>
    </w:p>
    <w:p w14:paraId="1715BBF9" w14:textId="3B29512B" w:rsidR="00A82B3B" w:rsidRPr="00F924F0" w:rsidRDefault="00A82B3B" w:rsidP="00F924F0">
      <w:pPr>
        <w:spacing w:line="480" w:lineRule="auto"/>
        <w:ind w:firstLine="720"/>
        <w:jc w:val="both"/>
        <w:rPr>
          <w:rFonts w:ascii="Times New Roman" w:hAnsi="Times New Roman" w:cs="Times New Roman"/>
          <w:sz w:val="24"/>
          <w:szCs w:val="24"/>
        </w:rPr>
      </w:pPr>
      <w:r w:rsidRPr="00F924F0">
        <w:rPr>
          <w:rFonts w:ascii="Times New Roman" w:hAnsi="Times New Roman" w:cs="Times New Roman"/>
          <w:b/>
          <w:bCs/>
          <w:sz w:val="24"/>
          <w:szCs w:val="24"/>
        </w:rPr>
        <w:t xml:space="preserve"> </w:t>
      </w:r>
      <w:r w:rsidRPr="00F924F0">
        <w:rPr>
          <w:rFonts w:ascii="Times New Roman" w:hAnsi="Times New Roman" w:cs="Times New Roman"/>
          <w:sz w:val="24"/>
          <w:szCs w:val="24"/>
        </w:rPr>
        <w:t xml:space="preserve">Consideration </w:t>
      </w:r>
      <w:r w:rsidR="00177334" w:rsidRPr="00F924F0">
        <w:rPr>
          <w:rFonts w:ascii="Times New Roman" w:hAnsi="Times New Roman" w:cs="Times New Roman"/>
          <w:sz w:val="24"/>
          <w:szCs w:val="24"/>
        </w:rPr>
        <w:t>is valid</w:t>
      </w:r>
      <w:r w:rsidRPr="00F924F0">
        <w:rPr>
          <w:rFonts w:ascii="Times New Roman" w:hAnsi="Times New Roman" w:cs="Times New Roman"/>
          <w:sz w:val="24"/>
          <w:szCs w:val="24"/>
        </w:rPr>
        <w:t xml:space="preserve"> only when it moves from the </w:t>
      </w:r>
      <w:proofErr w:type="spellStart"/>
      <w:r w:rsidRPr="00F924F0">
        <w:rPr>
          <w:rFonts w:ascii="Times New Roman" w:hAnsi="Times New Roman" w:cs="Times New Roman"/>
          <w:sz w:val="24"/>
          <w:szCs w:val="24"/>
        </w:rPr>
        <w:t>promisee</w:t>
      </w:r>
      <w:proofErr w:type="spellEnd"/>
      <w:r w:rsidRPr="00F924F0">
        <w:rPr>
          <w:rFonts w:ascii="Times New Roman" w:hAnsi="Times New Roman" w:cs="Times New Roman"/>
          <w:sz w:val="24"/>
          <w:szCs w:val="24"/>
        </w:rPr>
        <w:t xml:space="preserve"> Under the traditional approach of contract </w:t>
      </w:r>
      <w:r w:rsidR="00177334" w:rsidRPr="00F924F0">
        <w:rPr>
          <w:rFonts w:ascii="Times New Roman" w:hAnsi="Times New Roman" w:cs="Times New Roman"/>
          <w:sz w:val="24"/>
          <w:szCs w:val="24"/>
        </w:rPr>
        <w:t>law, a</w:t>
      </w:r>
      <w:r w:rsidRPr="00F924F0">
        <w:rPr>
          <w:rFonts w:ascii="Times New Roman" w:hAnsi="Times New Roman" w:cs="Times New Roman"/>
          <w:sz w:val="24"/>
          <w:szCs w:val="24"/>
        </w:rPr>
        <w:t xml:space="preserve"> promise can only be </w:t>
      </w:r>
      <w:r w:rsidR="00177334" w:rsidRPr="00F924F0">
        <w:rPr>
          <w:rFonts w:ascii="Times New Roman" w:hAnsi="Times New Roman" w:cs="Times New Roman"/>
          <w:sz w:val="24"/>
          <w:szCs w:val="24"/>
        </w:rPr>
        <w:t>enforced only</w:t>
      </w:r>
      <w:r w:rsidRPr="00F924F0">
        <w:rPr>
          <w:rFonts w:ascii="Times New Roman" w:hAnsi="Times New Roman" w:cs="Times New Roman"/>
          <w:sz w:val="24"/>
          <w:szCs w:val="24"/>
        </w:rPr>
        <w:t xml:space="preserve"> when the </w:t>
      </w:r>
      <w:proofErr w:type="spellStart"/>
      <w:r w:rsidRPr="00F924F0">
        <w:rPr>
          <w:rFonts w:ascii="Times New Roman" w:hAnsi="Times New Roman" w:cs="Times New Roman"/>
          <w:sz w:val="24"/>
          <w:szCs w:val="24"/>
        </w:rPr>
        <w:t>promisee</w:t>
      </w:r>
      <w:proofErr w:type="spellEnd"/>
      <w:r w:rsidRPr="00F924F0">
        <w:rPr>
          <w:rFonts w:ascii="Times New Roman" w:hAnsi="Times New Roman" w:cs="Times New Roman"/>
          <w:sz w:val="24"/>
          <w:szCs w:val="24"/>
        </w:rPr>
        <w:t xml:space="preserve"> provides a consideration. </w:t>
      </w:r>
      <w:r w:rsidR="00F924F0" w:rsidRPr="00F924F0">
        <w:rPr>
          <w:rStyle w:val="FootnoteReference"/>
          <w:rFonts w:ascii="Times New Roman" w:hAnsi="Times New Roman" w:cs="Times New Roman"/>
          <w:sz w:val="24"/>
          <w:szCs w:val="24"/>
        </w:rPr>
        <w:footnoteReference w:id="14"/>
      </w:r>
      <w:r w:rsidRPr="00F924F0">
        <w:rPr>
          <w:rFonts w:ascii="Times New Roman" w:hAnsi="Times New Roman" w:cs="Times New Roman"/>
          <w:sz w:val="24"/>
          <w:szCs w:val="24"/>
        </w:rPr>
        <w:t xml:space="preserve">  This has been established in </w:t>
      </w:r>
      <w:r w:rsidR="00163CE5" w:rsidRPr="00F924F0">
        <w:rPr>
          <w:rFonts w:ascii="Times New Roman" w:hAnsi="Times New Roman" w:cs="Times New Roman"/>
          <w:sz w:val="24"/>
          <w:szCs w:val="24"/>
        </w:rPr>
        <w:t xml:space="preserve">the </w:t>
      </w:r>
      <w:r w:rsidRPr="00F924F0">
        <w:rPr>
          <w:rFonts w:ascii="Times New Roman" w:hAnsi="Times New Roman" w:cs="Times New Roman"/>
          <w:i/>
          <w:iCs/>
          <w:sz w:val="24"/>
          <w:szCs w:val="24"/>
        </w:rPr>
        <w:t>Atkinson</w:t>
      </w:r>
      <w:r w:rsidR="00177334" w:rsidRPr="00F924F0">
        <w:rPr>
          <w:rFonts w:ascii="Times New Roman" w:hAnsi="Times New Roman" w:cs="Times New Roman"/>
          <w:sz w:val="24"/>
          <w:szCs w:val="24"/>
        </w:rPr>
        <w:t xml:space="preserve"> case</w:t>
      </w:r>
      <w:r w:rsidRPr="00F924F0">
        <w:rPr>
          <w:rFonts w:ascii="Times New Roman" w:hAnsi="Times New Roman" w:cs="Times New Roman"/>
          <w:sz w:val="24"/>
          <w:szCs w:val="24"/>
        </w:rPr>
        <w:t xml:space="preserve">, </w:t>
      </w:r>
      <w:r w:rsidR="007D2E97" w:rsidRPr="00F924F0">
        <w:rPr>
          <w:rFonts w:ascii="Times New Roman" w:hAnsi="Times New Roman" w:cs="Times New Roman"/>
          <w:sz w:val="24"/>
          <w:szCs w:val="24"/>
        </w:rPr>
        <w:t>whereby a</w:t>
      </w:r>
      <w:r w:rsidRPr="00F924F0">
        <w:rPr>
          <w:rFonts w:ascii="Times New Roman" w:hAnsi="Times New Roman" w:cs="Times New Roman"/>
          <w:sz w:val="24"/>
          <w:szCs w:val="24"/>
        </w:rPr>
        <w:t xml:space="preserve"> claim failed after the </w:t>
      </w:r>
      <w:proofErr w:type="spellStart"/>
      <w:r w:rsidRPr="00F924F0">
        <w:rPr>
          <w:rFonts w:ascii="Times New Roman" w:hAnsi="Times New Roman" w:cs="Times New Roman"/>
          <w:sz w:val="24"/>
          <w:szCs w:val="24"/>
        </w:rPr>
        <w:t>promisee</w:t>
      </w:r>
      <w:proofErr w:type="spellEnd"/>
      <w:r w:rsidRPr="00F924F0">
        <w:rPr>
          <w:rFonts w:ascii="Times New Roman" w:hAnsi="Times New Roman" w:cs="Times New Roman"/>
          <w:sz w:val="24"/>
          <w:szCs w:val="24"/>
        </w:rPr>
        <w:t xml:space="preserve"> died</w:t>
      </w:r>
      <w:r w:rsidR="00177334" w:rsidRPr="00F924F0">
        <w:rPr>
          <w:rFonts w:ascii="Times New Roman" w:hAnsi="Times New Roman" w:cs="Times New Roman"/>
          <w:sz w:val="24"/>
          <w:szCs w:val="24"/>
        </w:rPr>
        <w:t xml:space="preserve">. </w:t>
      </w:r>
      <w:r w:rsidR="00177334" w:rsidRPr="00F924F0">
        <w:rPr>
          <w:rStyle w:val="FootnoteReference"/>
          <w:rFonts w:ascii="Times New Roman" w:hAnsi="Times New Roman" w:cs="Times New Roman"/>
          <w:sz w:val="24"/>
          <w:szCs w:val="24"/>
        </w:rPr>
        <w:footnoteReference w:id="15"/>
      </w:r>
      <w:r w:rsidRPr="00F924F0">
        <w:rPr>
          <w:rFonts w:ascii="Times New Roman" w:hAnsi="Times New Roman" w:cs="Times New Roman"/>
          <w:sz w:val="24"/>
          <w:szCs w:val="24"/>
        </w:rPr>
        <w:t xml:space="preserve">The representation of the </w:t>
      </w:r>
      <w:proofErr w:type="spellStart"/>
      <w:r w:rsidRPr="00F924F0">
        <w:rPr>
          <w:rFonts w:ascii="Times New Roman" w:hAnsi="Times New Roman" w:cs="Times New Roman"/>
          <w:sz w:val="24"/>
          <w:szCs w:val="24"/>
        </w:rPr>
        <w:t>promisee</w:t>
      </w:r>
      <w:proofErr w:type="spellEnd"/>
      <w:r w:rsidRPr="00F924F0">
        <w:rPr>
          <w:rFonts w:ascii="Times New Roman" w:hAnsi="Times New Roman" w:cs="Times New Roman"/>
          <w:sz w:val="24"/>
          <w:szCs w:val="24"/>
        </w:rPr>
        <w:t xml:space="preserve"> by executors could not be used to establish the element of consideration. </w:t>
      </w:r>
    </w:p>
    <w:p w14:paraId="0EE17C3C" w14:textId="5F5C26AD" w:rsidR="00A82B3B" w:rsidRPr="00F924F0" w:rsidRDefault="00A82B3B" w:rsidP="00F924F0">
      <w:pPr>
        <w:spacing w:line="480" w:lineRule="auto"/>
        <w:ind w:firstLine="720"/>
        <w:jc w:val="both"/>
        <w:rPr>
          <w:rFonts w:ascii="Times New Roman" w:hAnsi="Times New Roman" w:cs="Times New Roman"/>
          <w:b/>
          <w:bCs/>
          <w:i/>
          <w:iCs/>
          <w:sz w:val="24"/>
          <w:szCs w:val="24"/>
        </w:rPr>
      </w:pPr>
      <w:r w:rsidRPr="00F924F0">
        <w:rPr>
          <w:rFonts w:ascii="Times New Roman" w:hAnsi="Times New Roman" w:cs="Times New Roman"/>
          <w:b/>
          <w:bCs/>
          <w:i/>
          <w:iCs/>
          <w:sz w:val="24"/>
          <w:szCs w:val="24"/>
        </w:rPr>
        <w:t xml:space="preserve">There needs to be some </w:t>
      </w:r>
      <w:r w:rsidR="001F31E0" w:rsidRPr="00F924F0">
        <w:rPr>
          <w:rFonts w:ascii="Times New Roman" w:hAnsi="Times New Roman" w:cs="Times New Roman"/>
          <w:b/>
          <w:bCs/>
          <w:i/>
          <w:iCs/>
          <w:sz w:val="24"/>
          <w:szCs w:val="24"/>
        </w:rPr>
        <w:t>value.</w:t>
      </w:r>
    </w:p>
    <w:p w14:paraId="2EE6ADBF" w14:textId="78BEDC25" w:rsidR="00A82B3B" w:rsidRPr="00F924F0" w:rsidRDefault="00A82B3B" w:rsidP="00F924F0">
      <w:pPr>
        <w:spacing w:line="480" w:lineRule="auto"/>
        <w:ind w:firstLine="720"/>
        <w:jc w:val="both"/>
        <w:rPr>
          <w:rFonts w:ascii="Times New Roman" w:hAnsi="Times New Roman" w:cs="Times New Roman"/>
          <w:sz w:val="24"/>
          <w:szCs w:val="24"/>
        </w:rPr>
      </w:pPr>
      <w:r w:rsidRPr="00F924F0">
        <w:rPr>
          <w:rFonts w:ascii="Times New Roman" w:hAnsi="Times New Roman" w:cs="Times New Roman"/>
          <w:sz w:val="24"/>
          <w:szCs w:val="24"/>
        </w:rPr>
        <w:t xml:space="preserve">Under the </w:t>
      </w:r>
      <w:r w:rsidR="00177334" w:rsidRPr="00F924F0">
        <w:rPr>
          <w:rFonts w:ascii="Times New Roman" w:hAnsi="Times New Roman" w:cs="Times New Roman"/>
          <w:sz w:val="24"/>
          <w:szCs w:val="24"/>
        </w:rPr>
        <w:t>law, consideration</w:t>
      </w:r>
      <w:r w:rsidRPr="00F924F0">
        <w:rPr>
          <w:rFonts w:ascii="Times New Roman" w:hAnsi="Times New Roman" w:cs="Times New Roman"/>
          <w:sz w:val="24"/>
          <w:szCs w:val="24"/>
        </w:rPr>
        <w:t xml:space="preserve"> </w:t>
      </w:r>
      <w:r w:rsidR="00177334" w:rsidRPr="00F924F0">
        <w:rPr>
          <w:rFonts w:ascii="Times New Roman" w:hAnsi="Times New Roman" w:cs="Times New Roman"/>
          <w:sz w:val="24"/>
          <w:szCs w:val="24"/>
        </w:rPr>
        <w:t>is valid</w:t>
      </w:r>
      <w:r w:rsidRPr="00F924F0">
        <w:rPr>
          <w:rFonts w:ascii="Times New Roman" w:hAnsi="Times New Roman" w:cs="Times New Roman"/>
          <w:sz w:val="24"/>
          <w:szCs w:val="24"/>
        </w:rPr>
        <w:t xml:space="preserve"> when the </w:t>
      </w:r>
      <w:r w:rsidR="00177334" w:rsidRPr="00F924F0">
        <w:rPr>
          <w:rFonts w:ascii="Times New Roman" w:hAnsi="Times New Roman" w:cs="Times New Roman"/>
          <w:sz w:val="24"/>
          <w:szCs w:val="24"/>
        </w:rPr>
        <w:t>parties in</w:t>
      </w:r>
      <w:r w:rsidRPr="00F924F0">
        <w:rPr>
          <w:rFonts w:ascii="Times New Roman" w:hAnsi="Times New Roman" w:cs="Times New Roman"/>
          <w:sz w:val="24"/>
          <w:szCs w:val="24"/>
        </w:rPr>
        <w:t xml:space="preserve"> a contractual agreement have </w:t>
      </w:r>
      <w:proofErr w:type="gramStart"/>
      <w:r w:rsidR="00177334" w:rsidRPr="00F924F0">
        <w:rPr>
          <w:rFonts w:ascii="Times New Roman" w:hAnsi="Times New Roman" w:cs="Times New Roman"/>
          <w:sz w:val="24"/>
          <w:szCs w:val="24"/>
        </w:rPr>
        <w:t>entered</w:t>
      </w:r>
      <w:r w:rsidRPr="00F924F0">
        <w:rPr>
          <w:rFonts w:ascii="Times New Roman" w:hAnsi="Times New Roman" w:cs="Times New Roman"/>
          <w:sz w:val="24"/>
          <w:szCs w:val="24"/>
        </w:rPr>
        <w:t xml:space="preserve"> into</w:t>
      </w:r>
      <w:proofErr w:type="gramEnd"/>
      <w:r w:rsidRPr="00F924F0">
        <w:rPr>
          <w:rFonts w:ascii="Times New Roman" w:hAnsi="Times New Roman" w:cs="Times New Roman"/>
          <w:sz w:val="24"/>
          <w:szCs w:val="24"/>
        </w:rPr>
        <w:t xml:space="preserve"> a </w:t>
      </w:r>
      <w:r w:rsidR="00177334" w:rsidRPr="00F924F0">
        <w:rPr>
          <w:rFonts w:ascii="Times New Roman" w:hAnsi="Times New Roman" w:cs="Times New Roman"/>
          <w:sz w:val="24"/>
          <w:szCs w:val="24"/>
        </w:rPr>
        <w:t>bargain,</w:t>
      </w:r>
      <w:r w:rsidRPr="00F924F0">
        <w:rPr>
          <w:rFonts w:ascii="Times New Roman" w:hAnsi="Times New Roman" w:cs="Times New Roman"/>
          <w:sz w:val="24"/>
          <w:szCs w:val="24"/>
        </w:rPr>
        <w:t xml:space="preserve"> whereby each of the parties provides something of value that can be proven before the court.  The applicable rule under this is that consideration needs to be sufficient and not necessarily adequate. Whether a promise is a fair bargain is not an interest of the courts. The term sufficiency as used in this </w:t>
      </w:r>
      <w:r w:rsidR="00177334" w:rsidRPr="00F924F0">
        <w:rPr>
          <w:rFonts w:ascii="Times New Roman" w:hAnsi="Times New Roman" w:cs="Times New Roman"/>
          <w:sz w:val="24"/>
          <w:szCs w:val="24"/>
        </w:rPr>
        <w:t>case refers</w:t>
      </w:r>
      <w:r w:rsidRPr="00F924F0">
        <w:rPr>
          <w:rFonts w:ascii="Times New Roman" w:hAnsi="Times New Roman" w:cs="Times New Roman"/>
          <w:sz w:val="24"/>
          <w:szCs w:val="24"/>
        </w:rPr>
        <w:t xml:space="preserve"> to something that the court can consider of </w:t>
      </w:r>
      <w:r w:rsidR="00177334" w:rsidRPr="00F924F0">
        <w:rPr>
          <w:rFonts w:ascii="Times New Roman" w:hAnsi="Times New Roman" w:cs="Times New Roman"/>
          <w:sz w:val="24"/>
          <w:szCs w:val="24"/>
        </w:rPr>
        <w:t>value,</w:t>
      </w:r>
      <w:r w:rsidRPr="00F924F0">
        <w:rPr>
          <w:rFonts w:ascii="Times New Roman" w:hAnsi="Times New Roman" w:cs="Times New Roman"/>
          <w:sz w:val="24"/>
          <w:szCs w:val="24"/>
        </w:rPr>
        <w:t xml:space="preserve"> hence making the bargain binding.  </w:t>
      </w:r>
      <w:r w:rsidR="00177334" w:rsidRPr="00F924F0">
        <w:rPr>
          <w:rFonts w:ascii="Times New Roman" w:hAnsi="Times New Roman" w:cs="Times New Roman"/>
          <w:sz w:val="24"/>
          <w:szCs w:val="24"/>
        </w:rPr>
        <w:t>As seen</w:t>
      </w:r>
      <w:r w:rsidRPr="00F924F0">
        <w:rPr>
          <w:rFonts w:ascii="Times New Roman" w:hAnsi="Times New Roman" w:cs="Times New Roman"/>
          <w:sz w:val="24"/>
          <w:szCs w:val="24"/>
        </w:rPr>
        <w:t xml:space="preserve"> in </w:t>
      </w:r>
      <w:r w:rsidRPr="00F924F0">
        <w:rPr>
          <w:rFonts w:ascii="Times New Roman" w:hAnsi="Times New Roman" w:cs="Times New Roman"/>
          <w:i/>
          <w:iCs/>
          <w:sz w:val="24"/>
          <w:szCs w:val="24"/>
        </w:rPr>
        <w:t>Thoma</w:t>
      </w:r>
      <w:r w:rsidR="00163CE5" w:rsidRPr="00F924F0">
        <w:rPr>
          <w:rFonts w:ascii="Times New Roman" w:hAnsi="Times New Roman" w:cs="Times New Roman"/>
          <w:i/>
          <w:iCs/>
          <w:sz w:val="24"/>
          <w:szCs w:val="24"/>
        </w:rPr>
        <w:t>s'</w:t>
      </w:r>
      <w:r w:rsidRPr="00F924F0">
        <w:rPr>
          <w:rFonts w:ascii="Times New Roman" w:hAnsi="Times New Roman" w:cs="Times New Roman"/>
          <w:i/>
          <w:iCs/>
          <w:sz w:val="24"/>
          <w:szCs w:val="24"/>
        </w:rPr>
        <w:t>s</w:t>
      </w:r>
      <w:r w:rsidR="00177334" w:rsidRPr="00F924F0">
        <w:rPr>
          <w:rFonts w:ascii="Times New Roman" w:hAnsi="Times New Roman" w:cs="Times New Roman"/>
          <w:i/>
          <w:iCs/>
          <w:sz w:val="24"/>
          <w:szCs w:val="24"/>
        </w:rPr>
        <w:t xml:space="preserve"> case</w:t>
      </w:r>
      <w:r w:rsidRPr="00F924F0">
        <w:rPr>
          <w:rFonts w:ascii="Times New Roman" w:hAnsi="Times New Roman" w:cs="Times New Roman"/>
          <w:i/>
          <w:iCs/>
          <w:sz w:val="24"/>
          <w:szCs w:val="24"/>
        </w:rPr>
        <w:t>,</w:t>
      </w:r>
      <w:r w:rsidRPr="00F924F0">
        <w:rPr>
          <w:rFonts w:ascii="Times New Roman" w:hAnsi="Times New Roman" w:cs="Times New Roman"/>
          <w:sz w:val="24"/>
          <w:szCs w:val="24"/>
        </w:rPr>
        <w:t xml:space="preserve"> the payment of €1 per </w:t>
      </w:r>
      <w:r w:rsidR="00177334" w:rsidRPr="00F924F0">
        <w:rPr>
          <w:rFonts w:ascii="Times New Roman" w:hAnsi="Times New Roman" w:cs="Times New Roman"/>
          <w:sz w:val="24"/>
          <w:szCs w:val="24"/>
        </w:rPr>
        <w:t>annum was</w:t>
      </w:r>
      <w:r w:rsidRPr="00F924F0">
        <w:rPr>
          <w:rFonts w:ascii="Times New Roman" w:hAnsi="Times New Roman" w:cs="Times New Roman"/>
          <w:sz w:val="24"/>
          <w:szCs w:val="24"/>
        </w:rPr>
        <w:t xml:space="preserve"> considered sufficient </w:t>
      </w:r>
      <w:r w:rsidR="00177334" w:rsidRPr="00F924F0">
        <w:rPr>
          <w:rFonts w:ascii="Times New Roman" w:hAnsi="Times New Roman" w:cs="Times New Roman"/>
          <w:sz w:val="24"/>
          <w:szCs w:val="24"/>
        </w:rPr>
        <w:t>consideration,</w:t>
      </w:r>
      <w:r w:rsidRPr="00F924F0">
        <w:rPr>
          <w:rFonts w:ascii="Times New Roman" w:hAnsi="Times New Roman" w:cs="Times New Roman"/>
          <w:sz w:val="24"/>
          <w:szCs w:val="24"/>
        </w:rPr>
        <w:t xml:space="preserve"> while a promise that had been made to the claimant was not </w:t>
      </w:r>
      <w:r w:rsidR="00177334" w:rsidRPr="00F924F0">
        <w:rPr>
          <w:rFonts w:ascii="Times New Roman" w:hAnsi="Times New Roman" w:cs="Times New Roman"/>
          <w:sz w:val="24"/>
          <w:szCs w:val="24"/>
        </w:rPr>
        <w:t>regarded</w:t>
      </w:r>
      <w:r w:rsidRPr="00F924F0">
        <w:rPr>
          <w:rFonts w:ascii="Times New Roman" w:hAnsi="Times New Roman" w:cs="Times New Roman"/>
          <w:sz w:val="24"/>
          <w:szCs w:val="24"/>
        </w:rPr>
        <w:t xml:space="preserve"> as a consideration. </w:t>
      </w:r>
      <w:r w:rsidR="00177334" w:rsidRPr="00F924F0">
        <w:rPr>
          <w:rStyle w:val="FootnoteReference"/>
          <w:rFonts w:ascii="Times New Roman" w:hAnsi="Times New Roman" w:cs="Times New Roman"/>
          <w:sz w:val="24"/>
          <w:szCs w:val="24"/>
        </w:rPr>
        <w:footnoteReference w:id="16"/>
      </w:r>
      <w:r w:rsidRPr="00F924F0">
        <w:rPr>
          <w:rFonts w:ascii="Times New Roman" w:hAnsi="Times New Roman" w:cs="Times New Roman"/>
          <w:sz w:val="24"/>
          <w:szCs w:val="24"/>
        </w:rPr>
        <w:t xml:space="preserve"> </w:t>
      </w:r>
      <w:r w:rsidR="00177334" w:rsidRPr="00F924F0">
        <w:rPr>
          <w:rFonts w:ascii="Times New Roman" w:hAnsi="Times New Roman" w:cs="Times New Roman"/>
          <w:sz w:val="24"/>
          <w:szCs w:val="24"/>
        </w:rPr>
        <w:t>Moreover,</w:t>
      </w:r>
      <w:r w:rsidRPr="00F924F0">
        <w:rPr>
          <w:rFonts w:ascii="Times New Roman" w:hAnsi="Times New Roman" w:cs="Times New Roman"/>
          <w:sz w:val="24"/>
          <w:szCs w:val="24"/>
        </w:rPr>
        <w:t xml:space="preserve"> in </w:t>
      </w:r>
      <w:r w:rsidRPr="00F924F0">
        <w:rPr>
          <w:rFonts w:ascii="Times New Roman" w:hAnsi="Times New Roman" w:cs="Times New Roman"/>
          <w:i/>
          <w:iCs/>
          <w:sz w:val="24"/>
          <w:szCs w:val="24"/>
        </w:rPr>
        <w:t>White v Bluett, 1853</w:t>
      </w:r>
      <w:r w:rsidRPr="00F924F0">
        <w:rPr>
          <w:rFonts w:ascii="Times New Roman" w:hAnsi="Times New Roman" w:cs="Times New Roman"/>
          <w:sz w:val="24"/>
          <w:szCs w:val="24"/>
        </w:rPr>
        <w:t xml:space="preserve"> a promise made between a father and a son was not considered to be a consideration due to the lack of the aspect of economic value.</w:t>
      </w:r>
      <w:r w:rsidR="007D2E97" w:rsidRPr="00F924F0">
        <w:rPr>
          <w:rStyle w:val="FootnoteReference"/>
          <w:rFonts w:ascii="Times New Roman" w:hAnsi="Times New Roman" w:cs="Times New Roman"/>
          <w:sz w:val="24"/>
          <w:szCs w:val="24"/>
        </w:rPr>
        <w:footnoteReference w:id="17"/>
      </w:r>
      <w:r w:rsidRPr="00F924F0">
        <w:rPr>
          <w:rFonts w:ascii="Times New Roman" w:hAnsi="Times New Roman" w:cs="Times New Roman"/>
          <w:sz w:val="24"/>
          <w:szCs w:val="24"/>
        </w:rPr>
        <w:t xml:space="preserve">  Based on the above </w:t>
      </w:r>
      <w:r w:rsidR="00177334" w:rsidRPr="00F924F0">
        <w:rPr>
          <w:rFonts w:ascii="Times New Roman" w:hAnsi="Times New Roman" w:cs="Times New Roman"/>
          <w:sz w:val="24"/>
          <w:szCs w:val="24"/>
        </w:rPr>
        <w:t>cases</w:t>
      </w:r>
      <w:r w:rsidRPr="00F924F0">
        <w:rPr>
          <w:rFonts w:ascii="Times New Roman" w:hAnsi="Times New Roman" w:cs="Times New Roman"/>
          <w:sz w:val="24"/>
          <w:szCs w:val="24"/>
        </w:rPr>
        <w:t xml:space="preserve">, it is evident that consideration is valid only when there is a form of economic value.  </w:t>
      </w:r>
    </w:p>
    <w:p w14:paraId="64CF10DB" w14:textId="36F24333" w:rsidR="00A82B3B" w:rsidRPr="00F924F0" w:rsidRDefault="00A82B3B" w:rsidP="00F924F0">
      <w:pPr>
        <w:spacing w:line="480" w:lineRule="auto"/>
        <w:ind w:firstLine="720"/>
        <w:jc w:val="center"/>
        <w:rPr>
          <w:rFonts w:ascii="Times New Roman" w:hAnsi="Times New Roman" w:cs="Times New Roman"/>
          <w:b/>
          <w:bCs/>
          <w:sz w:val="24"/>
          <w:szCs w:val="24"/>
        </w:rPr>
      </w:pPr>
      <w:r w:rsidRPr="00F924F0">
        <w:rPr>
          <w:rFonts w:ascii="Times New Roman" w:hAnsi="Times New Roman" w:cs="Times New Roman"/>
          <w:b/>
          <w:bCs/>
          <w:sz w:val="24"/>
          <w:szCs w:val="24"/>
        </w:rPr>
        <w:t>Criticism of the doctrine of consideration</w:t>
      </w:r>
    </w:p>
    <w:p w14:paraId="68339C00" w14:textId="556139E4" w:rsidR="00A82B3B" w:rsidRPr="00F924F0" w:rsidRDefault="00A82B3B" w:rsidP="00F924F0">
      <w:pPr>
        <w:spacing w:line="480" w:lineRule="auto"/>
        <w:ind w:firstLine="720"/>
        <w:jc w:val="both"/>
        <w:rPr>
          <w:rFonts w:ascii="Times New Roman" w:hAnsi="Times New Roman" w:cs="Times New Roman"/>
          <w:sz w:val="24"/>
          <w:szCs w:val="24"/>
        </w:rPr>
      </w:pPr>
      <w:r w:rsidRPr="00F924F0">
        <w:rPr>
          <w:rFonts w:ascii="Times New Roman" w:hAnsi="Times New Roman" w:cs="Times New Roman"/>
          <w:sz w:val="24"/>
          <w:szCs w:val="24"/>
        </w:rPr>
        <w:lastRenderedPageBreak/>
        <w:t xml:space="preserve"> In as much as the doctrine of consideration has been crucial in contract law as it determines the enforceability of a contract, it has been </w:t>
      </w:r>
      <w:r w:rsidR="00177334" w:rsidRPr="00F924F0">
        <w:rPr>
          <w:rFonts w:ascii="Times New Roman" w:hAnsi="Times New Roman" w:cs="Times New Roman"/>
          <w:sz w:val="24"/>
          <w:szCs w:val="24"/>
        </w:rPr>
        <w:t>criticised for</w:t>
      </w:r>
      <w:r w:rsidRPr="00F924F0">
        <w:rPr>
          <w:rFonts w:ascii="Times New Roman" w:hAnsi="Times New Roman" w:cs="Times New Roman"/>
          <w:sz w:val="24"/>
          <w:szCs w:val="24"/>
        </w:rPr>
        <w:t xml:space="preserve"> being </w:t>
      </w:r>
      <w:r w:rsidR="00177334" w:rsidRPr="00F924F0">
        <w:rPr>
          <w:rFonts w:ascii="Times New Roman" w:hAnsi="Times New Roman" w:cs="Times New Roman"/>
          <w:sz w:val="24"/>
          <w:szCs w:val="24"/>
        </w:rPr>
        <w:t>inconsistent and</w:t>
      </w:r>
      <w:r w:rsidRPr="00F924F0">
        <w:rPr>
          <w:rFonts w:ascii="Times New Roman" w:hAnsi="Times New Roman" w:cs="Times New Roman"/>
          <w:sz w:val="24"/>
          <w:szCs w:val="24"/>
        </w:rPr>
        <w:t xml:space="preserve"> </w:t>
      </w:r>
      <w:r w:rsidR="00177334" w:rsidRPr="00F924F0">
        <w:rPr>
          <w:rFonts w:ascii="Times New Roman" w:hAnsi="Times New Roman" w:cs="Times New Roman"/>
          <w:sz w:val="24"/>
          <w:szCs w:val="24"/>
        </w:rPr>
        <w:t>dysfunctional</w:t>
      </w:r>
      <w:r w:rsidRPr="00F924F0">
        <w:rPr>
          <w:rFonts w:ascii="Times New Roman" w:hAnsi="Times New Roman" w:cs="Times New Roman"/>
          <w:sz w:val="24"/>
          <w:szCs w:val="24"/>
        </w:rPr>
        <w:t xml:space="preserve">. </w:t>
      </w:r>
      <w:r w:rsidR="00A52964" w:rsidRPr="00F924F0">
        <w:rPr>
          <w:rStyle w:val="FootnoteReference"/>
          <w:rFonts w:ascii="Times New Roman" w:hAnsi="Times New Roman" w:cs="Times New Roman"/>
          <w:sz w:val="24"/>
          <w:szCs w:val="24"/>
        </w:rPr>
        <w:footnoteReference w:id="18"/>
      </w:r>
      <w:r w:rsidRPr="00F924F0">
        <w:rPr>
          <w:rFonts w:ascii="Times New Roman" w:hAnsi="Times New Roman" w:cs="Times New Roman"/>
          <w:sz w:val="24"/>
          <w:szCs w:val="24"/>
        </w:rPr>
        <w:t xml:space="preserve">This has raised concerns </w:t>
      </w:r>
      <w:r w:rsidR="00163CE5" w:rsidRPr="00F924F0">
        <w:rPr>
          <w:rFonts w:ascii="Times New Roman" w:hAnsi="Times New Roman" w:cs="Times New Roman"/>
          <w:sz w:val="24"/>
          <w:szCs w:val="24"/>
        </w:rPr>
        <w:t>about</w:t>
      </w:r>
      <w:r w:rsidRPr="00F924F0">
        <w:rPr>
          <w:rFonts w:ascii="Times New Roman" w:hAnsi="Times New Roman" w:cs="Times New Roman"/>
          <w:sz w:val="24"/>
          <w:szCs w:val="24"/>
        </w:rPr>
        <w:t xml:space="preserve"> the rationality of contract law and its moral acceptability. One of the theorists who has criticised this theory is Fried. According to him, this doctrine has caused problematic conclusions that a promise is only </w:t>
      </w:r>
      <w:r w:rsidR="00177334" w:rsidRPr="00F924F0">
        <w:rPr>
          <w:rFonts w:ascii="Times New Roman" w:hAnsi="Times New Roman" w:cs="Times New Roman"/>
          <w:sz w:val="24"/>
          <w:szCs w:val="24"/>
        </w:rPr>
        <w:t>enforceable in</w:t>
      </w:r>
      <w:r w:rsidRPr="00F924F0">
        <w:rPr>
          <w:rFonts w:ascii="Times New Roman" w:hAnsi="Times New Roman" w:cs="Times New Roman"/>
          <w:sz w:val="24"/>
          <w:szCs w:val="24"/>
        </w:rPr>
        <w:t xml:space="preserve"> instances </w:t>
      </w:r>
      <w:r w:rsidR="00177334" w:rsidRPr="00F924F0">
        <w:rPr>
          <w:rFonts w:ascii="Times New Roman" w:hAnsi="Times New Roman" w:cs="Times New Roman"/>
          <w:sz w:val="24"/>
          <w:szCs w:val="24"/>
        </w:rPr>
        <w:t>where</w:t>
      </w:r>
      <w:r w:rsidRPr="00F924F0">
        <w:rPr>
          <w:rFonts w:ascii="Times New Roman" w:hAnsi="Times New Roman" w:cs="Times New Roman"/>
          <w:sz w:val="24"/>
          <w:szCs w:val="24"/>
        </w:rPr>
        <w:t xml:space="preserve"> it is </w:t>
      </w:r>
      <w:r w:rsidR="00177334" w:rsidRPr="00F924F0">
        <w:rPr>
          <w:rFonts w:ascii="Times New Roman" w:hAnsi="Times New Roman" w:cs="Times New Roman"/>
          <w:sz w:val="24"/>
          <w:szCs w:val="24"/>
        </w:rPr>
        <w:t>necessary to</w:t>
      </w:r>
      <w:r w:rsidRPr="00F924F0">
        <w:rPr>
          <w:rFonts w:ascii="Times New Roman" w:hAnsi="Times New Roman" w:cs="Times New Roman"/>
          <w:sz w:val="24"/>
          <w:szCs w:val="24"/>
        </w:rPr>
        <w:t xml:space="preserve"> prevent the aspect of a </w:t>
      </w:r>
      <w:r w:rsidR="00177334" w:rsidRPr="00F924F0">
        <w:rPr>
          <w:rFonts w:ascii="Times New Roman" w:hAnsi="Times New Roman" w:cs="Times New Roman"/>
          <w:sz w:val="24"/>
          <w:szCs w:val="24"/>
        </w:rPr>
        <w:t>one-sided</w:t>
      </w:r>
      <w:r w:rsidRPr="00F924F0">
        <w:rPr>
          <w:rFonts w:ascii="Times New Roman" w:hAnsi="Times New Roman" w:cs="Times New Roman"/>
          <w:sz w:val="24"/>
          <w:szCs w:val="24"/>
        </w:rPr>
        <w:t xml:space="preserve"> benefit.  </w:t>
      </w:r>
      <w:r w:rsidRPr="00F924F0">
        <w:rPr>
          <w:rStyle w:val="FootnoteReference"/>
          <w:rFonts w:ascii="Times New Roman" w:hAnsi="Times New Roman" w:cs="Times New Roman"/>
          <w:sz w:val="24"/>
          <w:szCs w:val="24"/>
        </w:rPr>
        <w:footnoteReference w:id="19"/>
      </w:r>
      <w:r w:rsidRPr="00F924F0">
        <w:rPr>
          <w:rFonts w:ascii="Times New Roman" w:hAnsi="Times New Roman" w:cs="Times New Roman"/>
          <w:sz w:val="24"/>
          <w:szCs w:val="24"/>
        </w:rPr>
        <w:t xml:space="preserve">His argument is </w:t>
      </w:r>
      <w:r w:rsidR="00177334" w:rsidRPr="00F924F0">
        <w:rPr>
          <w:rFonts w:ascii="Times New Roman" w:hAnsi="Times New Roman" w:cs="Times New Roman"/>
          <w:sz w:val="24"/>
          <w:szCs w:val="24"/>
        </w:rPr>
        <w:t>based on</w:t>
      </w:r>
      <w:r w:rsidRPr="00F924F0">
        <w:rPr>
          <w:rFonts w:ascii="Times New Roman" w:hAnsi="Times New Roman" w:cs="Times New Roman"/>
          <w:sz w:val="24"/>
          <w:szCs w:val="24"/>
        </w:rPr>
        <w:t xml:space="preserve"> the claim </w:t>
      </w:r>
      <w:r w:rsidR="00177334" w:rsidRPr="00F924F0">
        <w:rPr>
          <w:rFonts w:ascii="Times New Roman" w:hAnsi="Times New Roman" w:cs="Times New Roman"/>
          <w:sz w:val="24"/>
          <w:szCs w:val="24"/>
        </w:rPr>
        <w:t>that the</w:t>
      </w:r>
      <w:r w:rsidRPr="00F924F0">
        <w:rPr>
          <w:rFonts w:ascii="Times New Roman" w:hAnsi="Times New Roman" w:cs="Times New Roman"/>
          <w:sz w:val="24"/>
          <w:szCs w:val="24"/>
        </w:rPr>
        <w:t xml:space="preserve"> need to prevent unjust enrichment should not be the basis for contract enforcement.  This is because, such an approach </w:t>
      </w:r>
      <w:r w:rsidR="00177334" w:rsidRPr="00F924F0">
        <w:rPr>
          <w:rFonts w:ascii="Times New Roman" w:hAnsi="Times New Roman" w:cs="Times New Roman"/>
          <w:sz w:val="24"/>
          <w:szCs w:val="24"/>
        </w:rPr>
        <w:t xml:space="preserve">could </w:t>
      </w:r>
      <w:r w:rsidR="00163CE5" w:rsidRPr="00F924F0">
        <w:rPr>
          <w:rFonts w:ascii="Times New Roman" w:hAnsi="Times New Roman" w:cs="Times New Roman"/>
          <w:sz w:val="24"/>
          <w:szCs w:val="24"/>
        </w:rPr>
        <w:t>imply</w:t>
      </w:r>
      <w:r w:rsidRPr="00F924F0">
        <w:rPr>
          <w:rFonts w:ascii="Times New Roman" w:hAnsi="Times New Roman" w:cs="Times New Roman"/>
          <w:sz w:val="24"/>
          <w:szCs w:val="24"/>
        </w:rPr>
        <w:t xml:space="preserve"> that the law of contract is mainly concerned with </w:t>
      </w:r>
      <w:r w:rsidR="00177334" w:rsidRPr="00F924F0">
        <w:rPr>
          <w:rFonts w:ascii="Times New Roman" w:hAnsi="Times New Roman" w:cs="Times New Roman"/>
          <w:sz w:val="24"/>
          <w:szCs w:val="24"/>
        </w:rPr>
        <w:t>compensation</w:t>
      </w:r>
      <w:r w:rsidRPr="00F924F0">
        <w:rPr>
          <w:rFonts w:ascii="Times New Roman" w:hAnsi="Times New Roman" w:cs="Times New Roman"/>
          <w:sz w:val="24"/>
          <w:szCs w:val="24"/>
        </w:rPr>
        <w:t xml:space="preserve"> of harms and not its ideal purpose, which is to enforce promises and contractual terms.  This approach can be destructive to the purpose of contract law. </w:t>
      </w:r>
    </w:p>
    <w:p w14:paraId="2679A96F" w14:textId="32DC8A8C" w:rsidR="00A82B3B" w:rsidRPr="00F924F0" w:rsidRDefault="00A82B3B" w:rsidP="00F924F0">
      <w:pPr>
        <w:spacing w:line="480" w:lineRule="auto"/>
        <w:ind w:firstLine="720"/>
        <w:jc w:val="both"/>
        <w:rPr>
          <w:rFonts w:ascii="Times New Roman" w:hAnsi="Times New Roman" w:cs="Times New Roman"/>
          <w:sz w:val="24"/>
          <w:szCs w:val="24"/>
        </w:rPr>
      </w:pPr>
      <w:r w:rsidRPr="00F924F0">
        <w:rPr>
          <w:rFonts w:ascii="Times New Roman" w:hAnsi="Times New Roman" w:cs="Times New Roman"/>
          <w:sz w:val="24"/>
          <w:szCs w:val="24"/>
        </w:rPr>
        <w:t xml:space="preserve">The other claim that Fried makes is that there lacks a consistent basis through which the doctrine of consideration can be explained and that its main features tend to be contradictory.  Also, the application of the doctrine raises concerns that contract law focuses on the idea of </w:t>
      </w:r>
      <w:r w:rsidR="00163CE5" w:rsidRPr="00F924F0">
        <w:rPr>
          <w:rFonts w:ascii="Times New Roman" w:hAnsi="Times New Roman" w:cs="Times New Roman"/>
          <w:sz w:val="24"/>
          <w:szCs w:val="24"/>
        </w:rPr>
        <w:t xml:space="preserve">a </w:t>
      </w:r>
      <w:r w:rsidRPr="00F924F0">
        <w:rPr>
          <w:rFonts w:ascii="Times New Roman" w:hAnsi="Times New Roman" w:cs="Times New Roman"/>
          <w:sz w:val="24"/>
          <w:szCs w:val="24"/>
        </w:rPr>
        <w:t xml:space="preserve">bargain. </w:t>
      </w:r>
      <w:r w:rsidRPr="00F924F0">
        <w:rPr>
          <w:rStyle w:val="FootnoteReference"/>
          <w:rFonts w:ascii="Times New Roman" w:hAnsi="Times New Roman" w:cs="Times New Roman"/>
          <w:sz w:val="24"/>
          <w:szCs w:val="24"/>
        </w:rPr>
        <w:footnoteReference w:id="20"/>
      </w:r>
      <w:r w:rsidRPr="00F924F0">
        <w:rPr>
          <w:rFonts w:ascii="Times New Roman" w:hAnsi="Times New Roman" w:cs="Times New Roman"/>
          <w:sz w:val="24"/>
          <w:szCs w:val="24"/>
        </w:rPr>
        <w:t xml:space="preserve">Moreover, the argument that the doctrine is not concerned with the adequacy of a promise raises concerns. The above propositions create contradictions as they seem to prioritize bargain while at the same time protecting the freedom of contracts.  According to the theorist, it is not possible to reconcile bargain and freedom of contract as this could lead to inconsistent legal reasoning. </w:t>
      </w:r>
    </w:p>
    <w:p w14:paraId="659E71C5" w14:textId="4645B45F" w:rsidR="00A82B3B" w:rsidRPr="00F924F0" w:rsidRDefault="00A82B3B" w:rsidP="00F924F0">
      <w:pPr>
        <w:spacing w:line="480" w:lineRule="auto"/>
        <w:ind w:firstLine="720"/>
        <w:jc w:val="both"/>
        <w:rPr>
          <w:rFonts w:ascii="Times New Roman" w:hAnsi="Times New Roman" w:cs="Times New Roman"/>
          <w:sz w:val="24"/>
          <w:szCs w:val="24"/>
        </w:rPr>
      </w:pPr>
      <w:r w:rsidRPr="00F924F0">
        <w:rPr>
          <w:rFonts w:ascii="Times New Roman" w:hAnsi="Times New Roman" w:cs="Times New Roman"/>
          <w:sz w:val="24"/>
          <w:szCs w:val="24"/>
        </w:rPr>
        <w:t xml:space="preserve"> The last argument that Fried makes against the doctrine of consideration is that it leads to injustices.  This is because, </w:t>
      </w:r>
      <w:r w:rsidR="00163CE5" w:rsidRPr="00F924F0">
        <w:rPr>
          <w:rFonts w:ascii="Times New Roman" w:hAnsi="Times New Roman" w:cs="Times New Roman"/>
          <w:sz w:val="24"/>
          <w:szCs w:val="24"/>
        </w:rPr>
        <w:t xml:space="preserve">the </w:t>
      </w:r>
      <w:r w:rsidRPr="00F924F0">
        <w:rPr>
          <w:rFonts w:ascii="Times New Roman" w:hAnsi="Times New Roman" w:cs="Times New Roman"/>
          <w:sz w:val="24"/>
          <w:szCs w:val="24"/>
        </w:rPr>
        <w:t xml:space="preserve">application of the doctrine is likely to deny the enforceability of serious promises, which is unjust towards the </w:t>
      </w:r>
      <w:proofErr w:type="spellStart"/>
      <w:r w:rsidRPr="00F924F0">
        <w:rPr>
          <w:rFonts w:ascii="Times New Roman" w:hAnsi="Times New Roman" w:cs="Times New Roman"/>
          <w:sz w:val="24"/>
          <w:szCs w:val="24"/>
        </w:rPr>
        <w:t>promisee</w:t>
      </w:r>
      <w:proofErr w:type="spellEnd"/>
      <w:r w:rsidRPr="00F924F0">
        <w:rPr>
          <w:rFonts w:ascii="Times New Roman" w:hAnsi="Times New Roman" w:cs="Times New Roman"/>
          <w:sz w:val="24"/>
          <w:szCs w:val="24"/>
        </w:rPr>
        <w:t>.  Also, the doctrine is open</w:t>
      </w:r>
      <w:r w:rsidR="00163CE5" w:rsidRPr="00F924F0">
        <w:rPr>
          <w:rFonts w:ascii="Times New Roman" w:hAnsi="Times New Roman" w:cs="Times New Roman"/>
          <w:sz w:val="24"/>
          <w:szCs w:val="24"/>
        </w:rPr>
        <w:t>-</w:t>
      </w:r>
      <w:r w:rsidRPr="00F924F0">
        <w:rPr>
          <w:rFonts w:ascii="Times New Roman" w:hAnsi="Times New Roman" w:cs="Times New Roman"/>
          <w:sz w:val="24"/>
          <w:szCs w:val="24"/>
        </w:rPr>
        <w:t xml:space="preserve">ended in nature making its application unpredictable and unclear. </w:t>
      </w:r>
    </w:p>
    <w:p w14:paraId="34E052AC" w14:textId="3EF6C26D" w:rsidR="00A82B3B" w:rsidRPr="00F924F0" w:rsidRDefault="00A82B3B" w:rsidP="00F924F0">
      <w:pPr>
        <w:spacing w:line="480" w:lineRule="auto"/>
        <w:ind w:firstLine="720"/>
        <w:jc w:val="both"/>
        <w:rPr>
          <w:rFonts w:ascii="Times New Roman" w:hAnsi="Times New Roman" w:cs="Times New Roman"/>
          <w:sz w:val="24"/>
          <w:szCs w:val="24"/>
        </w:rPr>
      </w:pPr>
      <w:r w:rsidRPr="00F924F0">
        <w:rPr>
          <w:rFonts w:ascii="Times New Roman" w:hAnsi="Times New Roman" w:cs="Times New Roman"/>
          <w:sz w:val="24"/>
          <w:szCs w:val="24"/>
        </w:rPr>
        <w:lastRenderedPageBreak/>
        <w:t xml:space="preserve"> Also, there are concerns that the promissory estoppel exception is diminishing the doctrine of consideration.  Promissory estoppel is the first concept where there was an exception </w:t>
      </w:r>
      <w:r w:rsidR="00163CE5" w:rsidRPr="00F924F0">
        <w:rPr>
          <w:rFonts w:ascii="Times New Roman" w:hAnsi="Times New Roman" w:cs="Times New Roman"/>
          <w:sz w:val="24"/>
          <w:szCs w:val="24"/>
        </w:rPr>
        <w:t>to</w:t>
      </w:r>
      <w:r w:rsidRPr="00F924F0">
        <w:rPr>
          <w:rFonts w:ascii="Times New Roman" w:hAnsi="Times New Roman" w:cs="Times New Roman"/>
          <w:sz w:val="24"/>
          <w:szCs w:val="24"/>
        </w:rPr>
        <w:t xml:space="preserve"> the strict rules of consideration. A</w:t>
      </w:r>
      <w:r w:rsidR="00177334" w:rsidRPr="00F924F0">
        <w:rPr>
          <w:rFonts w:ascii="Times New Roman" w:hAnsi="Times New Roman" w:cs="Times New Roman"/>
          <w:sz w:val="24"/>
          <w:szCs w:val="24"/>
        </w:rPr>
        <w:t>s</w:t>
      </w:r>
      <w:r w:rsidRPr="00F924F0">
        <w:rPr>
          <w:rFonts w:ascii="Times New Roman" w:hAnsi="Times New Roman" w:cs="Times New Roman"/>
          <w:sz w:val="24"/>
          <w:szCs w:val="24"/>
        </w:rPr>
        <w:t xml:space="preserve"> seen in </w:t>
      </w:r>
      <w:r w:rsidR="00163CE5" w:rsidRPr="00F924F0">
        <w:rPr>
          <w:rFonts w:ascii="Times New Roman" w:hAnsi="Times New Roman" w:cs="Times New Roman"/>
          <w:sz w:val="24"/>
          <w:szCs w:val="24"/>
        </w:rPr>
        <w:t xml:space="preserve">the </w:t>
      </w:r>
      <w:r w:rsidRPr="00F924F0">
        <w:rPr>
          <w:rFonts w:ascii="Times New Roman" w:hAnsi="Times New Roman" w:cs="Times New Roman"/>
          <w:i/>
          <w:iCs/>
          <w:sz w:val="24"/>
          <w:szCs w:val="24"/>
        </w:rPr>
        <w:t xml:space="preserve">High Tress </w:t>
      </w:r>
      <w:r w:rsidR="00163CE5" w:rsidRPr="00F924F0">
        <w:rPr>
          <w:rFonts w:ascii="Times New Roman" w:hAnsi="Times New Roman" w:cs="Times New Roman"/>
          <w:i/>
          <w:iCs/>
          <w:sz w:val="24"/>
          <w:szCs w:val="24"/>
        </w:rPr>
        <w:t>c</w:t>
      </w:r>
      <w:r w:rsidRPr="00F924F0">
        <w:rPr>
          <w:rFonts w:ascii="Times New Roman" w:hAnsi="Times New Roman" w:cs="Times New Roman"/>
          <w:i/>
          <w:iCs/>
          <w:sz w:val="24"/>
          <w:szCs w:val="24"/>
        </w:rPr>
        <w:t>ase</w:t>
      </w:r>
      <w:r w:rsidRPr="00F924F0">
        <w:rPr>
          <w:rFonts w:ascii="Times New Roman" w:hAnsi="Times New Roman" w:cs="Times New Roman"/>
          <w:sz w:val="24"/>
          <w:szCs w:val="24"/>
        </w:rPr>
        <w:t xml:space="preserve">, the application of the concept of promissory estoppel </w:t>
      </w:r>
      <w:r w:rsidR="00177334" w:rsidRPr="00F924F0">
        <w:rPr>
          <w:rFonts w:ascii="Times New Roman" w:hAnsi="Times New Roman" w:cs="Times New Roman"/>
          <w:sz w:val="24"/>
          <w:szCs w:val="24"/>
        </w:rPr>
        <w:t>was introduce</w:t>
      </w:r>
      <w:r w:rsidR="00163CE5" w:rsidRPr="00F924F0">
        <w:rPr>
          <w:rFonts w:ascii="Times New Roman" w:hAnsi="Times New Roman" w:cs="Times New Roman"/>
          <w:sz w:val="24"/>
          <w:szCs w:val="24"/>
        </w:rPr>
        <w:t>d</w:t>
      </w:r>
      <w:r w:rsidRPr="00F924F0">
        <w:rPr>
          <w:rFonts w:ascii="Times New Roman" w:hAnsi="Times New Roman" w:cs="Times New Roman"/>
          <w:sz w:val="24"/>
          <w:szCs w:val="24"/>
        </w:rPr>
        <w:t xml:space="preserve"> as a tool that could be used </w:t>
      </w:r>
      <w:r w:rsidR="00163CE5" w:rsidRPr="00F924F0">
        <w:rPr>
          <w:rFonts w:ascii="Times New Roman" w:hAnsi="Times New Roman" w:cs="Times New Roman"/>
          <w:sz w:val="24"/>
          <w:szCs w:val="24"/>
        </w:rPr>
        <w:t>to overcome</w:t>
      </w:r>
      <w:r w:rsidRPr="00F924F0">
        <w:rPr>
          <w:rFonts w:ascii="Times New Roman" w:hAnsi="Times New Roman" w:cs="Times New Roman"/>
          <w:sz w:val="24"/>
          <w:szCs w:val="24"/>
        </w:rPr>
        <w:t xml:space="preserve"> the strict rules of consideration.</w:t>
      </w:r>
      <w:r w:rsidR="00177334" w:rsidRPr="00F924F0">
        <w:rPr>
          <w:rStyle w:val="FootnoteReference"/>
          <w:rFonts w:ascii="Times New Roman" w:hAnsi="Times New Roman" w:cs="Times New Roman"/>
          <w:sz w:val="24"/>
          <w:szCs w:val="24"/>
        </w:rPr>
        <w:footnoteReference w:id="21"/>
      </w:r>
      <w:r w:rsidRPr="00F924F0">
        <w:rPr>
          <w:rFonts w:ascii="Times New Roman" w:hAnsi="Times New Roman" w:cs="Times New Roman"/>
          <w:sz w:val="24"/>
          <w:szCs w:val="24"/>
        </w:rPr>
        <w:t xml:space="preserve">  There are concerns that the application of this concept in the past 30 years has diminished the scope of the consideration doctrine.  As seen in</w:t>
      </w:r>
      <w:r w:rsidR="007D2E97" w:rsidRPr="00F924F0">
        <w:rPr>
          <w:rFonts w:ascii="Times New Roman" w:hAnsi="Times New Roman" w:cs="Times New Roman"/>
          <w:sz w:val="24"/>
          <w:szCs w:val="24"/>
        </w:rPr>
        <w:t xml:space="preserve"> </w:t>
      </w:r>
      <w:r w:rsidRPr="00F924F0">
        <w:rPr>
          <w:rFonts w:ascii="Times New Roman" w:hAnsi="Times New Roman" w:cs="Times New Roman"/>
          <w:i/>
          <w:iCs/>
          <w:sz w:val="24"/>
          <w:szCs w:val="24"/>
        </w:rPr>
        <w:t xml:space="preserve">MJ Wright, </w:t>
      </w:r>
      <w:r w:rsidR="00177334" w:rsidRPr="00F924F0">
        <w:rPr>
          <w:rFonts w:ascii="Times New Roman" w:hAnsi="Times New Roman" w:cs="Times New Roman"/>
          <w:sz w:val="24"/>
          <w:szCs w:val="24"/>
        </w:rPr>
        <w:t>it</w:t>
      </w:r>
      <w:r w:rsidRPr="00F924F0">
        <w:rPr>
          <w:rFonts w:ascii="Times New Roman" w:hAnsi="Times New Roman" w:cs="Times New Roman"/>
          <w:sz w:val="24"/>
          <w:szCs w:val="24"/>
        </w:rPr>
        <w:t xml:space="preserve"> was established that part payment could be used to establish proprietary estoppel</w:t>
      </w:r>
      <w:r w:rsidR="00177334" w:rsidRPr="00F924F0">
        <w:rPr>
          <w:rStyle w:val="FootnoteReference"/>
          <w:rFonts w:ascii="Times New Roman" w:hAnsi="Times New Roman" w:cs="Times New Roman"/>
          <w:sz w:val="24"/>
          <w:szCs w:val="24"/>
        </w:rPr>
        <w:footnoteReference w:id="22"/>
      </w:r>
      <w:r w:rsidRPr="00F924F0">
        <w:rPr>
          <w:rFonts w:ascii="Times New Roman" w:hAnsi="Times New Roman" w:cs="Times New Roman"/>
          <w:sz w:val="24"/>
          <w:szCs w:val="24"/>
        </w:rPr>
        <w:t xml:space="preserve"> and that the doctrines established in </w:t>
      </w:r>
      <w:r w:rsidRPr="00F924F0">
        <w:rPr>
          <w:rFonts w:ascii="Times New Roman" w:hAnsi="Times New Roman" w:cs="Times New Roman"/>
          <w:i/>
          <w:iCs/>
          <w:sz w:val="24"/>
          <w:szCs w:val="24"/>
        </w:rPr>
        <w:t xml:space="preserve">Foakes v </w:t>
      </w:r>
      <w:r w:rsidR="00177334" w:rsidRPr="00F924F0">
        <w:rPr>
          <w:rFonts w:ascii="Times New Roman" w:hAnsi="Times New Roman" w:cs="Times New Roman"/>
          <w:i/>
          <w:iCs/>
          <w:sz w:val="24"/>
          <w:szCs w:val="24"/>
        </w:rPr>
        <w:t>Beer</w:t>
      </w:r>
      <w:r w:rsidR="00177334" w:rsidRPr="00F924F0">
        <w:rPr>
          <w:rFonts w:ascii="Times New Roman" w:hAnsi="Times New Roman" w:cs="Times New Roman"/>
          <w:sz w:val="24"/>
          <w:szCs w:val="24"/>
        </w:rPr>
        <w:t xml:space="preserve"> could</w:t>
      </w:r>
      <w:r w:rsidRPr="00F924F0">
        <w:rPr>
          <w:rFonts w:ascii="Times New Roman" w:hAnsi="Times New Roman" w:cs="Times New Roman"/>
          <w:sz w:val="24"/>
          <w:szCs w:val="24"/>
        </w:rPr>
        <w:t xml:space="preserve"> not apply in this case.</w:t>
      </w:r>
      <w:r w:rsidR="00177334" w:rsidRPr="00F924F0">
        <w:rPr>
          <w:rStyle w:val="FootnoteReference"/>
          <w:rFonts w:ascii="Times New Roman" w:hAnsi="Times New Roman" w:cs="Times New Roman"/>
          <w:sz w:val="24"/>
          <w:szCs w:val="24"/>
        </w:rPr>
        <w:footnoteReference w:id="23"/>
      </w:r>
      <w:r w:rsidRPr="00F924F0">
        <w:rPr>
          <w:rFonts w:ascii="Times New Roman" w:hAnsi="Times New Roman" w:cs="Times New Roman"/>
          <w:sz w:val="24"/>
          <w:szCs w:val="24"/>
        </w:rPr>
        <w:t xml:space="preserve">  Based on this </w:t>
      </w:r>
      <w:r w:rsidR="00177334" w:rsidRPr="00F924F0">
        <w:rPr>
          <w:rFonts w:ascii="Times New Roman" w:hAnsi="Times New Roman" w:cs="Times New Roman"/>
          <w:sz w:val="24"/>
          <w:szCs w:val="24"/>
        </w:rPr>
        <w:t>case, it</w:t>
      </w:r>
      <w:r w:rsidRPr="00F924F0">
        <w:rPr>
          <w:rFonts w:ascii="Times New Roman" w:hAnsi="Times New Roman" w:cs="Times New Roman"/>
          <w:sz w:val="24"/>
          <w:szCs w:val="24"/>
        </w:rPr>
        <w:t xml:space="preserve"> was seen that in as much </w:t>
      </w:r>
      <w:r w:rsidR="00177334" w:rsidRPr="00F924F0">
        <w:rPr>
          <w:rFonts w:ascii="Times New Roman" w:hAnsi="Times New Roman" w:cs="Times New Roman"/>
          <w:sz w:val="24"/>
          <w:szCs w:val="24"/>
        </w:rPr>
        <w:t>as there</w:t>
      </w:r>
      <w:r w:rsidRPr="00F924F0">
        <w:rPr>
          <w:rFonts w:ascii="Times New Roman" w:hAnsi="Times New Roman" w:cs="Times New Roman"/>
          <w:sz w:val="24"/>
          <w:szCs w:val="24"/>
        </w:rPr>
        <w:t xml:space="preserve"> is no evidence of consideration from a debtor, the part payment of a </w:t>
      </w:r>
      <w:r w:rsidR="00177334" w:rsidRPr="00F924F0">
        <w:rPr>
          <w:rFonts w:ascii="Times New Roman" w:hAnsi="Times New Roman" w:cs="Times New Roman"/>
          <w:sz w:val="24"/>
          <w:szCs w:val="24"/>
        </w:rPr>
        <w:t>debt could</w:t>
      </w:r>
      <w:r w:rsidRPr="00F924F0">
        <w:rPr>
          <w:rFonts w:ascii="Times New Roman" w:hAnsi="Times New Roman" w:cs="Times New Roman"/>
          <w:sz w:val="24"/>
          <w:szCs w:val="24"/>
        </w:rPr>
        <w:t xml:space="preserve"> be used to </w:t>
      </w:r>
      <w:r w:rsidR="00177334" w:rsidRPr="00F924F0">
        <w:rPr>
          <w:rFonts w:ascii="Times New Roman" w:hAnsi="Times New Roman" w:cs="Times New Roman"/>
          <w:sz w:val="24"/>
          <w:szCs w:val="24"/>
        </w:rPr>
        <w:t>satisfy</w:t>
      </w:r>
      <w:r w:rsidRPr="00F924F0">
        <w:rPr>
          <w:rFonts w:ascii="Times New Roman" w:hAnsi="Times New Roman" w:cs="Times New Roman"/>
          <w:sz w:val="24"/>
          <w:szCs w:val="24"/>
        </w:rPr>
        <w:t xml:space="preserve"> the right of a creditor to receive </w:t>
      </w:r>
      <w:r w:rsidR="00163CE5" w:rsidRPr="00F924F0">
        <w:rPr>
          <w:rFonts w:ascii="Times New Roman" w:hAnsi="Times New Roman" w:cs="Times New Roman"/>
          <w:sz w:val="24"/>
          <w:szCs w:val="24"/>
        </w:rPr>
        <w:t xml:space="preserve">the </w:t>
      </w:r>
      <w:r w:rsidRPr="00F924F0">
        <w:rPr>
          <w:rFonts w:ascii="Times New Roman" w:hAnsi="Times New Roman" w:cs="Times New Roman"/>
          <w:sz w:val="24"/>
          <w:szCs w:val="24"/>
        </w:rPr>
        <w:t>full amount.  The application of equity principles</w:t>
      </w:r>
      <w:r w:rsidR="00163CE5" w:rsidRPr="00F924F0">
        <w:rPr>
          <w:rFonts w:ascii="Times New Roman" w:hAnsi="Times New Roman" w:cs="Times New Roman"/>
          <w:sz w:val="24"/>
          <w:szCs w:val="24"/>
        </w:rPr>
        <w:t>, in this case,</w:t>
      </w:r>
      <w:r w:rsidRPr="00F924F0">
        <w:rPr>
          <w:rFonts w:ascii="Times New Roman" w:hAnsi="Times New Roman" w:cs="Times New Roman"/>
          <w:sz w:val="24"/>
          <w:szCs w:val="24"/>
        </w:rPr>
        <w:t xml:space="preserve"> was used to create a counter </w:t>
      </w:r>
      <w:r w:rsidR="00177334" w:rsidRPr="00F924F0">
        <w:rPr>
          <w:rFonts w:ascii="Times New Roman" w:hAnsi="Times New Roman" w:cs="Times New Roman"/>
          <w:sz w:val="24"/>
          <w:szCs w:val="24"/>
        </w:rPr>
        <w:t>rule that</w:t>
      </w:r>
      <w:r w:rsidRPr="00F924F0">
        <w:rPr>
          <w:rFonts w:ascii="Times New Roman" w:hAnsi="Times New Roman" w:cs="Times New Roman"/>
          <w:sz w:val="24"/>
          <w:szCs w:val="24"/>
        </w:rPr>
        <w:t xml:space="preserve"> minimises the inconveniences </w:t>
      </w:r>
      <w:r w:rsidR="00177334" w:rsidRPr="00F924F0">
        <w:rPr>
          <w:rFonts w:ascii="Times New Roman" w:hAnsi="Times New Roman" w:cs="Times New Roman"/>
          <w:sz w:val="24"/>
          <w:szCs w:val="24"/>
        </w:rPr>
        <w:t>of the</w:t>
      </w:r>
      <w:r w:rsidRPr="00F924F0">
        <w:rPr>
          <w:rFonts w:ascii="Times New Roman" w:hAnsi="Times New Roman" w:cs="Times New Roman"/>
          <w:sz w:val="24"/>
          <w:szCs w:val="24"/>
        </w:rPr>
        <w:t xml:space="preserve"> consideration requirement. The sidelining </w:t>
      </w:r>
      <w:r w:rsidR="00177334" w:rsidRPr="00F924F0">
        <w:rPr>
          <w:rFonts w:ascii="Times New Roman" w:hAnsi="Times New Roman" w:cs="Times New Roman"/>
          <w:sz w:val="24"/>
          <w:szCs w:val="24"/>
        </w:rPr>
        <w:t>of the</w:t>
      </w:r>
      <w:r w:rsidRPr="00F924F0">
        <w:rPr>
          <w:rFonts w:ascii="Times New Roman" w:hAnsi="Times New Roman" w:cs="Times New Roman"/>
          <w:sz w:val="24"/>
          <w:szCs w:val="24"/>
        </w:rPr>
        <w:t xml:space="preserve"> principles established in </w:t>
      </w:r>
      <w:r w:rsidR="00163CE5" w:rsidRPr="00F924F0">
        <w:rPr>
          <w:rFonts w:ascii="Times New Roman" w:hAnsi="Times New Roman" w:cs="Times New Roman"/>
          <w:sz w:val="24"/>
          <w:szCs w:val="24"/>
        </w:rPr>
        <w:t xml:space="preserve">the </w:t>
      </w:r>
      <w:r w:rsidRPr="00F924F0">
        <w:rPr>
          <w:rFonts w:ascii="Times New Roman" w:hAnsi="Times New Roman" w:cs="Times New Roman"/>
          <w:sz w:val="24"/>
          <w:szCs w:val="24"/>
        </w:rPr>
        <w:t xml:space="preserve">Foakes </w:t>
      </w:r>
      <w:r w:rsidR="00177334" w:rsidRPr="00F924F0">
        <w:rPr>
          <w:rFonts w:ascii="Times New Roman" w:hAnsi="Times New Roman" w:cs="Times New Roman"/>
          <w:sz w:val="24"/>
          <w:szCs w:val="24"/>
        </w:rPr>
        <w:t>case is</w:t>
      </w:r>
      <w:r w:rsidRPr="00F924F0">
        <w:rPr>
          <w:rFonts w:ascii="Times New Roman" w:hAnsi="Times New Roman" w:cs="Times New Roman"/>
          <w:sz w:val="24"/>
          <w:szCs w:val="24"/>
        </w:rPr>
        <w:t xml:space="preserve"> evidence that the doctrine is being sidelined. </w:t>
      </w:r>
    </w:p>
    <w:p w14:paraId="357108DB" w14:textId="64662AD8" w:rsidR="00A82B3B" w:rsidRPr="00F924F0" w:rsidRDefault="007D2E97" w:rsidP="00F924F0">
      <w:pPr>
        <w:spacing w:line="480" w:lineRule="auto"/>
        <w:ind w:firstLine="720"/>
        <w:jc w:val="center"/>
        <w:rPr>
          <w:rFonts w:ascii="Times New Roman" w:hAnsi="Times New Roman" w:cs="Times New Roman"/>
          <w:b/>
          <w:bCs/>
          <w:sz w:val="24"/>
          <w:szCs w:val="24"/>
        </w:rPr>
      </w:pPr>
      <w:r w:rsidRPr="00F924F0">
        <w:rPr>
          <w:rFonts w:ascii="Times New Roman" w:hAnsi="Times New Roman" w:cs="Times New Roman"/>
          <w:b/>
          <w:bCs/>
          <w:sz w:val="24"/>
          <w:szCs w:val="24"/>
        </w:rPr>
        <w:t xml:space="preserve">The Need for </w:t>
      </w:r>
      <w:r w:rsidR="00A82B3B" w:rsidRPr="00F924F0">
        <w:rPr>
          <w:rFonts w:ascii="Times New Roman" w:hAnsi="Times New Roman" w:cs="Times New Roman"/>
          <w:b/>
          <w:bCs/>
          <w:sz w:val="24"/>
          <w:szCs w:val="24"/>
        </w:rPr>
        <w:t xml:space="preserve">Reforms </w:t>
      </w:r>
    </w:p>
    <w:p w14:paraId="5F674C4E" w14:textId="31CF000C" w:rsidR="00A82B3B" w:rsidRPr="00F924F0" w:rsidRDefault="00A82B3B" w:rsidP="00F924F0">
      <w:pPr>
        <w:spacing w:line="480" w:lineRule="auto"/>
        <w:ind w:firstLine="720"/>
        <w:jc w:val="both"/>
        <w:rPr>
          <w:rFonts w:ascii="Times New Roman" w:hAnsi="Times New Roman" w:cs="Times New Roman"/>
          <w:sz w:val="24"/>
          <w:szCs w:val="24"/>
        </w:rPr>
      </w:pPr>
      <w:r w:rsidRPr="00F924F0">
        <w:rPr>
          <w:rFonts w:ascii="Times New Roman" w:hAnsi="Times New Roman" w:cs="Times New Roman"/>
          <w:sz w:val="24"/>
          <w:szCs w:val="24"/>
        </w:rPr>
        <w:t xml:space="preserve"> From the analysis conducted </w:t>
      </w:r>
      <w:r w:rsidR="00177334" w:rsidRPr="00F924F0">
        <w:rPr>
          <w:rFonts w:ascii="Times New Roman" w:hAnsi="Times New Roman" w:cs="Times New Roman"/>
          <w:sz w:val="24"/>
          <w:szCs w:val="24"/>
        </w:rPr>
        <w:t>above,</w:t>
      </w:r>
      <w:r w:rsidRPr="00F924F0">
        <w:rPr>
          <w:rFonts w:ascii="Times New Roman" w:hAnsi="Times New Roman" w:cs="Times New Roman"/>
          <w:sz w:val="24"/>
          <w:szCs w:val="24"/>
        </w:rPr>
        <w:t xml:space="preserve"> it is evident that the doctrine of consideration has been disapproved because of its inconsistent and unclear nature.  There is </w:t>
      </w:r>
      <w:r w:rsidR="00163CE5" w:rsidRPr="00F924F0">
        <w:rPr>
          <w:rFonts w:ascii="Times New Roman" w:hAnsi="Times New Roman" w:cs="Times New Roman"/>
          <w:sz w:val="24"/>
          <w:szCs w:val="24"/>
        </w:rPr>
        <w:t xml:space="preserve">a </w:t>
      </w:r>
      <w:r w:rsidRPr="00F924F0">
        <w:rPr>
          <w:rFonts w:ascii="Times New Roman" w:hAnsi="Times New Roman" w:cs="Times New Roman"/>
          <w:sz w:val="24"/>
          <w:szCs w:val="24"/>
        </w:rPr>
        <w:t>need to ensure that reforms are introduce</w:t>
      </w:r>
      <w:r w:rsidR="00163CE5" w:rsidRPr="00F924F0">
        <w:rPr>
          <w:rFonts w:ascii="Times New Roman" w:hAnsi="Times New Roman" w:cs="Times New Roman"/>
          <w:sz w:val="24"/>
          <w:szCs w:val="24"/>
        </w:rPr>
        <w:t>d</w:t>
      </w:r>
      <w:r w:rsidRPr="00F924F0">
        <w:rPr>
          <w:rFonts w:ascii="Times New Roman" w:hAnsi="Times New Roman" w:cs="Times New Roman"/>
          <w:sz w:val="24"/>
          <w:szCs w:val="24"/>
        </w:rPr>
        <w:t xml:space="preserve"> under the contract la as this is what will help ensure that it serves its purposes.  The </w:t>
      </w:r>
      <w:r w:rsidR="00177334" w:rsidRPr="00F924F0">
        <w:rPr>
          <w:rFonts w:ascii="Times New Roman" w:hAnsi="Times New Roman" w:cs="Times New Roman"/>
          <w:sz w:val="24"/>
          <w:szCs w:val="24"/>
        </w:rPr>
        <w:t>uncertainty</w:t>
      </w:r>
      <w:r w:rsidRPr="00F924F0">
        <w:rPr>
          <w:rFonts w:ascii="Times New Roman" w:hAnsi="Times New Roman" w:cs="Times New Roman"/>
          <w:sz w:val="24"/>
          <w:szCs w:val="24"/>
        </w:rPr>
        <w:t xml:space="preserve"> from the application of this doctrine can be </w:t>
      </w:r>
      <w:r w:rsidR="00177334" w:rsidRPr="00F924F0">
        <w:rPr>
          <w:rFonts w:ascii="Times New Roman" w:hAnsi="Times New Roman" w:cs="Times New Roman"/>
          <w:sz w:val="24"/>
          <w:szCs w:val="24"/>
        </w:rPr>
        <w:t>demonstrated through</w:t>
      </w:r>
      <w:r w:rsidRPr="00F924F0">
        <w:rPr>
          <w:rFonts w:ascii="Times New Roman" w:hAnsi="Times New Roman" w:cs="Times New Roman"/>
          <w:sz w:val="24"/>
          <w:szCs w:val="24"/>
        </w:rPr>
        <w:t xml:space="preserve"> the challenges faced in reconciling the differences in cases like </w:t>
      </w:r>
      <w:r w:rsidR="00163CE5" w:rsidRPr="00F924F0">
        <w:rPr>
          <w:rFonts w:ascii="Times New Roman" w:hAnsi="Times New Roman" w:cs="Times New Roman"/>
          <w:sz w:val="24"/>
          <w:szCs w:val="24"/>
        </w:rPr>
        <w:t xml:space="preserve">the </w:t>
      </w:r>
      <w:r w:rsidR="007D2E97" w:rsidRPr="00F924F0">
        <w:rPr>
          <w:rFonts w:ascii="Times New Roman" w:hAnsi="Times New Roman" w:cs="Times New Roman"/>
          <w:i/>
          <w:iCs/>
          <w:sz w:val="24"/>
          <w:szCs w:val="24"/>
        </w:rPr>
        <w:t>Williams and</w:t>
      </w:r>
      <w:r w:rsidRPr="00F924F0">
        <w:rPr>
          <w:rFonts w:ascii="Times New Roman" w:hAnsi="Times New Roman" w:cs="Times New Roman"/>
          <w:i/>
          <w:iCs/>
          <w:sz w:val="24"/>
          <w:szCs w:val="24"/>
        </w:rPr>
        <w:t xml:space="preserve"> Foakes v </w:t>
      </w:r>
      <w:r w:rsidR="00177334" w:rsidRPr="00F924F0">
        <w:rPr>
          <w:rFonts w:ascii="Times New Roman" w:hAnsi="Times New Roman" w:cs="Times New Roman"/>
          <w:i/>
          <w:iCs/>
          <w:sz w:val="24"/>
          <w:szCs w:val="24"/>
        </w:rPr>
        <w:t>Beer case.</w:t>
      </w:r>
      <w:r w:rsidR="00177334" w:rsidRPr="00F924F0">
        <w:rPr>
          <w:rStyle w:val="FootnoteReference"/>
          <w:rFonts w:ascii="Times New Roman" w:hAnsi="Times New Roman" w:cs="Times New Roman"/>
          <w:i/>
          <w:iCs/>
          <w:sz w:val="24"/>
          <w:szCs w:val="24"/>
        </w:rPr>
        <w:footnoteReference w:id="24"/>
      </w:r>
      <w:r w:rsidRPr="00F924F0">
        <w:rPr>
          <w:rFonts w:ascii="Times New Roman" w:hAnsi="Times New Roman" w:cs="Times New Roman"/>
          <w:sz w:val="24"/>
          <w:szCs w:val="24"/>
        </w:rPr>
        <w:t xml:space="preserve"> Moreover, the intrusion of the concept of promissory estoppel also </w:t>
      </w:r>
      <w:r w:rsidR="00177334" w:rsidRPr="00F924F0">
        <w:rPr>
          <w:rFonts w:ascii="Times New Roman" w:hAnsi="Times New Roman" w:cs="Times New Roman"/>
          <w:sz w:val="24"/>
          <w:szCs w:val="24"/>
        </w:rPr>
        <w:t>raises concerns regarding</w:t>
      </w:r>
      <w:r w:rsidRPr="00F924F0">
        <w:rPr>
          <w:rFonts w:ascii="Times New Roman" w:hAnsi="Times New Roman" w:cs="Times New Roman"/>
          <w:sz w:val="24"/>
          <w:szCs w:val="24"/>
        </w:rPr>
        <w:t xml:space="preserve"> the uncertain and inconsistent application of the doctrine.   There are suggestions that </w:t>
      </w:r>
      <w:r w:rsidRPr="00F924F0">
        <w:rPr>
          <w:rFonts w:ascii="Times New Roman" w:hAnsi="Times New Roman" w:cs="Times New Roman"/>
          <w:sz w:val="24"/>
          <w:szCs w:val="24"/>
        </w:rPr>
        <w:lastRenderedPageBreak/>
        <w:t xml:space="preserve">there is </w:t>
      </w:r>
      <w:r w:rsidR="00163CE5" w:rsidRPr="00F924F0">
        <w:rPr>
          <w:rFonts w:ascii="Times New Roman" w:hAnsi="Times New Roman" w:cs="Times New Roman"/>
          <w:sz w:val="24"/>
          <w:szCs w:val="24"/>
        </w:rPr>
        <w:t xml:space="preserve">a </w:t>
      </w:r>
      <w:r w:rsidRPr="00F924F0">
        <w:rPr>
          <w:rFonts w:ascii="Times New Roman" w:hAnsi="Times New Roman" w:cs="Times New Roman"/>
          <w:sz w:val="24"/>
          <w:szCs w:val="24"/>
        </w:rPr>
        <w:t xml:space="preserve">need to </w:t>
      </w:r>
      <w:r w:rsidR="00A07F0C">
        <w:rPr>
          <w:rFonts w:ascii="Times New Roman" w:hAnsi="Times New Roman" w:cs="Times New Roman"/>
          <w:sz w:val="24"/>
          <w:szCs w:val="24"/>
        </w:rPr>
        <w:t>eliminate</w:t>
      </w:r>
      <w:r w:rsidR="00177334" w:rsidRPr="00F924F0">
        <w:rPr>
          <w:rFonts w:ascii="Times New Roman" w:hAnsi="Times New Roman" w:cs="Times New Roman"/>
          <w:sz w:val="24"/>
          <w:szCs w:val="24"/>
        </w:rPr>
        <w:t xml:space="preserve"> the</w:t>
      </w:r>
      <w:r w:rsidRPr="00F924F0">
        <w:rPr>
          <w:rFonts w:ascii="Times New Roman" w:hAnsi="Times New Roman" w:cs="Times New Roman"/>
          <w:sz w:val="24"/>
          <w:szCs w:val="24"/>
        </w:rPr>
        <w:t xml:space="preserve"> aspect of intention as this will enhance clarity on the doctrine.</w:t>
      </w:r>
      <w:r w:rsidR="00AF34C7" w:rsidRPr="00F924F0">
        <w:rPr>
          <w:rStyle w:val="FootnoteReference"/>
          <w:rFonts w:ascii="Times New Roman" w:hAnsi="Times New Roman" w:cs="Times New Roman"/>
          <w:sz w:val="24"/>
          <w:szCs w:val="24"/>
        </w:rPr>
        <w:footnoteReference w:id="25"/>
      </w:r>
      <w:r w:rsidRPr="00F924F0">
        <w:rPr>
          <w:rFonts w:ascii="Times New Roman" w:hAnsi="Times New Roman" w:cs="Times New Roman"/>
          <w:sz w:val="24"/>
          <w:szCs w:val="24"/>
        </w:rPr>
        <w:t xml:space="preserve">  However, this suggestion needs to be carefully considered because the test will lead to a rigidity problem.  This will imply </w:t>
      </w:r>
      <w:r w:rsidR="00177334" w:rsidRPr="00F924F0">
        <w:rPr>
          <w:rFonts w:ascii="Times New Roman" w:hAnsi="Times New Roman" w:cs="Times New Roman"/>
          <w:sz w:val="24"/>
          <w:szCs w:val="24"/>
        </w:rPr>
        <w:t>that the</w:t>
      </w:r>
      <w:r w:rsidRPr="00F924F0">
        <w:rPr>
          <w:rFonts w:ascii="Times New Roman" w:hAnsi="Times New Roman" w:cs="Times New Roman"/>
          <w:sz w:val="24"/>
          <w:szCs w:val="24"/>
        </w:rPr>
        <w:t xml:space="preserve"> existence of consideration in an </w:t>
      </w:r>
      <w:r w:rsidR="00177334" w:rsidRPr="00F924F0">
        <w:rPr>
          <w:rFonts w:ascii="Times New Roman" w:hAnsi="Times New Roman" w:cs="Times New Roman"/>
          <w:sz w:val="24"/>
          <w:szCs w:val="24"/>
        </w:rPr>
        <w:t>agreement implies</w:t>
      </w:r>
      <w:r w:rsidRPr="00F924F0">
        <w:rPr>
          <w:rFonts w:ascii="Times New Roman" w:hAnsi="Times New Roman" w:cs="Times New Roman"/>
          <w:sz w:val="24"/>
          <w:szCs w:val="24"/>
        </w:rPr>
        <w:t xml:space="preserve"> </w:t>
      </w:r>
      <w:r w:rsidR="00177334" w:rsidRPr="00F924F0">
        <w:rPr>
          <w:rFonts w:ascii="Times New Roman" w:hAnsi="Times New Roman" w:cs="Times New Roman"/>
          <w:sz w:val="24"/>
          <w:szCs w:val="24"/>
        </w:rPr>
        <w:t xml:space="preserve">that </w:t>
      </w:r>
      <w:r w:rsidR="00A07F0C">
        <w:rPr>
          <w:rFonts w:ascii="Times New Roman" w:hAnsi="Times New Roman" w:cs="Times New Roman"/>
          <w:sz w:val="24"/>
          <w:szCs w:val="24"/>
        </w:rPr>
        <w:t xml:space="preserve">it </w:t>
      </w:r>
      <w:r w:rsidRPr="00F924F0">
        <w:rPr>
          <w:rFonts w:ascii="Times New Roman" w:hAnsi="Times New Roman" w:cs="Times New Roman"/>
          <w:sz w:val="24"/>
          <w:szCs w:val="24"/>
        </w:rPr>
        <w:t xml:space="preserve">is automatically enforceable regardless of whether the parties intended to be legally bound. </w:t>
      </w:r>
    </w:p>
    <w:p w14:paraId="5A5CABAB" w14:textId="1AC915F2" w:rsidR="00A82B3B" w:rsidRPr="00F924F0" w:rsidRDefault="00AF34C7" w:rsidP="00F924F0">
      <w:pPr>
        <w:spacing w:line="480" w:lineRule="auto"/>
        <w:ind w:firstLine="720"/>
        <w:jc w:val="center"/>
        <w:rPr>
          <w:rFonts w:ascii="Times New Roman" w:hAnsi="Times New Roman" w:cs="Times New Roman"/>
          <w:b/>
          <w:bCs/>
          <w:sz w:val="24"/>
          <w:szCs w:val="24"/>
        </w:rPr>
      </w:pPr>
      <w:r w:rsidRPr="00F924F0">
        <w:rPr>
          <w:rFonts w:ascii="Times New Roman" w:hAnsi="Times New Roman" w:cs="Times New Roman"/>
          <w:b/>
          <w:bCs/>
          <w:sz w:val="24"/>
          <w:szCs w:val="24"/>
        </w:rPr>
        <w:t>Conclusion</w:t>
      </w:r>
    </w:p>
    <w:p w14:paraId="520A942E" w14:textId="5E5EC2B1" w:rsidR="00AF34C7" w:rsidRPr="00F924F0" w:rsidRDefault="00AF34C7" w:rsidP="00F924F0">
      <w:pPr>
        <w:spacing w:line="480" w:lineRule="auto"/>
        <w:ind w:firstLine="720"/>
        <w:jc w:val="both"/>
        <w:rPr>
          <w:rFonts w:ascii="Times New Roman" w:hAnsi="Times New Roman" w:cs="Times New Roman"/>
          <w:sz w:val="24"/>
          <w:szCs w:val="24"/>
        </w:rPr>
      </w:pPr>
      <w:r w:rsidRPr="00F924F0">
        <w:rPr>
          <w:rFonts w:ascii="Times New Roman" w:hAnsi="Times New Roman" w:cs="Times New Roman"/>
          <w:sz w:val="24"/>
          <w:szCs w:val="24"/>
        </w:rPr>
        <w:t xml:space="preserve"> In summary, consideration is a fundamental principle </w:t>
      </w:r>
      <w:r w:rsidR="00177334" w:rsidRPr="00F924F0">
        <w:rPr>
          <w:rFonts w:ascii="Times New Roman" w:hAnsi="Times New Roman" w:cs="Times New Roman"/>
          <w:sz w:val="24"/>
          <w:szCs w:val="24"/>
        </w:rPr>
        <w:t>in contract</w:t>
      </w:r>
      <w:r w:rsidRPr="00F924F0">
        <w:rPr>
          <w:rFonts w:ascii="Times New Roman" w:hAnsi="Times New Roman" w:cs="Times New Roman"/>
          <w:sz w:val="24"/>
          <w:szCs w:val="24"/>
        </w:rPr>
        <w:t xml:space="preserve"> </w:t>
      </w:r>
      <w:r w:rsidR="00177334" w:rsidRPr="00F924F0">
        <w:rPr>
          <w:rFonts w:ascii="Times New Roman" w:hAnsi="Times New Roman" w:cs="Times New Roman"/>
          <w:sz w:val="24"/>
          <w:szCs w:val="24"/>
        </w:rPr>
        <w:t>law as</w:t>
      </w:r>
      <w:r w:rsidRPr="00F924F0">
        <w:rPr>
          <w:rFonts w:ascii="Times New Roman" w:hAnsi="Times New Roman" w:cs="Times New Roman"/>
          <w:sz w:val="24"/>
          <w:szCs w:val="24"/>
        </w:rPr>
        <w:t xml:space="preserve"> it is one of the main elements that determines if an agreement is legally binding. The doctrine has been </w:t>
      </w:r>
      <w:r w:rsidR="00177334" w:rsidRPr="00F924F0">
        <w:rPr>
          <w:rFonts w:ascii="Times New Roman" w:hAnsi="Times New Roman" w:cs="Times New Roman"/>
          <w:sz w:val="24"/>
          <w:szCs w:val="24"/>
        </w:rPr>
        <w:t>coherently</w:t>
      </w:r>
      <w:r w:rsidRPr="00F924F0">
        <w:rPr>
          <w:rFonts w:ascii="Times New Roman" w:hAnsi="Times New Roman" w:cs="Times New Roman"/>
          <w:sz w:val="24"/>
          <w:szCs w:val="24"/>
        </w:rPr>
        <w:t xml:space="preserve"> applied over the years and it is used to determine </w:t>
      </w:r>
      <w:r w:rsidR="00177334" w:rsidRPr="00F924F0">
        <w:rPr>
          <w:rFonts w:ascii="Times New Roman" w:hAnsi="Times New Roman" w:cs="Times New Roman"/>
          <w:sz w:val="24"/>
          <w:szCs w:val="24"/>
        </w:rPr>
        <w:t>why the</w:t>
      </w:r>
      <w:r w:rsidRPr="00F924F0">
        <w:rPr>
          <w:rFonts w:ascii="Times New Roman" w:hAnsi="Times New Roman" w:cs="Times New Roman"/>
          <w:sz w:val="24"/>
          <w:szCs w:val="24"/>
        </w:rPr>
        <w:t xml:space="preserve"> promisor needs to be bound. However, there are concerns </w:t>
      </w:r>
      <w:r w:rsidR="00177334" w:rsidRPr="00F924F0">
        <w:rPr>
          <w:rFonts w:ascii="Times New Roman" w:hAnsi="Times New Roman" w:cs="Times New Roman"/>
          <w:sz w:val="24"/>
          <w:szCs w:val="24"/>
        </w:rPr>
        <w:t>that the</w:t>
      </w:r>
      <w:r w:rsidRPr="00F924F0">
        <w:rPr>
          <w:rFonts w:ascii="Times New Roman" w:hAnsi="Times New Roman" w:cs="Times New Roman"/>
          <w:sz w:val="24"/>
          <w:szCs w:val="24"/>
        </w:rPr>
        <w:t xml:space="preserve"> doctrine is becoming blurry because of its lack of clarity and the uncertainties it creates.  For instance, cases like William and Callier have failed to follow established precedents on the doctrine, which creates legal uncertainties.  Moreover, exceptions introduced under </w:t>
      </w:r>
      <w:r w:rsidR="00177334" w:rsidRPr="00F924F0">
        <w:rPr>
          <w:rFonts w:ascii="Times New Roman" w:hAnsi="Times New Roman" w:cs="Times New Roman"/>
          <w:sz w:val="24"/>
          <w:szCs w:val="24"/>
        </w:rPr>
        <w:t>the</w:t>
      </w:r>
      <w:r w:rsidRPr="00F924F0">
        <w:rPr>
          <w:rFonts w:ascii="Times New Roman" w:hAnsi="Times New Roman" w:cs="Times New Roman"/>
          <w:sz w:val="24"/>
          <w:szCs w:val="24"/>
        </w:rPr>
        <w:t xml:space="preserve"> doctrine such as the concept of proprietary </w:t>
      </w:r>
      <w:r w:rsidR="007D2E97" w:rsidRPr="00F924F0">
        <w:rPr>
          <w:rFonts w:ascii="Times New Roman" w:hAnsi="Times New Roman" w:cs="Times New Roman"/>
          <w:sz w:val="24"/>
          <w:szCs w:val="24"/>
        </w:rPr>
        <w:t>estoppel ha</w:t>
      </w:r>
      <w:r w:rsidR="00163CE5" w:rsidRPr="00F924F0">
        <w:rPr>
          <w:rFonts w:ascii="Times New Roman" w:hAnsi="Times New Roman" w:cs="Times New Roman"/>
          <w:sz w:val="24"/>
          <w:szCs w:val="24"/>
        </w:rPr>
        <w:t>ve</w:t>
      </w:r>
      <w:r w:rsidRPr="00F924F0">
        <w:rPr>
          <w:rFonts w:ascii="Times New Roman" w:hAnsi="Times New Roman" w:cs="Times New Roman"/>
          <w:sz w:val="24"/>
          <w:szCs w:val="24"/>
        </w:rPr>
        <w:t xml:space="preserve"> </w:t>
      </w:r>
      <w:r w:rsidR="00177334" w:rsidRPr="00F924F0">
        <w:rPr>
          <w:rFonts w:ascii="Times New Roman" w:hAnsi="Times New Roman" w:cs="Times New Roman"/>
          <w:sz w:val="24"/>
          <w:szCs w:val="24"/>
        </w:rPr>
        <w:t>led</w:t>
      </w:r>
      <w:r w:rsidRPr="00F924F0">
        <w:rPr>
          <w:rFonts w:ascii="Times New Roman" w:hAnsi="Times New Roman" w:cs="Times New Roman"/>
          <w:sz w:val="24"/>
          <w:szCs w:val="24"/>
        </w:rPr>
        <w:t xml:space="preserve"> to the diminishing of the doctrine. </w:t>
      </w:r>
    </w:p>
    <w:p w14:paraId="3EC2028D" w14:textId="77777777" w:rsidR="00F924F0" w:rsidRDefault="00F924F0" w:rsidP="00F924F0">
      <w:pPr>
        <w:spacing w:line="480" w:lineRule="auto"/>
        <w:ind w:firstLine="720"/>
        <w:jc w:val="both"/>
        <w:rPr>
          <w:rFonts w:ascii="Times New Roman" w:hAnsi="Times New Roman" w:cs="Times New Roman"/>
          <w:b/>
          <w:bCs/>
          <w:sz w:val="24"/>
          <w:szCs w:val="24"/>
        </w:rPr>
      </w:pPr>
    </w:p>
    <w:p w14:paraId="02658DC1" w14:textId="77777777" w:rsidR="00F924F0" w:rsidRDefault="00F924F0" w:rsidP="00F924F0">
      <w:pPr>
        <w:spacing w:line="480" w:lineRule="auto"/>
        <w:ind w:firstLine="720"/>
        <w:jc w:val="both"/>
        <w:rPr>
          <w:rFonts w:ascii="Times New Roman" w:hAnsi="Times New Roman" w:cs="Times New Roman"/>
          <w:b/>
          <w:bCs/>
          <w:sz w:val="24"/>
          <w:szCs w:val="24"/>
        </w:rPr>
      </w:pPr>
    </w:p>
    <w:p w14:paraId="351B45BF" w14:textId="77777777" w:rsidR="00F924F0" w:rsidRDefault="00F924F0" w:rsidP="00F924F0">
      <w:pPr>
        <w:spacing w:line="480" w:lineRule="auto"/>
        <w:ind w:firstLine="720"/>
        <w:jc w:val="both"/>
        <w:rPr>
          <w:rFonts w:ascii="Times New Roman" w:hAnsi="Times New Roman" w:cs="Times New Roman"/>
          <w:b/>
          <w:bCs/>
          <w:sz w:val="24"/>
          <w:szCs w:val="24"/>
        </w:rPr>
      </w:pPr>
    </w:p>
    <w:p w14:paraId="6E3D225F" w14:textId="77777777" w:rsidR="00F924F0" w:rsidRDefault="00F924F0" w:rsidP="00F924F0">
      <w:pPr>
        <w:spacing w:line="480" w:lineRule="auto"/>
        <w:ind w:firstLine="720"/>
        <w:jc w:val="both"/>
        <w:rPr>
          <w:rFonts w:ascii="Times New Roman" w:hAnsi="Times New Roman" w:cs="Times New Roman"/>
          <w:b/>
          <w:bCs/>
          <w:sz w:val="24"/>
          <w:szCs w:val="24"/>
        </w:rPr>
      </w:pPr>
    </w:p>
    <w:p w14:paraId="0BE3C9AE" w14:textId="77777777" w:rsidR="00F924F0" w:rsidRDefault="00F924F0" w:rsidP="00F924F0">
      <w:pPr>
        <w:spacing w:line="480" w:lineRule="auto"/>
        <w:ind w:firstLine="720"/>
        <w:jc w:val="both"/>
        <w:rPr>
          <w:rFonts w:ascii="Times New Roman" w:hAnsi="Times New Roman" w:cs="Times New Roman"/>
          <w:b/>
          <w:bCs/>
          <w:sz w:val="24"/>
          <w:szCs w:val="24"/>
        </w:rPr>
      </w:pPr>
    </w:p>
    <w:p w14:paraId="33D5F9FA" w14:textId="77777777" w:rsidR="00F924F0" w:rsidRDefault="00F924F0" w:rsidP="00F924F0">
      <w:pPr>
        <w:spacing w:line="480" w:lineRule="auto"/>
        <w:ind w:firstLine="720"/>
        <w:jc w:val="both"/>
        <w:rPr>
          <w:rFonts w:ascii="Times New Roman" w:hAnsi="Times New Roman" w:cs="Times New Roman"/>
          <w:b/>
          <w:bCs/>
          <w:sz w:val="24"/>
          <w:szCs w:val="24"/>
        </w:rPr>
      </w:pPr>
    </w:p>
    <w:p w14:paraId="68398985" w14:textId="77777777" w:rsidR="00F924F0" w:rsidRDefault="00F924F0" w:rsidP="00F924F0">
      <w:pPr>
        <w:spacing w:line="480" w:lineRule="auto"/>
        <w:ind w:firstLine="720"/>
        <w:jc w:val="both"/>
        <w:rPr>
          <w:rFonts w:ascii="Times New Roman" w:hAnsi="Times New Roman" w:cs="Times New Roman"/>
          <w:b/>
          <w:bCs/>
          <w:sz w:val="24"/>
          <w:szCs w:val="24"/>
        </w:rPr>
      </w:pPr>
    </w:p>
    <w:p w14:paraId="5D418391" w14:textId="77777777" w:rsidR="00F924F0" w:rsidRDefault="00F924F0" w:rsidP="00F924F0">
      <w:pPr>
        <w:spacing w:line="480" w:lineRule="auto"/>
        <w:ind w:firstLine="720"/>
        <w:jc w:val="both"/>
        <w:rPr>
          <w:rFonts w:ascii="Times New Roman" w:hAnsi="Times New Roman" w:cs="Times New Roman"/>
          <w:b/>
          <w:bCs/>
          <w:sz w:val="24"/>
          <w:szCs w:val="24"/>
        </w:rPr>
      </w:pPr>
    </w:p>
    <w:p w14:paraId="6FFF7F63" w14:textId="77777777" w:rsidR="00F924F0" w:rsidRDefault="00F924F0" w:rsidP="00F924F0">
      <w:pPr>
        <w:spacing w:line="480" w:lineRule="auto"/>
        <w:ind w:firstLine="720"/>
        <w:jc w:val="both"/>
        <w:rPr>
          <w:rFonts w:ascii="Times New Roman" w:hAnsi="Times New Roman" w:cs="Times New Roman"/>
          <w:b/>
          <w:bCs/>
          <w:sz w:val="24"/>
          <w:szCs w:val="24"/>
        </w:rPr>
      </w:pPr>
    </w:p>
    <w:p w14:paraId="65800D51" w14:textId="77777777" w:rsidR="00F924F0" w:rsidRDefault="00F924F0" w:rsidP="00F924F0">
      <w:pPr>
        <w:spacing w:line="480" w:lineRule="auto"/>
        <w:ind w:firstLine="720"/>
        <w:jc w:val="both"/>
        <w:rPr>
          <w:rFonts w:ascii="Times New Roman" w:hAnsi="Times New Roman" w:cs="Times New Roman"/>
          <w:b/>
          <w:bCs/>
          <w:sz w:val="24"/>
          <w:szCs w:val="24"/>
        </w:rPr>
      </w:pPr>
    </w:p>
    <w:p w14:paraId="1A265A7C" w14:textId="77777777" w:rsidR="00F924F0" w:rsidRDefault="00F924F0" w:rsidP="00F924F0">
      <w:pPr>
        <w:spacing w:line="480" w:lineRule="auto"/>
        <w:ind w:firstLine="720"/>
        <w:jc w:val="both"/>
        <w:rPr>
          <w:rFonts w:ascii="Times New Roman" w:hAnsi="Times New Roman" w:cs="Times New Roman"/>
          <w:b/>
          <w:bCs/>
          <w:sz w:val="24"/>
          <w:szCs w:val="24"/>
        </w:rPr>
      </w:pPr>
    </w:p>
    <w:p w14:paraId="1BB39636" w14:textId="77777777" w:rsidR="00F924F0" w:rsidRDefault="00F924F0" w:rsidP="00F924F0">
      <w:pPr>
        <w:spacing w:line="480" w:lineRule="auto"/>
        <w:ind w:firstLine="720"/>
        <w:jc w:val="both"/>
        <w:rPr>
          <w:rFonts w:ascii="Times New Roman" w:hAnsi="Times New Roman" w:cs="Times New Roman"/>
          <w:b/>
          <w:bCs/>
          <w:sz w:val="24"/>
          <w:szCs w:val="24"/>
        </w:rPr>
      </w:pPr>
    </w:p>
    <w:p w14:paraId="4F8444FC" w14:textId="53966138" w:rsidR="00803C3B" w:rsidRPr="00F924F0" w:rsidRDefault="00803C3B" w:rsidP="00F924F0">
      <w:pPr>
        <w:spacing w:line="480" w:lineRule="auto"/>
        <w:jc w:val="center"/>
        <w:rPr>
          <w:rFonts w:ascii="Times New Roman" w:hAnsi="Times New Roman" w:cs="Times New Roman"/>
          <w:b/>
          <w:bCs/>
          <w:sz w:val="24"/>
          <w:szCs w:val="24"/>
        </w:rPr>
      </w:pPr>
      <w:r w:rsidRPr="00F924F0">
        <w:rPr>
          <w:rFonts w:ascii="Times New Roman" w:hAnsi="Times New Roman" w:cs="Times New Roman"/>
          <w:b/>
          <w:bCs/>
          <w:sz w:val="24"/>
          <w:szCs w:val="24"/>
        </w:rPr>
        <w:t>Bibliography</w:t>
      </w:r>
    </w:p>
    <w:p w14:paraId="61DA2B04" w14:textId="7C1408B6" w:rsidR="00803C3B" w:rsidRPr="00F924F0" w:rsidRDefault="00803C3B" w:rsidP="00F924F0">
      <w:pPr>
        <w:spacing w:line="480" w:lineRule="auto"/>
        <w:ind w:firstLine="720"/>
        <w:jc w:val="both"/>
        <w:rPr>
          <w:rFonts w:ascii="Times New Roman" w:hAnsi="Times New Roman" w:cs="Times New Roman"/>
          <w:b/>
          <w:bCs/>
          <w:sz w:val="24"/>
          <w:szCs w:val="24"/>
        </w:rPr>
      </w:pPr>
      <w:r w:rsidRPr="00F924F0">
        <w:rPr>
          <w:rFonts w:ascii="Times New Roman" w:hAnsi="Times New Roman" w:cs="Times New Roman"/>
          <w:b/>
          <w:bCs/>
          <w:sz w:val="24"/>
          <w:szCs w:val="24"/>
        </w:rPr>
        <w:t>Case Law</w:t>
      </w:r>
    </w:p>
    <w:p w14:paraId="51E8F6B2" w14:textId="77777777" w:rsidR="00803C3B" w:rsidRPr="00F924F0" w:rsidRDefault="00803C3B" w:rsidP="00F924F0">
      <w:pPr>
        <w:pStyle w:val="FootnoteText"/>
        <w:spacing w:line="480" w:lineRule="auto"/>
        <w:ind w:left="720" w:hanging="720"/>
        <w:rPr>
          <w:rFonts w:ascii="Times New Roman" w:hAnsi="Times New Roman" w:cs="Times New Roman"/>
          <w:sz w:val="24"/>
          <w:szCs w:val="24"/>
        </w:rPr>
      </w:pPr>
      <w:r w:rsidRPr="00F924F0">
        <w:rPr>
          <w:rFonts w:ascii="Times New Roman" w:hAnsi="Times New Roman" w:cs="Times New Roman"/>
          <w:sz w:val="24"/>
          <w:szCs w:val="24"/>
        </w:rPr>
        <w:t>Williams v Roffey Bros &amp; Nicholls (Con- tractors) Lt [1990] 1 All ER 512</w:t>
      </w:r>
    </w:p>
    <w:p w14:paraId="0E48F007" w14:textId="77777777" w:rsidR="00803C3B" w:rsidRPr="00F924F0" w:rsidRDefault="00803C3B" w:rsidP="00F924F0">
      <w:pPr>
        <w:pStyle w:val="FootnoteText"/>
        <w:spacing w:line="480" w:lineRule="auto"/>
        <w:ind w:left="720" w:hanging="720"/>
        <w:rPr>
          <w:rFonts w:ascii="Times New Roman" w:hAnsi="Times New Roman" w:cs="Times New Roman"/>
          <w:sz w:val="24"/>
          <w:szCs w:val="24"/>
          <w:lang w:val="en-US"/>
        </w:rPr>
      </w:pPr>
      <w:r w:rsidRPr="00F924F0">
        <w:rPr>
          <w:rFonts w:ascii="Times New Roman" w:hAnsi="Times New Roman" w:cs="Times New Roman"/>
          <w:sz w:val="24"/>
          <w:szCs w:val="24"/>
        </w:rPr>
        <w:t>C</w:t>
      </w:r>
      <w:r w:rsidRPr="00F924F0">
        <w:rPr>
          <w:rFonts w:ascii="Times New Roman" w:hAnsi="Times New Roman" w:cs="Times New Roman"/>
          <w:color w:val="4D5156"/>
          <w:sz w:val="24"/>
          <w:szCs w:val="24"/>
          <w:shd w:val="clear" w:color="auto" w:fill="FFFFFF"/>
        </w:rPr>
        <w:t>entral London Property Trust Ltd v </w:t>
      </w:r>
      <w:r w:rsidRPr="00F924F0">
        <w:rPr>
          <w:rStyle w:val="Emphasis"/>
          <w:rFonts w:ascii="Times New Roman" w:hAnsi="Times New Roman" w:cs="Times New Roman"/>
          <w:color w:val="5F6368"/>
          <w:sz w:val="24"/>
          <w:szCs w:val="24"/>
          <w:shd w:val="clear" w:color="auto" w:fill="FFFFFF"/>
        </w:rPr>
        <w:t>High Trees</w:t>
      </w:r>
      <w:r w:rsidRPr="00F924F0">
        <w:rPr>
          <w:rFonts w:ascii="Times New Roman" w:hAnsi="Times New Roman" w:cs="Times New Roman"/>
          <w:color w:val="4D5156"/>
          <w:sz w:val="24"/>
          <w:szCs w:val="24"/>
          <w:shd w:val="clear" w:color="auto" w:fill="FFFFFF"/>
        </w:rPr>
        <w:t> House Ltd [1947] KB 130 </w:t>
      </w:r>
    </w:p>
    <w:p w14:paraId="1F2CE694" w14:textId="7E215A25" w:rsidR="00803C3B" w:rsidRPr="00F924F0" w:rsidRDefault="00803C3B" w:rsidP="00F924F0">
      <w:pPr>
        <w:pStyle w:val="FootnoteText"/>
        <w:spacing w:line="480" w:lineRule="auto"/>
        <w:ind w:left="720" w:hanging="720"/>
        <w:rPr>
          <w:rFonts w:ascii="Times New Roman" w:hAnsi="Times New Roman" w:cs="Times New Roman"/>
          <w:sz w:val="24"/>
          <w:szCs w:val="24"/>
          <w:lang w:val="en-US"/>
        </w:rPr>
      </w:pPr>
      <w:r w:rsidRPr="00F924F0">
        <w:rPr>
          <w:rFonts w:ascii="Times New Roman" w:hAnsi="Times New Roman" w:cs="Times New Roman"/>
          <w:color w:val="222222"/>
          <w:sz w:val="24"/>
          <w:szCs w:val="24"/>
          <w:shd w:val="clear" w:color="auto" w:fill="FFFFFF"/>
        </w:rPr>
        <w:t xml:space="preserve">Collier v. P &amp; MJ Wright (Holdings) Ltd, 2007 E.W.C.A. </w:t>
      </w:r>
      <w:proofErr w:type="spellStart"/>
      <w:r w:rsidRPr="00F924F0">
        <w:rPr>
          <w:rFonts w:ascii="Times New Roman" w:hAnsi="Times New Roman" w:cs="Times New Roman"/>
          <w:color w:val="222222"/>
          <w:sz w:val="24"/>
          <w:szCs w:val="24"/>
          <w:shd w:val="clear" w:color="auto" w:fill="FFFFFF"/>
        </w:rPr>
        <w:t>Civ</w:t>
      </w:r>
      <w:proofErr w:type="spellEnd"/>
      <w:r w:rsidRPr="00F924F0">
        <w:rPr>
          <w:rFonts w:ascii="Times New Roman" w:hAnsi="Times New Roman" w:cs="Times New Roman"/>
          <w:color w:val="222222"/>
          <w:sz w:val="24"/>
          <w:szCs w:val="24"/>
          <w:shd w:val="clear" w:color="auto" w:fill="FFFFFF"/>
        </w:rPr>
        <w:t xml:space="preserve"> 1329, 2008 W.L.R.1 643 (2007).</w:t>
      </w:r>
    </w:p>
    <w:p w14:paraId="6B03DD2D" w14:textId="004AE780" w:rsidR="00803C3B" w:rsidRPr="00F924F0" w:rsidRDefault="00803C3B" w:rsidP="00F924F0">
      <w:pPr>
        <w:pStyle w:val="FootnoteText"/>
        <w:spacing w:line="480" w:lineRule="auto"/>
        <w:ind w:left="720" w:hanging="720"/>
        <w:rPr>
          <w:rFonts w:ascii="Times New Roman" w:hAnsi="Times New Roman" w:cs="Times New Roman"/>
          <w:color w:val="222222"/>
          <w:sz w:val="24"/>
          <w:szCs w:val="24"/>
          <w:shd w:val="clear" w:color="auto" w:fill="FFFFFF"/>
        </w:rPr>
      </w:pPr>
      <w:r w:rsidRPr="00F924F0">
        <w:rPr>
          <w:rFonts w:ascii="Times New Roman" w:hAnsi="Times New Roman" w:cs="Times New Roman"/>
          <w:color w:val="222222"/>
          <w:sz w:val="24"/>
          <w:szCs w:val="24"/>
          <w:shd w:val="clear" w:color="auto" w:fill="FFFFFF"/>
        </w:rPr>
        <w:t>Foakes v. Beer, 9 App. 605 (1884).</w:t>
      </w:r>
    </w:p>
    <w:p w14:paraId="5C528457" w14:textId="77777777" w:rsidR="00803C3B" w:rsidRPr="00F924F0" w:rsidRDefault="00803C3B" w:rsidP="00F924F0">
      <w:pPr>
        <w:pStyle w:val="FootnoteText"/>
        <w:spacing w:line="480" w:lineRule="auto"/>
        <w:ind w:left="720" w:hanging="720"/>
        <w:rPr>
          <w:rFonts w:ascii="Times New Roman" w:hAnsi="Times New Roman" w:cs="Times New Roman"/>
          <w:sz w:val="24"/>
          <w:szCs w:val="24"/>
          <w:lang w:val="en-US"/>
        </w:rPr>
      </w:pPr>
      <w:r w:rsidRPr="00F924F0">
        <w:rPr>
          <w:rFonts w:ascii="Times New Roman" w:hAnsi="Times New Roman" w:cs="Times New Roman"/>
          <w:color w:val="222222"/>
          <w:sz w:val="24"/>
          <w:szCs w:val="24"/>
          <w:shd w:val="clear" w:color="auto" w:fill="FFFFFF"/>
        </w:rPr>
        <w:t>Thomas v. Thomas, 2 Q.B. 851 (1842).</w:t>
      </w:r>
    </w:p>
    <w:p w14:paraId="2886F42F" w14:textId="31E3415F" w:rsidR="00803C3B" w:rsidRPr="00F924F0" w:rsidRDefault="00803C3B" w:rsidP="00F924F0">
      <w:pPr>
        <w:pStyle w:val="FootnoteText"/>
        <w:spacing w:line="480" w:lineRule="auto"/>
        <w:ind w:left="720" w:hanging="720"/>
        <w:rPr>
          <w:rFonts w:ascii="Times New Roman" w:hAnsi="Times New Roman" w:cs="Times New Roman"/>
          <w:sz w:val="24"/>
          <w:szCs w:val="24"/>
          <w:lang w:val="en-US"/>
        </w:rPr>
      </w:pPr>
      <w:r w:rsidRPr="00F924F0">
        <w:rPr>
          <w:rFonts w:ascii="Times New Roman" w:hAnsi="Times New Roman" w:cs="Times New Roman"/>
          <w:color w:val="222222"/>
          <w:sz w:val="24"/>
          <w:szCs w:val="24"/>
          <w:shd w:val="clear" w:color="auto" w:fill="FFFFFF"/>
        </w:rPr>
        <w:t>White v. Bluett, 2 C.L.R. 301, 23 L.J. Ex. 36 (1853).</w:t>
      </w:r>
    </w:p>
    <w:p w14:paraId="5258353B" w14:textId="77777777" w:rsidR="00803C3B" w:rsidRPr="00F924F0" w:rsidRDefault="00803C3B" w:rsidP="00F924F0">
      <w:pPr>
        <w:pStyle w:val="FootnoteText"/>
        <w:spacing w:line="480" w:lineRule="auto"/>
        <w:ind w:left="720" w:hanging="720"/>
        <w:rPr>
          <w:rFonts w:ascii="Times New Roman" w:hAnsi="Times New Roman" w:cs="Times New Roman"/>
          <w:sz w:val="24"/>
          <w:szCs w:val="24"/>
          <w:lang w:val="en-US"/>
        </w:rPr>
      </w:pPr>
      <w:r w:rsidRPr="00F924F0">
        <w:rPr>
          <w:rFonts w:ascii="Times New Roman" w:hAnsi="Times New Roman" w:cs="Times New Roman"/>
          <w:sz w:val="24"/>
          <w:szCs w:val="24"/>
        </w:rPr>
        <w:t xml:space="preserve">Musumeci v </w:t>
      </w:r>
      <w:proofErr w:type="spellStart"/>
      <w:r w:rsidRPr="00F924F0">
        <w:rPr>
          <w:rFonts w:ascii="Times New Roman" w:hAnsi="Times New Roman" w:cs="Times New Roman"/>
          <w:sz w:val="24"/>
          <w:szCs w:val="24"/>
        </w:rPr>
        <w:t>Winadell</w:t>
      </w:r>
      <w:proofErr w:type="spellEnd"/>
      <w:r w:rsidRPr="00F924F0">
        <w:rPr>
          <w:rFonts w:ascii="Times New Roman" w:hAnsi="Times New Roman" w:cs="Times New Roman"/>
          <w:sz w:val="24"/>
          <w:szCs w:val="24"/>
        </w:rPr>
        <w:t xml:space="preserve"> Pty Ltd (1994) 34 NSWLR 723,</w:t>
      </w:r>
    </w:p>
    <w:p w14:paraId="1DB8D6C9" w14:textId="4ADB6B1A" w:rsidR="00803C3B" w:rsidRPr="00F924F0" w:rsidRDefault="00803C3B" w:rsidP="00F924F0">
      <w:pPr>
        <w:pStyle w:val="FootnoteText"/>
        <w:spacing w:line="480" w:lineRule="auto"/>
        <w:ind w:left="720" w:hanging="720"/>
        <w:rPr>
          <w:rFonts w:ascii="Times New Roman" w:hAnsi="Times New Roman" w:cs="Times New Roman"/>
          <w:sz w:val="24"/>
          <w:szCs w:val="24"/>
          <w:lang w:val="en-US"/>
        </w:rPr>
      </w:pPr>
      <w:r w:rsidRPr="00F924F0">
        <w:rPr>
          <w:rFonts w:ascii="Times New Roman" w:hAnsi="Times New Roman" w:cs="Times New Roman"/>
          <w:sz w:val="24"/>
          <w:szCs w:val="24"/>
        </w:rPr>
        <w:t>Roscorla v Thomas (1842) 3 QB 234</w:t>
      </w:r>
    </w:p>
    <w:p w14:paraId="7ADDC1E4" w14:textId="13FE4C11" w:rsidR="00803C3B" w:rsidRPr="00F924F0" w:rsidRDefault="00803C3B" w:rsidP="00F924F0">
      <w:pPr>
        <w:pStyle w:val="FootnoteText"/>
        <w:spacing w:line="480" w:lineRule="auto"/>
        <w:ind w:left="720" w:hanging="720"/>
        <w:rPr>
          <w:rFonts w:ascii="Times New Roman" w:hAnsi="Times New Roman" w:cs="Times New Roman"/>
          <w:color w:val="222222"/>
          <w:sz w:val="24"/>
          <w:szCs w:val="24"/>
          <w:shd w:val="clear" w:color="auto" w:fill="FFFFFF"/>
        </w:rPr>
      </w:pPr>
      <w:r w:rsidRPr="00F924F0">
        <w:rPr>
          <w:rFonts w:ascii="Times New Roman" w:hAnsi="Times New Roman" w:cs="Times New Roman"/>
          <w:color w:val="222222"/>
          <w:sz w:val="24"/>
          <w:szCs w:val="24"/>
          <w:shd w:val="clear" w:color="auto" w:fill="FFFFFF"/>
        </w:rPr>
        <w:t>Tweddle v. Atkinson, 1861 E.R.121 762 (1861).</w:t>
      </w:r>
    </w:p>
    <w:p w14:paraId="36D66184" w14:textId="77777777" w:rsidR="00803C3B" w:rsidRPr="00F924F0" w:rsidRDefault="00803C3B" w:rsidP="00F924F0">
      <w:pPr>
        <w:pStyle w:val="FootnoteText"/>
        <w:spacing w:line="480" w:lineRule="auto"/>
        <w:ind w:left="720" w:hanging="720"/>
        <w:rPr>
          <w:rFonts w:ascii="Times New Roman" w:hAnsi="Times New Roman" w:cs="Times New Roman"/>
          <w:sz w:val="24"/>
          <w:szCs w:val="24"/>
          <w:lang w:val="en-US"/>
        </w:rPr>
      </w:pPr>
      <w:r w:rsidRPr="00F924F0">
        <w:rPr>
          <w:rFonts w:ascii="Times New Roman" w:hAnsi="Times New Roman" w:cs="Times New Roman"/>
          <w:sz w:val="24"/>
          <w:szCs w:val="24"/>
        </w:rPr>
        <w:t>Carlill v Carbolic Smoke Ball Co [1893] 1 QB 256</w:t>
      </w:r>
    </w:p>
    <w:p w14:paraId="7358F5B0" w14:textId="77777777" w:rsidR="00803C3B" w:rsidRPr="00F924F0" w:rsidRDefault="00803C3B" w:rsidP="00F924F0">
      <w:pPr>
        <w:pStyle w:val="FootnoteText"/>
        <w:spacing w:line="480" w:lineRule="auto"/>
        <w:rPr>
          <w:rFonts w:ascii="Times New Roman" w:hAnsi="Times New Roman" w:cs="Times New Roman"/>
          <w:sz w:val="24"/>
          <w:szCs w:val="24"/>
          <w:lang w:val="en-US"/>
        </w:rPr>
      </w:pPr>
    </w:p>
    <w:p w14:paraId="599F60FA" w14:textId="77777777" w:rsidR="00803C3B" w:rsidRPr="00F924F0" w:rsidRDefault="00803C3B" w:rsidP="00F924F0">
      <w:pPr>
        <w:pStyle w:val="FootnoteText"/>
        <w:spacing w:line="480" w:lineRule="auto"/>
        <w:rPr>
          <w:rFonts w:ascii="Times New Roman" w:hAnsi="Times New Roman" w:cs="Times New Roman"/>
          <w:sz w:val="24"/>
          <w:szCs w:val="24"/>
          <w:lang w:val="en-US"/>
        </w:rPr>
      </w:pPr>
    </w:p>
    <w:p w14:paraId="5BA13130" w14:textId="77777777" w:rsidR="00803C3B" w:rsidRPr="00F924F0" w:rsidRDefault="00803C3B" w:rsidP="00F924F0">
      <w:pPr>
        <w:spacing w:line="480" w:lineRule="auto"/>
        <w:jc w:val="both"/>
        <w:rPr>
          <w:rFonts w:ascii="Times New Roman" w:hAnsi="Times New Roman" w:cs="Times New Roman"/>
          <w:b/>
          <w:bCs/>
          <w:sz w:val="24"/>
          <w:szCs w:val="24"/>
        </w:rPr>
      </w:pPr>
    </w:p>
    <w:p w14:paraId="1D84F6C9" w14:textId="05FF81B5" w:rsidR="00803C3B" w:rsidRPr="00F924F0" w:rsidRDefault="00803C3B" w:rsidP="00F924F0">
      <w:pPr>
        <w:spacing w:line="480" w:lineRule="auto"/>
        <w:ind w:firstLine="720"/>
        <w:jc w:val="center"/>
        <w:rPr>
          <w:rFonts w:ascii="Times New Roman" w:hAnsi="Times New Roman" w:cs="Times New Roman"/>
          <w:b/>
          <w:bCs/>
          <w:sz w:val="24"/>
          <w:szCs w:val="24"/>
        </w:rPr>
      </w:pPr>
      <w:r w:rsidRPr="00F924F0">
        <w:rPr>
          <w:rFonts w:ascii="Times New Roman" w:hAnsi="Times New Roman" w:cs="Times New Roman"/>
          <w:b/>
          <w:bCs/>
          <w:sz w:val="24"/>
          <w:szCs w:val="24"/>
        </w:rPr>
        <w:t>Journals, Articles and Books</w:t>
      </w:r>
    </w:p>
    <w:p w14:paraId="0261E618" w14:textId="00C4EA62" w:rsidR="00803C3B" w:rsidRPr="00F924F0" w:rsidRDefault="00803C3B" w:rsidP="00F924F0">
      <w:pPr>
        <w:spacing w:line="480" w:lineRule="auto"/>
        <w:ind w:left="720" w:hanging="720"/>
        <w:jc w:val="both"/>
        <w:rPr>
          <w:rFonts w:ascii="Times New Roman" w:hAnsi="Times New Roman" w:cs="Times New Roman"/>
          <w:color w:val="222222"/>
          <w:sz w:val="24"/>
          <w:szCs w:val="24"/>
          <w:shd w:val="clear" w:color="auto" w:fill="FFFFFF"/>
        </w:rPr>
      </w:pPr>
      <w:r w:rsidRPr="00F924F0">
        <w:rPr>
          <w:rFonts w:ascii="Times New Roman" w:hAnsi="Times New Roman" w:cs="Times New Roman"/>
          <w:color w:val="222222"/>
          <w:sz w:val="24"/>
          <w:szCs w:val="24"/>
          <w:shd w:val="clear" w:color="auto" w:fill="FFFFFF"/>
        </w:rPr>
        <w:lastRenderedPageBreak/>
        <w:t xml:space="preserve">Liao, </w:t>
      </w:r>
      <w:proofErr w:type="spellStart"/>
      <w:r w:rsidRPr="00F924F0">
        <w:rPr>
          <w:rFonts w:ascii="Times New Roman" w:hAnsi="Times New Roman" w:cs="Times New Roman"/>
          <w:color w:val="222222"/>
          <w:sz w:val="24"/>
          <w:szCs w:val="24"/>
          <w:shd w:val="clear" w:color="auto" w:fill="FFFFFF"/>
        </w:rPr>
        <w:t>Zhixiong</w:t>
      </w:r>
      <w:proofErr w:type="spellEnd"/>
      <w:r w:rsidRPr="00F924F0">
        <w:rPr>
          <w:rFonts w:ascii="Times New Roman" w:hAnsi="Times New Roman" w:cs="Times New Roman"/>
          <w:color w:val="222222"/>
          <w:sz w:val="24"/>
          <w:szCs w:val="24"/>
          <w:shd w:val="clear" w:color="auto" w:fill="FFFFFF"/>
        </w:rPr>
        <w:t>. "Intention to create legal relations and the reform of contract law: A conservative approach in the modern global era." </w:t>
      </w:r>
      <w:r w:rsidRPr="00F924F0">
        <w:rPr>
          <w:rFonts w:ascii="Times New Roman" w:hAnsi="Times New Roman" w:cs="Times New Roman"/>
          <w:i/>
          <w:iCs/>
          <w:color w:val="222222"/>
          <w:sz w:val="24"/>
          <w:szCs w:val="24"/>
          <w:shd w:val="clear" w:color="auto" w:fill="FFFFFF"/>
        </w:rPr>
        <w:t>Beijing L. Rev.</w:t>
      </w:r>
      <w:r w:rsidRPr="00F924F0">
        <w:rPr>
          <w:rFonts w:ascii="Times New Roman" w:hAnsi="Times New Roman" w:cs="Times New Roman"/>
          <w:color w:val="222222"/>
          <w:sz w:val="24"/>
          <w:szCs w:val="24"/>
          <w:shd w:val="clear" w:color="auto" w:fill="FFFFFF"/>
        </w:rPr>
        <w:t> 4 (2013): 82</w:t>
      </w:r>
    </w:p>
    <w:p w14:paraId="2FE6A16B" w14:textId="77777777" w:rsidR="00F924F0" w:rsidRPr="00F924F0" w:rsidRDefault="00F924F0" w:rsidP="00F924F0">
      <w:pPr>
        <w:spacing w:line="480" w:lineRule="auto"/>
        <w:ind w:left="720" w:hanging="720"/>
        <w:rPr>
          <w:rFonts w:ascii="Times New Roman" w:hAnsi="Times New Roman" w:cs="Times New Roman"/>
          <w:color w:val="222222"/>
          <w:sz w:val="24"/>
          <w:szCs w:val="24"/>
          <w:shd w:val="clear" w:color="auto" w:fill="FFFFFF"/>
        </w:rPr>
      </w:pPr>
      <w:r w:rsidRPr="00F924F0">
        <w:rPr>
          <w:rFonts w:ascii="Times New Roman" w:hAnsi="Times New Roman" w:cs="Times New Roman"/>
          <w:color w:val="222222"/>
          <w:sz w:val="24"/>
          <w:szCs w:val="24"/>
          <w:shd w:val="clear" w:color="auto" w:fill="FFFFFF"/>
        </w:rPr>
        <w:t>Eisenberg, Melvin Aron. "Principles of Consideration." </w:t>
      </w:r>
      <w:r w:rsidRPr="00F924F0">
        <w:rPr>
          <w:rFonts w:ascii="Times New Roman" w:hAnsi="Times New Roman" w:cs="Times New Roman"/>
          <w:i/>
          <w:iCs/>
          <w:color w:val="222222"/>
          <w:sz w:val="24"/>
          <w:szCs w:val="24"/>
          <w:shd w:val="clear" w:color="auto" w:fill="FFFFFF"/>
        </w:rPr>
        <w:t>Cornell L. Rev.</w:t>
      </w:r>
      <w:r w:rsidRPr="00F924F0">
        <w:rPr>
          <w:rFonts w:ascii="Times New Roman" w:hAnsi="Times New Roman" w:cs="Times New Roman"/>
          <w:color w:val="222222"/>
          <w:sz w:val="24"/>
          <w:szCs w:val="24"/>
          <w:shd w:val="clear" w:color="auto" w:fill="FFFFFF"/>
        </w:rPr>
        <w:t> 67 (1981): 640.</w:t>
      </w:r>
    </w:p>
    <w:p w14:paraId="3DCB4423" w14:textId="77777777" w:rsidR="00F924F0" w:rsidRPr="00F924F0" w:rsidRDefault="00F924F0" w:rsidP="00F924F0">
      <w:pPr>
        <w:spacing w:line="480" w:lineRule="auto"/>
        <w:ind w:left="720" w:hanging="720"/>
        <w:rPr>
          <w:rFonts w:ascii="Times New Roman" w:hAnsi="Times New Roman" w:cs="Times New Roman"/>
          <w:color w:val="222222"/>
          <w:sz w:val="24"/>
          <w:szCs w:val="24"/>
          <w:shd w:val="clear" w:color="auto" w:fill="FFFFFF"/>
        </w:rPr>
      </w:pPr>
      <w:r w:rsidRPr="00F924F0">
        <w:rPr>
          <w:rFonts w:ascii="Times New Roman" w:hAnsi="Times New Roman" w:cs="Times New Roman"/>
          <w:color w:val="222222"/>
          <w:sz w:val="24"/>
          <w:szCs w:val="24"/>
          <w:shd w:val="clear" w:color="auto" w:fill="FFFFFF"/>
        </w:rPr>
        <w:t>Chloros, A. G. "The Doctrine of Consideration and the Reform of the Law of Contract: A Comparative Analysis." </w:t>
      </w:r>
      <w:r w:rsidRPr="00F924F0">
        <w:rPr>
          <w:rFonts w:ascii="Times New Roman" w:hAnsi="Times New Roman" w:cs="Times New Roman"/>
          <w:i/>
          <w:iCs/>
          <w:color w:val="222222"/>
          <w:sz w:val="24"/>
          <w:szCs w:val="24"/>
          <w:shd w:val="clear" w:color="auto" w:fill="FFFFFF"/>
        </w:rPr>
        <w:t>International &amp; Comparative Law Quarterly</w:t>
      </w:r>
      <w:r w:rsidRPr="00F924F0">
        <w:rPr>
          <w:rFonts w:ascii="Times New Roman" w:hAnsi="Times New Roman" w:cs="Times New Roman"/>
          <w:color w:val="222222"/>
          <w:sz w:val="24"/>
          <w:szCs w:val="24"/>
          <w:shd w:val="clear" w:color="auto" w:fill="FFFFFF"/>
        </w:rPr>
        <w:t> 17.1 (1968): 137-166.</w:t>
      </w:r>
    </w:p>
    <w:p w14:paraId="3A01CA62" w14:textId="77777777" w:rsidR="00F924F0" w:rsidRPr="00F924F0" w:rsidRDefault="00F924F0" w:rsidP="00F924F0">
      <w:pPr>
        <w:spacing w:line="480" w:lineRule="auto"/>
        <w:ind w:left="720" w:hanging="720"/>
        <w:rPr>
          <w:rFonts w:ascii="Times New Roman" w:hAnsi="Times New Roman" w:cs="Times New Roman"/>
          <w:color w:val="222222"/>
          <w:sz w:val="24"/>
          <w:szCs w:val="24"/>
          <w:shd w:val="clear" w:color="auto" w:fill="FFFFFF"/>
        </w:rPr>
      </w:pPr>
      <w:r w:rsidRPr="00F924F0">
        <w:rPr>
          <w:rFonts w:ascii="Times New Roman" w:hAnsi="Times New Roman" w:cs="Times New Roman"/>
          <w:color w:val="222222"/>
          <w:sz w:val="24"/>
          <w:szCs w:val="24"/>
          <w:shd w:val="clear" w:color="auto" w:fill="FFFFFF"/>
        </w:rPr>
        <w:t>Lorenzen, Ernest G. "Causa and Consideration in the Law of Contracts." </w:t>
      </w:r>
      <w:r w:rsidRPr="00F924F0">
        <w:rPr>
          <w:rFonts w:ascii="Times New Roman" w:hAnsi="Times New Roman" w:cs="Times New Roman"/>
          <w:i/>
          <w:iCs/>
          <w:color w:val="222222"/>
          <w:sz w:val="24"/>
          <w:szCs w:val="24"/>
          <w:shd w:val="clear" w:color="auto" w:fill="FFFFFF"/>
        </w:rPr>
        <w:t>The Yale Law Journal</w:t>
      </w:r>
      <w:r w:rsidRPr="00F924F0">
        <w:rPr>
          <w:rFonts w:ascii="Times New Roman" w:hAnsi="Times New Roman" w:cs="Times New Roman"/>
          <w:color w:val="222222"/>
          <w:sz w:val="24"/>
          <w:szCs w:val="24"/>
          <w:shd w:val="clear" w:color="auto" w:fill="FFFFFF"/>
        </w:rPr>
        <w:t> 28.7 (1919): 621-646.</w:t>
      </w:r>
    </w:p>
    <w:p w14:paraId="71BDD901" w14:textId="77777777" w:rsidR="00F924F0" w:rsidRPr="00F924F0" w:rsidRDefault="00F924F0" w:rsidP="00F924F0">
      <w:pPr>
        <w:spacing w:line="480" w:lineRule="auto"/>
        <w:ind w:left="720" w:hanging="720"/>
        <w:rPr>
          <w:rFonts w:ascii="Times New Roman" w:hAnsi="Times New Roman" w:cs="Times New Roman"/>
          <w:color w:val="222222"/>
          <w:sz w:val="24"/>
          <w:szCs w:val="24"/>
          <w:shd w:val="clear" w:color="auto" w:fill="FFFFFF"/>
        </w:rPr>
      </w:pPr>
      <w:r w:rsidRPr="00F924F0">
        <w:rPr>
          <w:rFonts w:ascii="Times New Roman" w:hAnsi="Times New Roman" w:cs="Times New Roman"/>
          <w:color w:val="222222"/>
          <w:sz w:val="24"/>
          <w:szCs w:val="24"/>
          <w:shd w:val="clear" w:color="auto" w:fill="FFFFFF"/>
        </w:rPr>
        <w:t>Adams, John, and Roger Brownsword. "Contract, consideration and the critical path." </w:t>
      </w:r>
      <w:r w:rsidRPr="00F924F0">
        <w:rPr>
          <w:rFonts w:ascii="Times New Roman" w:hAnsi="Times New Roman" w:cs="Times New Roman"/>
          <w:i/>
          <w:iCs/>
          <w:color w:val="222222"/>
          <w:sz w:val="24"/>
          <w:szCs w:val="24"/>
          <w:shd w:val="clear" w:color="auto" w:fill="FFFFFF"/>
        </w:rPr>
        <w:t>The Modern Law Review</w:t>
      </w:r>
      <w:r w:rsidRPr="00F924F0">
        <w:rPr>
          <w:rFonts w:ascii="Times New Roman" w:hAnsi="Times New Roman" w:cs="Times New Roman"/>
          <w:color w:val="222222"/>
          <w:sz w:val="24"/>
          <w:szCs w:val="24"/>
          <w:shd w:val="clear" w:color="auto" w:fill="FFFFFF"/>
        </w:rPr>
        <w:t> 53.4 (1990): 536-542.</w:t>
      </w:r>
    </w:p>
    <w:p w14:paraId="1B3AFF8A" w14:textId="77777777" w:rsidR="00F924F0" w:rsidRPr="00F924F0" w:rsidRDefault="00F924F0" w:rsidP="00F924F0">
      <w:pPr>
        <w:spacing w:line="480" w:lineRule="auto"/>
        <w:ind w:left="720" w:hanging="720"/>
        <w:rPr>
          <w:rFonts w:ascii="Times New Roman" w:hAnsi="Times New Roman" w:cs="Times New Roman"/>
          <w:color w:val="222222"/>
          <w:sz w:val="24"/>
          <w:szCs w:val="24"/>
          <w:shd w:val="clear" w:color="auto" w:fill="FFFFFF"/>
        </w:rPr>
      </w:pPr>
      <w:r w:rsidRPr="00F924F0">
        <w:rPr>
          <w:rFonts w:ascii="Times New Roman" w:hAnsi="Times New Roman" w:cs="Times New Roman"/>
          <w:color w:val="222222"/>
          <w:sz w:val="24"/>
          <w:szCs w:val="24"/>
          <w:shd w:val="clear" w:color="auto" w:fill="FFFFFF"/>
        </w:rPr>
        <w:t>Benson, Peter. "The Idea of Consideration." </w:t>
      </w:r>
      <w:r w:rsidRPr="00F924F0">
        <w:rPr>
          <w:rFonts w:ascii="Times New Roman" w:hAnsi="Times New Roman" w:cs="Times New Roman"/>
          <w:i/>
          <w:iCs/>
          <w:color w:val="222222"/>
          <w:sz w:val="24"/>
          <w:szCs w:val="24"/>
          <w:shd w:val="clear" w:color="auto" w:fill="FFFFFF"/>
        </w:rPr>
        <w:t>University of Toronto Law Journal</w:t>
      </w:r>
      <w:r w:rsidRPr="00F924F0">
        <w:rPr>
          <w:rFonts w:ascii="Times New Roman" w:hAnsi="Times New Roman" w:cs="Times New Roman"/>
          <w:color w:val="222222"/>
          <w:sz w:val="24"/>
          <w:szCs w:val="24"/>
          <w:shd w:val="clear" w:color="auto" w:fill="FFFFFF"/>
        </w:rPr>
        <w:t> 61.2 (2011): 241-278.</w:t>
      </w:r>
    </w:p>
    <w:p w14:paraId="416A147E" w14:textId="77777777" w:rsidR="00F924F0" w:rsidRPr="00F924F0" w:rsidRDefault="00F924F0" w:rsidP="00F924F0">
      <w:pPr>
        <w:spacing w:line="480" w:lineRule="auto"/>
        <w:ind w:left="720" w:hanging="720"/>
        <w:rPr>
          <w:rFonts w:ascii="Times New Roman" w:hAnsi="Times New Roman" w:cs="Times New Roman"/>
          <w:color w:val="222222"/>
          <w:sz w:val="24"/>
          <w:szCs w:val="24"/>
          <w:shd w:val="clear" w:color="auto" w:fill="FFFFFF"/>
        </w:rPr>
      </w:pPr>
      <w:r w:rsidRPr="00F924F0">
        <w:rPr>
          <w:rFonts w:ascii="Times New Roman" w:hAnsi="Times New Roman" w:cs="Times New Roman"/>
          <w:color w:val="222222"/>
          <w:sz w:val="24"/>
          <w:szCs w:val="24"/>
          <w:shd w:val="clear" w:color="auto" w:fill="FFFFFF"/>
        </w:rPr>
        <w:t>Twyford, John Wilson. "The doctrine of consideration." </w:t>
      </w:r>
      <w:r w:rsidRPr="00F924F0">
        <w:rPr>
          <w:rFonts w:ascii="Times New Roman" w:hAnsi="Times New Roman" w:cs="Times New Roman"/>
          <w:i/>
          <w:iCs/>
          <w:color w:val="222222"/>
          <w:sz w:val="24"/>
          <w:szCs w:val="24"/>
          <w:shd w:val="clear" w:color="auto" w:fill="FFFFFF"/>
        </w:rPr>
        <w:t xml:space="preserve">The role of consideration in contract modifications. </w:t>
      </w:r>
      <w:proofErr w:type="spellStart"/>
      <w:r w:rsidRPr="00F924F0">
        <w:rPr>
          <w:rFonts w:ascii="Times New Roman" w:hAnsi="Times New Roman" w:cs="Times New Roman"/>
          <w:i/>
          <w:iCs/>
          <w:color w:val="222222"/>
          <w:sz w:val="24"/>
          <w:szCs w:val="24"/>
          <w:shd w:val="clear" w:color="auto" w:fill="FFFFFF"/>
        </w:rPr>
        <w:t>Tese</w:t>
      </w:r>
      <w:proofErr w:type="spellEnd"/>
      <w:r w:rsidRPr="00F924F0">
        <w:rPr>
          <w:rFonts w:ascii="Times New Roman" w:hAnsi="Times New Roman" w:cs="Times New Roman"/>
          <w:i/>
          <w:iCs/>
          <w:color w:val="222222"/>
          <w:sz w:val="24"/>
          <w:szCs w:val="24"/>
          <w:shd w:val="clear" w:color="auto" w:fill="FFFFFF"/>
        </w:rPr>
        <w:t xml:space="preserve"> (</w:t>
      </w:r>
      <w:proofErr w:type="spellStart"/>
      <w:r w:rsidRPr="00F924F0">
        <w:rPr>
          <w:rFonts w:ascii="Times New Roman" w:hAnsi="Times New Roman" w:cs="Times New Roman"/>
          <w:i/>
          <w:iCs/>
          <w:color w:val="222222"/>
          <w:sz w:val="24"/>
          <w:szCs w:val="24"/>
          <w:shd w:val="clear" w:color="auto" w:fill="FFFFFF"/>
        </w:rPr>
        <w:t>Doutorado</w:t>
      </w:r>
      <w:proofErr w:type="spellEnd"/>
      <w:r w:rsidRPr="00F924F0">
        <w:rPr>
          <w:rFonts w:ascii="Times New Roman" w:hAnsi="Times New Roman" w:cs="Times New Roman"/>
          <w:i/>
          <w:iCs/>
          <w:color w:val="222222"/>
          <w:sz w:val="24"/>
          <w:szCs w:val="24"/>
          <w:shd w:val="clear" w:color="auto" w:fill="FFFFFF"/>
        </w:rPr>
        <w:t xml:space="preserve"> </w:t>
      </w:r>
      <w:proofErr w:type="spellStart"/>
      <w:r w:rsidRPr="00F924F0">
        <w:rPr>
          <w:rFonts w:ascii="Times New Roman" w:hAnsi="Times New Roman" w:cs="Times New Roman"/>
          <w:i/>
          <w:iCs/>
          <w:color w:val="222222"/>
          <w:sz w:val="24"/>
          <w:szCs w:val="24"/>
          <w:shd w:val="clear" w:color="auto" w:fill="FFFFFF"/>
        </w:rPr>
        <w:t>em</w:t>
      </w:r>
      <w:proofErr w:type="spellEnd"/>
      <w:r w:rsidRPr="00F924F0">
        <w:rPr>
          <w:rFonts w:ascii="Times New Roman" w:hAnsi="Times New Roman" w:cs="Times New Roman"/>
          <w:i/>
          <w:iCs/>
          <w:color w:val="222222"/>
          <w:sz w:val="24"/>
          <w:szCs w:val="24"/>
          <w:shd w:val="clear" w:color="auto" w:fill="FFFFFF"/>
        </w:rPr>
        <w:t xml:space="preserve"> </w:t>
      </w:r>
      <w:proofErr w:type="spellStart"/>
      <w:r w:rsidRPr="00F924F0">
        <w:rPr>
          <w:rFonts w:ascii="Times New Roman" w:hAnsi="Times New Roman" w:cs="Times New Roman"/>
          <w:i/>
          <w:iCs/>
          <w:color w:val="222222"/>
          <w:sz w:val="24"/>
          <w:szCs w:val="24"/>
          <w:shd w:val="clear" w:color="auto" w:fill="FFFFFF"/>
        </w:rPr>
        <w:t>Ciências</w:t>
      </w:r>
      <w:proofErr w:type="spellEnd"/>
      <w:r w:rsidRPr="00F924F0">
        <w:rPr>
          <w:rFonts w:ascii="Times New Roman" w:hAnsi="Times New Roman" w:cs="Times New Roman"/>
          <w:i/>
          <w:iCs/>
          <w:color w:val="222222"/>
          <w:sz w:val="24"/>
          <w:szCs w:val="24"/>
          <w:shd w:val="clear" w:color="auto" w:fill="FFFFFF"/>
        </w:rPr>
        <w:t xml:space="preserve"> </w:t>
      </w:r>
      <w:proofErr w:type="spellStart"/>
      <w:r w:rsidRPr="00F924F0">
        <w:rPr>
          <w:rFonts w:ascii="Times New Roman" w:hAnsi="Times New Roman" w:cs="Times New Roman"/>
          <w:i/>
          <w:iCs/>
          <w:color w:val="222222"/>
          <w:sz w:val="24"/>
          <w:szCs w:val="24"/>
          <w:shd w:val="clear" w:color="auto" w:fill="FFFFFF"/>
        </w:rPr>
        <w:t>Jurídicas</w:t>
      </w:r>
      <w:proofErr w:type="spellEnd"/>
      <w:r w:rsidRPr="00F924F0">
        <w:rPr>
          <w:rFonts w:ascii="Times New Roman" w:hAnsi="Times New Roman" w:cs="Times New Roman"/>
          <w:i/>
          <w:iCs/>
          <w:color w:val="222222"/>
          <w:sz w:val="24"/>
          <w:szCs w:val="24"/>
          <w:shd w:val="clear" w:color="auto" w:fill="FFFFFF"/>
        </w:rPr>
        <w:t>). University of Technology, Sydney</w:t>
      </w:r>
      <w:r w:rsidRPr="00F924F0">
        <w:rPr>
          <w:rFonts w:ascii="Times New Roman" w:hAnsi="Times New Roman" w:cs="Times New Roman"/>
          <w:color w:val="222222"/>
          <w:sz w:val="24"/>
          <w:szCs w:val="24"/>
          <w:shd w:val="clear" w:color="auto" w:fill="FFFFFF"/>
        </w:rPr>
        <w:t> (2002).</w:t>
      </w:r>
    </w:p>
    <w:p w14:paraId="1DA10AEE" w14:textId="77777777" w:rsidR="00F924F0" w:rsidRPr="00F924F0" w:rsidRDefault="00F924F0" w:rsidP="00F924F0">
      <w:pPr>
        <w:spacing w:line="480" w:lineRule="auto"/>
        <w:ind w:left="720" w:hanging="720"/>
        <w:rPr>
          <w:rFonts w:ascii="Times New Roman" w:hAnsi="Times New Roman" w:cs="Times New Roman"/>
          <w:color w:val="222222"/>
          <w:sz w:val="24"/>
          <w:szCs w:val="24"/>
          <w:shd w:val="clear" w:color="auto" w:fill="FFFFFF"/>
        </w:rPr>
      </w:pPr>
      <w:r w:rsidRPr="00F924F0">
        <w:rPr>
          <w:rFonts w:ascii="Times New Roman" w:hAnsi="Times New Roman" w:cs="Times New Roman"/>
          <w:color w:val="222222"/>
          <w:sz w:val="24"/>
          <w:szCs w:val="24"/>
          <w:shd w:val="clear" w:color="auto" w:fill="FFFFFF"/>
        </w:rPr>
        <w:t>Ashley, Clarence D. "Doctrine of Consideration." </w:t>
      </w:r>
      <w:r w:rsidRPr="00F924F0">
        <w:rPr>
          <w:rFonts w:ascii="Times New Roman" w:hAnsi="Times New Roman" w:cs="Times New Roman"/>
          <w:i/>
          <w:iCs/>
          <w:color w:val="222222"/>
          <w:sz w:val="24"/>
          <w:szCs w:val="24"/>
          <w:shd w:val="clear" w:color="auto" w:fill="FFFFFF"/>
        </w:rPr>
        <w:t>Harv. L. Rev.</w:t>
      </w:r>
      <w:r w:rsidRPr="00F924F0">
        <w:rPr>
          <w:rFonts w:ascii="Times New Roman" w:hAnsi="Times New Roman" w:cs="Times New Roman"/>
          <w:color w:val="222222"/>
          <w:sz w:val="24"/>
          <w:szCs w:val="24"/>
          <w:shd w:val="clear" w:color="auto" w:fill="FFFFFF"/>
        </w:rPr>
        <w:t> 26 (1912): 429.</w:t>
      </w:r>
    </w:p>
    <w:p w14:paraId="475C02DD" w14:textId="55275C39" w:rsidR="00F924F0" w:rsidRPr="00F924F0" w:rsidRDefault="00F924F0" w:rsidP="00F924F0">
      <w:pPr>
        <w:spacing w:line="480" w:lineRule="auto"/>
        <w:ind w:left="720" w:hanging="720"/>
        <w:rPr>
          <w:rFonts w:ascii="Times New Roman" w:hAnsi="Times New Roman" w:cs="Times New Roman"/>
          <w:sz w:val="24"/>
          <w:szCs w:val="24"/>
        </w:rPr>
      </w:pPr>
      <w:proofErr w:type="spellStart"/>
      <w:r w:rsidRPr="00F924F0">
        <w:rPr>
          <w:rFonts w:ascii="Times New Roman" w:hAnsi="Times New Roman" w:cs="Times New Roman"/>
          <w:color w:val="222222"/>
          <w:sz w:val="24"/>
          <w:szCs w:val="24"/>
          <w:shd w:val="clear" w:color="auto" w:fill="FFFFFF"/>
        </w:rPr>
        <w:t>Hermalin</w:t>
      </w:r>
      <w:proofErr w:type="spellEnd"/>
      <w:r w:rsidRPr="00F924F0">
        <w:rPr>
          <w:rFonts w:ascii="Times New Roman" w:hAnsi="Times New Roman" w:cs="Times New Roman"/>
          <w:color w:val="222222"/>
          <w:sz w:val="24"/>
          <w:szCs w:val="24"/>
          <w:shd w:val="clear" w:color="auto" w:fill="FFFFFF"/>
        </w:rPr>
        <w:t xml:space="preserve">, Benjamin E., Avery W. Katz, and Richard </w:t>
      </w:r>
      <w:proofErr w:type="spellStart"/>
      <w:r w:rsidRPr="00F924F0">
        <w:rPr>
          <w:rFonts w:ascii="Times New Roman" w:hAnsi="Times New Roman" w:cs="Times New Roman"/>
          <w:color w:val="222222"/>
          <w:sz w:val="24"/>
          <w:szCs w:val="24"/>
          <w:shd w:val="clear" w:color="auto" w:fill="FFFFFF"/>
        </w:rPr>
        <w:t>Craswell</w:t>
      </w:r>
      <w:proofErr w:type="spellEnd"/>
      <w:r w:rsidRPr="00F924F0">
        <w:rPr>
          <w:rFonts w:ascii="Times New Roman" w:hAnsi="Times New Roman" w:cs="Times New Roman"/>
          <w:color w:val="222222"/>
          <w:sz w:val="24"/>
          <w:szCs w:val="24"/>
          <w:shd w:val="clear" w:color="auto" w:fill="FFFFFF"/>
        </w:rPr>
        <w:t>. "Contract law." </w:t>
      </w:r>
      <w:r w:rsidRPr="00F924F0">
        <w:rPr>
          <w:rFonts w:ascii="Times New Roman" w:hAnsi="Times New Roman" w:cs="Times New Roman"/>
          <w:i/>
          <w:iCs/>
          <w:color w:val="222222"/>
          <w:sz w:val="24"/>
          <w:szCs w:val="24"/>
          <w:shd w:val="clear" w:color="auto" w:fill="FFFFFF"/>
        </w:rPr>
        <w:t>Handbook of law and economics</w:t>
      </w:r>
      <w:r w:rsidRPr="00F924F0">
        <w:rPr>
          <w:rFonts w:ascii="Times New Roman" w:hAnsi="Times New Roman" w:cs="Times New Roman"/>
          <w:color w:val="222222"/>
          <w:sz w:val="24"/>
          <w:szCs w:val="24"/>
          <w:shd w:val="clear" w:color="auto" w:fill="FFFFFF"/>
        </w:rPr>
        <w:t> 1 (2007): 3-138</w:t>
      </w:r>
    </w:p>
    <w:p w14:paraId="4C2D1B2E" w14:textId="77777777" w:rsidR="00803C3B" w:rsidRPr="00F924F0" w:rsidRDefault="00803C3B" w:rsidP="00F924F0">
      <w:pPr>
        <w:pStyle w:val="FootnoteText"/>
        <w:spacing w:line="480" w:lineRule="auto"/>
        <w:ind w:left="720" w:hanging="720"/>
        <w:rPr>
          <w:rFonts w:ascii="Times New Roman" w:hAnsi="Times New Roman" w:cs="Times New Roman"/>
          <w:color w:val="222222"/>
          <w:sz w:val="24"/>
          <w:szCs w:val="24"/>
          <w:shd w:val="clear" w:color="auto" w:fill="FFFFFF"/>
        </w:rPr>
      </w:pPr>
      <w:r w:rsidRPr="00F924F0">
        <w:rPr>
          <w:rFonts w:ascii="Times New Roman" w:hAnsi="Times New Roman" w:cs="Times New Roman"/>
          <w:color w:val="222222"/>
          <w:sz w:val="24"/>
          <w:szCs w:val="24"/>
          <w:shd w:val="clear" w:color="auto" w:fill="FFFFFF"/>
        </w:rPr>
        <w:t xml:space="preserve">Xie, </w:t>
      </w:r>
      <w:proofErr w:type="spellStart"/>
      <w:r w:rsidRPr="00F924F0">
        <w:rPr>
          <w:rFonts w:ascii="Times New Roman" w:hAnsi="Times New Roman" w:cs="Times New Roman"/>
          <w:color w:val="222222"/>
          <w:sz w:val="24"/>
          <w:szCs w:val="24"/>
          <w:shd w:val="clear" w:color="auto" w:fill="FFFFFF"/>
        </w:rPr>
        <w:t>Zhuoyan</w:t>
      </w:r>
      <w:proofErr w:type="spellEnd"/>
      <w:r w:rsidRPr="00F924F0">
        <w:rPr>
          <w:rFonts w:ascii="Times New Roman" w:hAnsi="Times New Roman" w:cs="Times New Roman"/>
          <w:color w:val="222222"/>
          <w:sz w:val="24"/>
          <w:szCs w:val="24"/>
          <w:shd w:val="clear" w:color="auto" w:fill="FFFFFF"/>
        </w:rPr>
        <w:t>. "Towards a Normative Basis of the Doctrine of Consideration." (2010).</w:t>
      </w:r>
    </w:p>
    <w:p w14:paraId="356AD251" w14:textId="5E134E02" w:rsidR="00803C3B" w:rsidRPr="00F924F0" w:rsidRDefault="00803C3B" w:rsidP="00F924F0">
      <w:pPr>
        <w:pStyle w:val="FootnoteText"/>
        <w:spacing w:line="480" w:lineRule="auto"/>
        <w:ind w:left="720" w:hanging="720"/>
        <w:rPr>
          <w:rFonts w:ascii="Times New Roman" w:hAnsi="Times New Roman" w:cs="Times New Roman"/>
          <w:sz w:val="24"/>
          <w:szCs w:val="24"/>
        </w:rPr>
      </w:pPr>
      <w:r w:rsidRPr="00F924F0">
        <w:rPr>
          <w:rFonts w:ascii="Times New Roman" w:hAnsi="Times New Roman" w:cs="Times New Roman"/>
          <w:color w:val="222222"/>
          <w:sz w:val="24"/>
          <w:szCs w:val="24"/>
          <w:shd w:val="clear" w:color="auto" w:fill="FFFFFF"/>
        </w:rPr>
        <w:t>Valente, Dena. "Enforcing promises: Consideration and intention in the law of contract." </w:t>
      </w:r>
      <w:r w:rsidRPr="00F924F0">
        <w:rPr>
          <w:rFonts w:ascii="Times New Roman" w:hAnsi="Times New Roman" w:cs="Times New Roman"/>
          <w:i/>
          <w:iCs/>
          <w:color w:val="222222"/>
          <w:sz w:val="24"/>
          <w:szCs w:val="24"/>
          <w:shd w:val="clear" w:color="auto" w:fill="FFFFFF"/>
        </w:rPr>
        <w:t>Unpublished doctoral dissertation). University of Otago</w:t>
      </w:r>
      <w:r w:rsidRPr="00F924F0">
        <w:rPr>
          <w:rFonts w:ascii="Times New Roman" w:hAnsi="Times New Roman" w:cs="Times New Roman"/>
          <w:color w:val="222222"/>
          <w:sz w:val="24"/>
          <w:szCs w:val="24"/>
          <w:shd w:val="clear" w:color="auto" w:fill="FFFFFF"/>
        </w:rPr>
        <w:t> (2010).</w:t>
      </w:r>
    </w:p>
    <w:p w14:paraId="63E46615" w14:textId="77777777" w:rsidR="00803C3B" w:rsidRPr="00F924F0" w:rsidRDefault="00803C3B" w:rsidP="00F924F0">
      <w:pPr>
        <w:spacing w:line="480" w:lineRule="auto"/>
        <w:ind w:firstLine="720"/>
        <w:jc w:val="both"/>
        <w:rPr>
          <w:rFonts w:ascii="Times New Roman" w:hAnsi="Times New Roman" w:cs="Times New Roman"/>
          <w:b/>
          <w:bCs/>
          <w:sz w:val="24"/>
          <w:szCs w:val="24"/>
          <w:lang w:val="en-US"/>
        </w:rPr>
      </w:pPr>
    </w:p>
    <w:sectPr w:rsidR="00803C3B" w:rsidRPr="00F924F0" w:rsidSect="002520D9">
      <w:headerReference w:type="default" r:id="rId10"/>
      <w:pgSz w:w="11906" w:h="16838"/>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AC7F5DE" w14:textId="77777777" w:rsidR="002520D9" w:rsidRPr="00177334" w:rsidRDefault="002520D9" w:rsidP="004F0503">
      <w:pPr>
        <w:spacing w:after="0" w:line="240" w:lineRule="auto"/>
      </w:pPr>
      <w:r w:rsidRPr="00177334">
        <w:separator/>
      </w:r>
    </w:p>
  </w:endnote>
  <w:endnote w:type="continuationSeparator" w:id="0">
    <w:p w14:paraId="3F1BF64E" w14:textId="77777777" w:rsidR="002520D9" w:rsidRPr="00177334" w:rsidRDefault="002520D9" w:rsidP="004F0503">
      <w:pPr>
        <w:spacing w:after="0" w:line="240" w:lineRule="auto"/>
      </w:pPr>
      <w:r w:rsidRPr="00177334">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502F1B" w14:textId="77777777" w:rsidR="002520D9" w:rsidRPr="00177334" w:rsidRDefault="002520D9" w:rsidP="004F0503">
      <w:pPr>
        <w:spacing w:after="0" w:line="240" w:lineRule="auto"/>
      </w:pPr>
      <w:r w:rsidRPr="00177334">
        <w:separator/>
      </w:r>
    </w:p>
  </w:footnote>
  <w:footnote w:type="continuationSeparator" w:id="0">
    <w:p w14:paraId="7D966FEA" w14:textId="77777777" w:rsidR="002520D9" w:rsidRPr="00177334" w:rsidRDefault="002520D9" w:rsidP="004F0503">
      <w:pPr>
        <w:spacing w:after="0" w:line="240" w:lineRule="auto"/>
      </w:pPr>
      <w:r w:rsidRPr="00177334">
        <w:continuationSeparator/>
      </w:r>
    </w:p>
  </w:footnote>
  <w:footnote w:id="1">
    <w:p w14:paraId="00091EDC" w14:textId="06D196B8" w:rsidR="004F0503" w:rsidRPr="00177334" w:rsidRDefault="004F0503">
      <w:pPr>
        <w:pStyle w:val="FootnoteText"/>
      </w:pPr>
      <w:r w:rsidRPr="00177334">
        <w:rPr>
          <w:rStyle w:val="FootnoteReference"/>
        </w:rPr>
        <w:footnoteRef/>
      </w:r>
      <w:r w:rsidRPr="00177334">
        <w:t xml:space="preserve"> </w:t>
      </w:r>
      <w:r w:rsidRPr="00177334">
        <w:rPr>
          <w:rFonts w:ascii="Arial" w:hAnsi="Arial" w:cs="Arial"/>
          <w:color w:val="222222"/>
          <w:shd w:val="clear" w:color="auto" w:fill="FFFFFF"/>
        </w:rPr>
        <w:t>Valente, Dena. "Enforcing promises: Consideration and intention in the law of contract." </w:t>
      </w:r>
      <w:r w:rsidRPr="00177334">
        <w:rPr>
          <w:rFonts w:ascii="Arial" w:hAnsi="Arial" w:cs="Arial"/>
          <w:i/>
          <w:iCs/>
          <w:color w:val="222222"/>
          <w:shd w:val="clear" w:color="auto" w:fill="FFFFFF"/>
        </w:rPr>
        <w:t>Unpublished doctoral dissertation). University of Otago</w:t>
      </w:r>
      <w:r w:rsidRPr="00177334">
        <w:rPr>
          <w:rFonts w:ascii="Arial" w:hAnsi="Arial" w:cs="Arial"/>
          <w:color w:val="222222"/>
          <w:shd w:val="clear" w:color="auto" w:fill="FFFFFF"/>
        </w:rPr>
        <w:t> (2010).</w:t>
      </w:r>
    </w:p>
  </w:footnote>
  <w:footnote w:id="2">
    <w:p w14:paraId="1B903B05" w14:textId="4C891434" w:rsidR="00A52964" w:rsidRPr="00A52964" w:rsidRDefault="00A52964">
      <w:pPr>
        <w:pStyle w:val="FootnoteText"/>
        <w:rPr>
          <w:lang w:val="en-US"/>
        </w:rPr>
      </w:pPr>
      <w:r>
        <w:rPr>
          <w:rStyle w:val="FootnoteReference"/>
        </w:rPr>
        <w:footnoteRef/>
      </w:r>
      <w:r>
        <w:t xml:space="preserve"> </w:t>
      </w:r>
      <w:r>
        <w:rPr>
          <w:rFonts w:ascii="Arial" w:hAnsi="Arial" w:cs="Arial"/>
          <w:color w:val="222222"/>
          <w:shd w:val="clear" w:color="auto" w:fill="FFFFFF"/>
        </w:rPr>
        <w:t>Eisenberg, Melvin Aron. "Principles of Consideration." </w:t>
      </w:r>
      <w:r>
        <w:rPr>
          <w:rFonts w:ascii="Arial" w:hAnsi="Arial" w:cs="Arial"/>
          <w:i/>
          <w:iCs/>
          <w:color w:val="222222"/>
          <w:shd w:val="clear" w:color="auto" w:fill="FFFFFF"/>
        </w:rPr>
        <w:t>Cornell L. Rev.</w:t>
      </w:r>
      <w:r>
        <w:rPr>
          <w:rFonts w:ascii="Arial" w:hAnsi="Arial" w:cs="Arial"/>
          <w:color w:val="222222"/>
          <w:shd w:val="clear" w:color="auto" w:fill="FFFFFF"/>
        </w:rPr>
        <w:t> 67 (1981): 640.</w:t>
      </w:r>
    </w:p>
  </w:footnote>
  <w:footnote w:id="3">
    <w:p w14:paraId="7E9DEF08" w14:textId="41D1176A" w:rsidR="00A52964" w:rsidRPr="00A52964" w:rsidRDefault="00A52964">
      <w:pPr>
        <w:pStyle w:val="FootnoteText"/>
        <w:rPr>
          <w:lang w:val="en-US"/>
        </w:rPr>
      </w:pPr>
      <w:r>
        <w:rPr>
          <w:rStyle w:val="FootnoteReference"/>
        </w:rPr>
        <w:footnoteRef/>
      </w:r>
      <w:r>
        <w:t xml:space="preserve"> </w:t>
      </w:r>
      <w:r>
        <w:rPr>
          <w:rFonts w:ascii="Arial" w:hAnsi="Arial" w:cs="Arial"/>
          <w:color w:val="222222"/>
          <w:shd w:val="clear" w:color="auto" w:fill="FFFFFF"/>
        </w:rPr>
        <w:t>Chloros, A. G. "The Doctrine of Consideration and the Reform of the Law of Contract: A Comparative Analysis." </w:t>
      </w:r>
      <w:r>
        <w:rPr>
          <w:rFonts w:ascii="Arial" w:hAnsi="Arial" w:cs="Arial"/>
          <w:i/>
          <w:iCs/>
          <w:color w:val="222222"/>
          <w:shd w:val="clear" w:color="auto" w:fill="FFFFFF"/>
        </w:rPr>
        <w:t>International &amp; Comparative Law Quarterly</w:t>
      </w:r>
      <w:r>
        <w:rPr>
          <w:rFonts w:ascii="Arial" w:hAnsi="Arial" w:cs="Arial"/>
          <w:color w:val="222222"/>
          <w:shd w:val="clear" w:color="auto" w:fill="FFFFFF"/>
        </w:rPr>
        <w:t> 17.1 (1968): 137-166.</w:t>
      </w:r>
    </w:p>
  </w:footnote>
  <w:footnote w:id="4">
    <w:p w14:paraId="272C238A" w14:textId="3853826B" w:rsidR="00A52964" w:rsidRPr="00A52964" w:rsidRDefault="00A52964">
      <w:pPr>
        <w:pStyle w:val="FootnoteText"/>
        <w:rPr>
          <w:lang w:val="en-US"/>
        </w:rPr>
      </w:pPr>
      <w:r>
        <w:rPr>
          <w:rStyle w:val="FootnoteReference"/>
        </w:rPr>
        <w:footnoteRef/>
      </w:r>
      <w:r>
        <w:t xml:space="preserve"> </w:t>
      </w:r>
      <w:r>
        <w:rPr>
          <w:rFonts w:ascii="Arial" w:hAnsi="Arial" w:cs="Arial"/>
          <w:color w:val="222222"/>
          <w:shd w:val="clear" w:color="auto" w:fill="FFFFFF"/>
        </w:rPr>
        <w:t>Lorenzen, Ernest G. "Causa and Consideration in the Law of Contracts." </w:t>
      </w:r>
      <w:r>
        <w:rPr>
          <w:rFonts w:ascii="Arial" w:hAnsi="Arial" w:cs="Arial"/>
          <w:i/>
          <w:iCs/>
          <w:color w:val="222222"/>
          <w:shd w:val="clear" w:color="auto" w:fill="FFFFFF"/>
        </w:rPr>
        <w:t>The Yale Law Journal</w:t>
      </w:r>
      <w:r>
        <w:rPr>
          <w:rFonts w:ascii="Arial" w:hAnsi="Arial" w:cs="Arial"/>
          <w:color w:val="222222"/>
          <w:shd w:val="clear" w:color="auto" w:fill="FFFFFF"/>
        </w:rPr>
        <w:t> 28.7 (1919): 621-646.</w:t>
      </w:r>
    </w:p>
  </w:footnote>
  <w:footnote w:id="5">
    <w:p w14:paraId="45B6648A" w14:textId="7BB59E94" w:rsidR="00803C3B" w:rsidRPr="00803C3B" w:rsidRDefault="00803C3B">
      <w:pPr>
        <w:pStyle w:val="FootnoteText"/>
        <w:rPr>
          <w:lang w:val="en-US"/>
        </w:rPr>
      </w:pPr>
      <w:r>
        <w:rPr>
          <w:rStyle w:val="FootnoteReference"/>
        </w:rPr>
        <w:footnoteRef/>
      </w:r>
      <w:r>
        <w:t xml:space="preserve"> </w:t>
      </w:r>
      <w:r>
        <w:rPr>
          <w:rFonts w:ascii="Arial" w:hAnsi="Arial" w:cs="Arial"/>
          <w:i/>
          <w:iCs/>
          <w:color w:val="222222"/>
          <w:shd w:val="clear" w:color="auto" w:fill="FFFFFF"/>
        </w:rPr>
        <w:t>Currie v. Misa</w:t>
      </w:r>
      <w:r>
        <w:rPr>
          <w:rFonts w:ascii="Arial" w:hAnsi="Arial" w:cs="Arial"/>
          <w:color w:val="222222"/>
          <w:shd w:val="clear" w:color="auto" w:fill="FFFFFF"/>
        </w:rPr>
        <w:t>, 10 Ex 153 (1875).</w:t>
      </w:r>
    </w:p>
  </w:footnote>
  <w:footnote w:id="6">
    <w:p w14:paraId="6277C4B4" w14:textId="56EF54B7" w:rsidR="00A52964" w:rsidRPr="00A52964" w:rsidRDefault="00A52964">
      <w:pPr>
        <w:pStyle w:val="FootnoteText"/>
        <w:rPr>
          <w:lang w:val="en-US"/>
        </w:rPr>
      </w:pPr>
      <w:r>
        <w:rPr>
          <w:rStyle w:val="FootnoteReference"/>
        </w:rPr>
        <w:footnoteRef/>
      </w:r>
      <w:r>
        <w:t xml:space="preserve"> </w:t>
      </w:r>
      <w:r>
        <w:rPr>
          <w:rFonts w:ascii="Arial" w:hAnsi="Arial" w:cs="Arial"/>
          <w:color w:val="222222"/>
          <w:shd w:val="clear" w:color="auto" w:fill="FFFFFF"/>
        </w:rPr>
        <w:t>Adams, John, and Roger Brownsword. "Contract, consideration and the critical path." </w:t>
      </w:r>
      <w:r>
        <w:rPr>
          <w:rFonts w:ascii="Arial" w:hAnsi="Arial" w:cs="Arial"/>
          <w:i/>
          <w:iCs/>
          <w:color w:val="222222"/>
          <w:shd w:val="clear" w:color="auto" w:fill="FFFFFF"/>
        </w:rPr>
        <w:t>The Modern Law Review</w:t>
      </w:r>
      <w:r>
        <w:rPr>
          <w:rFonts w:ascii="Arial" w:hAnsi="Arial" w:cs="Arial"/>
          <w:color w:val="222222"/>
          <w:shd w:val="clear" w:color="auto" w:fill="FFFFFF"/>
        </w:rPr>
        <w:t> 53.4 (1990): 536-542.</w:t>
      </w:r>
    </w:p>
  </w:footnote>
  <w:footnote w:id="7">
    <w:p w14:paraId="0C83F0BE" w14:textId="1E82F66E" w:rsidR="00A52964" w:rsidRPr="00A52964" w:rsidRDefault="00A52964">
      <w:pPr>
        <w:pStyle w:val="FootnoteText"/>
        <w:rPr>
          <w:lang w:val="en-US"/>
        </w:rPr>
      </w:pPr>
      <w:r>
        <w:rPr>
          <w:rStyle w:val="FootnoteReference"/>
        </w:rPr>
        <w:footnoteRef/>
      </w:r>
      <w:r>
        <w:t xml:space="preserve"> </w:t>
      </w:r>
      <w:r>
        <w:rPr>
          <w:rFonts w:ascii="Arial" w:hAnsi="Arial" w:cs="Arial"/>
          <w:color w:val="222222"/>
          <w:shd w:val="clear" w:color="auto" w:fill="FFFFFF"/>
        </w:rPr>
        <w:t>Benson, Peter. "The Idea of Consideration." </w:t>
      </w:r>
      <w:r>
        <w:rPr>
          <w:rFonts w:ascii="Arial" w:hAnsi="Arial" w:cs="Arial"/>
          <w:i/>
          <w:iCs/>
          <w:color w:val="222222"/>
          <w:shd w:val="clear" w:color="auto" w:fill="FFFFFF"/>
        </w:rPr>
        <w:t>University of Toronto Law Journal</w:t>
      </w:r>
      <w:r>
        <w:rPr>
          <w:rFonts w:ascii="Arial" w:hAnsi="Arial" w:cs="Arial"/>
          <w:color w:val="222222"/>
          <w:shd w:val="clear" w:color="auto" w:fill="FFFFFF"/>
        </w:rPr>
        <w:t> 61.2 (2011): 241-278.</w:t>
      </w:r>
    </w:p>
  </w:footnote>
  <w:footnote w:id="8">
    <w:p w14:paraId="3557F262" w14:textId="10C3AF3E" w:rsidR="00F924F0" w:rsidRPr="00F924F0" w:rsidRDefault="00F924F0">
      <w:pPr>
        <w:pStyle w:val="FootnoteText"/>
        <w:rPr>
          <w:lang w:val="en-US"/>
        </w:rPr>
      </w:pPr>
      <w:r>
        <w:rPr>
          <w:rStyle w:val="FootnoteReference"/>
        </w:rPr>
        <w:footnoteRef/>
      </w:r>
      <w:r>
        <w:t xml:space="preserve"> </w:t>
      </w:r>
      <w:proofErr w:type="spellStart"/>
      <w:r>
        <w:rPr>
          <w:rFonts w:ascii="Arial" w:hAnsi="Arial" w:cs="Arial"/>
          <w:color w:val="222222"/>
          <w:shd w:val="clear" w:color="auto" w:fill="FFFFFF"/>
        </w:rPr>
        <w:t>Hermalin</w:t>
      </w:r>
      <w:proofErr w:type="spellEnd"/>
      <w:r>
        <w:rPr>
          <w:rFonts w:ascii="Arial" w:hAnsi="Arial" w:cs="Arial"/>
          <w:color w:val="222222"/>
          <w:shd w:val="clear" w:color="auto" w:fill="FFFFFF"/>
        </w:rPr>
        <w:t xml:space="preserve">, Benjamin E., Avery W. Katz, and Richard </w:t>
      </w:r>
      <w:proofErr w:type="spellStart"/>
      <w:r>
        <w:rPr>
          <w:rFonts w:ascii="Arial" w:hAnsi="Arial" w:cs="Arial"/>
          <w:color w:val="222222"/>
          <w:shd w:val="clear" w:color="auto" w:fill="FFFFFF"/>
        </w:rPr>
        <w:t>Craswell</w:t>
      </w:r>
      <w:proofErr w:type="spellEnd"/>
      <w:r>
        <w:rPr>
          <w:rFonts w:ascii="Arial" w:hAnsi="Arial" w:cs="Arial"/>
          <w:color w:val="222222"/>
          <w:shd w:val="clear" w:color="auto" w:fill="FFFFFF"/>
        </w:rPr>
        <w:t>. "Contract law." </w:t>
      </w:r>
      <w:r>
        <w:rPr>
          <w:rFonts w:ascii="Arial" w:hAnsi="Arial" w:cs="Arial"/>
          <w:i/>
          <w:iCs/>
          <w:color w:val="222222"/>
          <w:shd w:val="clear" w:color="auto" w:fill="FFFFFF"/>
        </w:rPr>
        <w:t>Handbook of law and economics</w:t>
      </w:r>
      <w:r>
        <w:rPr>
          <w:rFonts w:ascii="Arial" w:hAnsi="Arial" w:cs="Arial"/>
          <w:color w:val="222222"/>
          <w:shd w:val="clear" w:color="auto" w:fill="FFFFFF"/>
        </w:rPr>
        <w:t> 1 (2007): 3-138.</w:t>
      </w:r>
    </w:p>
  </w:footnote>
  <w:footnote w:id="9">
    <w:p w14:paraId="70C453C3" w14:textId="2AD2220F" w:rsidR="00A52964" w:rsidRPr="00A52964" w:rsidRDefault="00A52964">
      <w:pPr>
        <w:pStyle w:val="FootnoteText"/>
        <w:rPr>
          <w:lang w:val="en-US"/>
        </w:rPr>
      </w:pPr>
      <w:r>
        <w:rPr>
          <w:rStyle w:val="FootnoteReference"/>
        </w:rPr>
        <w:footnoteRef/>
      </w:r>
      <w:r>
        <w:t xml:space="preserve"> </w:t>
      </w:r>
      <w:r>
        <w:rPr>
          <w:rFonts w:ascii="Arial" w:hAnsi="Arial" w:cs="Arial"/>
          <w:color w:val="222222"/>
          <w:shd w:val="clear" w:color="auto" w:fill="FFFFFF"/>
        </w:rPr>
        <w:t>Ashley, Clarence D. "Doctrine of Consideration." </w:t>
      </w:r>
      <w:r>
        <w:rPr>
          <w:rFonts w:ascii="Arial" w:hAnsi="Arial" w:cs="Arial"/>
          <w:i/>
          <w:iCs/>
          <w:color w:val="222222"/>
          <w:shd w:val="clear" w:color="auto" w:fill="FFFFFF"/>
        </w:rPr>
        <w:t>Harv. L. Rev.</w:t>
      </w:r>
      <w:r>
        <w:rPr>
          <w:rFonts w:ascii="Arial" w:hAnsi="Arial" w:cs="Arial"/>
          <w:color w:val="222222"/>
          <w:shd w:val="clear" w:color="auto" w:fill="FFFFFF"/>
        </w:rPr>
        <w:t> 26 (1912): 429.</w:t>
      </w:r>
    </w:p>
  </w:footnote>
  <w:footnote w:id="10">
    <w:p w14:paraId="33931528" w14:textId="184692BF" w:rsidR="007D2E97" w:rsidRPr="007D2E97" w:rsidRDefault="007D2E97">
      <w:pPr>
        <w:pStyle w:val="FootnoteText"/>
        <w:rPr>
          <w:lang w:val="en-US"/>
        </w:rPr>
      </w:pPr>
      <w:r>
        <w:rPr>
          <w:rStyle w:val="FootnoteReference"/>
        </w:rPr>
        <w:footnoteRef/>
      </w:r>
      <w:r>
        <w:t xml:space="preserve"> </w:t>
      </w:r>
      <w:r w:rsidRPr="00177334">
        <w:rPr>
          <w:rFonts w:ascii="Times New Roman" w:hAnsi="Times New Roman" w:cs="Times New Roman"/>
          <w:i/>
          <w:iCs/>
          <w:sz w:val="24"/>
          <w:szCs w:val="24"/>
        </w:rPr>
        <w:t>Carlill v Carbolic Smoke Ball Co [1893] 1 QB 256</w:t>
      </w:r>
    </w:p>
  </w:footnote>
  <w:footnote w:id="11">
    <w:p w14:paraId="6915997E" w14:textId="4999B57D" w:rsidR="007D2E97" w:rsidRPr="007D2E97" w:rsidRDefault="007D2E97">
      <w:pPr>
        <w:pStyle w:val="FootnoteText"/>
        <w:rPr>
          <w:lang w:val="en-US"/>
        </w:rPr>
      </w:pPr>
      <w:r>
        <w:rPr>
          <w:rStyle w:val="FootnoteReference"/>
        </w:rPr>
        <w:footnoteRef/>
      </w:r>
      <w:r>
        <w:t xml:space="preserve"> </w:t>
      </w:r>
      <w:r w:rsidRPr="00177334">
        <w:rPr>
          <w:rFonts w:ascii="Times New Roman" w:hAnsi="Times New Roman" w:cs="Times New Roman"/>
          <w:i/>
          <w:iCs/>
          <w:sz w:val="24"/>
          <w:szCs w:val="24"/>
        </w:rPr>
        <w:t xml:space="preserve">Musumeci v </w:t>
      </w:r>
      <w:proofErr w:type="spellStart"/>
      <w:r w:rsidRPr="00177334">
        <w:rPr>
          <w:rFonts w:ascii="Times New Roman" w:hAnsi="Times New Roman" w:cs="Times New Roman"/>
          <w:i/>
          <w:iCs/>
          <w:sz w:val="24"/>
          <w:szCs w:val="24"/>
        </w:rPr>
        <w:t>Winadell</w:t>
      </w:r>
      <w:proofErr w:type="spellEnd"/>
      <w:r w:rsidRPr="00177334">
        <w:rPr>
          <w:rFonts w:ascii="Times New Roman" w:hAnsi="Times New Roman" w:cs="Times New Roman"/>
          <w:i/>
          <w:iCs/>
          <w:sz w:val="24"/>
          <w:szCs w:val="24"/>
        </w:rPr>
        <w:t xml:space="preserve"> Pty Ltd (1994) 34 NSWLR 723</w:t>
      </w:r>
      <w:r w:rsidRPr="00177334">
        <w:rPr>
          <w:rFonts w:ascii="Times New Roman" w:hAnsi="Times New Roman" w:cs="Times New Roman"/>
          <w:sz w:val="24"/>
          <w:szCs w:val="24"/>
        </w:rPr>
        <w:t>,</w:t>
      </w:r>
    </w:p>
  </w:footnote>
  <w:footnote w:id="12">
    <w:p w14:paraId="11CB5277" w14:textId="29ABDB5C" w:rsidR="00A52964" w:rsidRPr="00A52964" w:rsidRDefault="00A52964">
      <w:pPr>
        <w:pStyle w:val="FootnoteText"/>
        <w:rPr>
          <w:lang w:val="en-US"/>
        </w:rPr>
      </w:pPr>
      <w:r>
        <w:rPr>
          <w:rStyle w:val="FootnoteReference"/>
        </w:rPr>
        <w:footnoteRef/>
      </w:r>
      <w:r>
        <w:t xml:space="preserve"> </w:t>
      </w:r>
      <w:r>
        <w:rPr>
          <w:lang w:val="en-US"/>
        </w:rPr>
        <w:t>Ashley n 8)</w:t>
      </w:r>
    </w:p>
  </w:footnote>
  <w:footnote w:id="13">
    <w:p w14:paraId="1B0152C3" w14:textId="410B1138" w:rsidR="00177334" w:rsidRPr="00177334" w:rsidRDefault="00177334">
      <w:pPr>
        <w:pStyle w:val="FootnoteText"/>
        <w:rPr>
          <w:lang w:val="en-US"/>
        </w:rPr>
      </w:pPr>
      <w:r>
        <w:rPr>
          <w:rStyle w:val="FootnoteReference"/>
        </w:rPr>
        <w:footnoteRef/>
      </w:r>
      <w:r>
        <w:t xml:space="preserve"> </w:t>
      </w:r>
      <w:proofErr w:type="gramStart"/>
      <w:r w:rsidRPr="00177334">
        <w:rPr>
          <w:rFonts w:ascii="Times New Roman" w:hAnsi="Times New Roman" w:cs="Times New Roman"/>
          <w:i/>
          <w:iCs/>
          <w:sz w:val="24"/>
          <w:szCs w:val="24"/>
        </w:rPr>
        <w:t>Rosco</w:t>
      </w:r>
      <w:r w:rsidR="00A52964">
        <w:rPr>
          <w:rFonts w:ascii="Times New Roman" w:hAnsi="Times New Roman" w:cs="Times New Roman"/>
          <w:i/>
          <w:iCs/>
          <w:sz w:val="24"/>
          <w:szCs w:val="24"/>
        </w:rPr>
        <w:t>(</w:t>
      </w:r>
      <w:proofErr w:type="spellStart"/>
      <w:proofErr w:type="gramEnd"/>
      <w:r w:rsidRPr="00177334">
        <w:rPr>
          <w:rFonts w:ascii="Times New Roman" w:hAnsi="Times New Roman" w:cs="Times New Roman"/>
          <w:i/>
          <w:iCs/>
          <w:sz w:val="24"/>
          <w:szCs w:val="24"/>
        </w:rPr>
        <w:t>rla</w:t>
      </w:r>
      <w:proofErr w:type="spellEnd"/>
      <w:r w:rsidRPr="00177334">
        <w:rPr>
          <w:rFonts w:ascii="Times New Roman" w:hAnsi="Times New Roman" w:cs="Times New Roman"/>
          <w:i/>
          <w:iCs/>
          <w:sz w:val="24"/>
          <w:szCs w:val="24"/>
        </w:rPr>
        <w:t xml:space="preserve"> v Thomas (1842) 3 QB 234</w:t>
      </w:r>
    </w:p>
  </w:footnote>
  <w:footnote w:id="14">
    <w:p w14:paraId="3B1BA282" w14:textId="50358946" w:rsidR="00F924F0" w:rsidRPr="00F924F0" w:rsidRDefault="00F924F0">
      <w:pPr>
        <w:pStyle w:val="FootnoteText"/>
        <w:rPr>
          <w:lang w:val="en-US"/>
        </w:rPr>
      </w:pPr>
      <w:r>
        <w:rPr>
          <w:rStyle w:val="FootnoteReference"/>
        </w:rPr>
        <w:footnoteRef/>
      </w:r>
      <w:r>
        <w:t xml:space="preserve"> </w:t>
      </w:r>
      <w:r>
        <w:rPr>
          <w:rFonts w:ascii="Arial" w:hAnsi="Arial" w:cs="Arial"/>
          <w:color w:val="222222"/>
          <w:shd w:val="clear" w:color="auto" w:fill="FFFFFF"/>
        </w:rPr>
        <w:t>Twyford, John Wilson. "The doctrine of consideration." </w:t>
      </w:r>
      <w:r>
        <w:rPr>
          <w:rFonts w:ascii="Arial" w:hAnsi="Arial" w:cs="Arial"/>
          <w:i/>
          <w:iCs/>
          <w:color w:val="222222"/>
          <w:shd w:val="clear" w:color="auto" w:fill="FFFFFF"/>
        </w:rPr>
        <w:t xml:space="preserve">The role of consideration in contract modifications. </w:t>
      </w:r>
      <w:proofErr w:type="spellStart"/>
      <w:r>
        <w:rPr>
          <w:rFonts w:ascii="Arial" w:hAnsi="Arial" w:cs="Arial"/>
          <w:i/>
          <w:iCs/>
          <w:color w:val="222222"/>
          <w:shd w:val="clear" w:color="auto" w:fill="FFFFFF"/>
        </w:rPr>
        <w:t>Tese</w:t>
      </w:r>
      <w:proofErr w:type="spellEnd"/>
      <w:r>
        <w:rPr>
          <w:rFonts w:ascii="Arial" w:hAnsi="Arial" w:cs="Arial"/>
          <w:i/>
          <w:iCs/>
          <w:color w:val="222222"/>
          <w:shd w:val="clear" w:color="auto" w:fill="FFFFFF"/>
        </w:rPr>
        <w:t xml:space="preserve"> (</w:t>
      </w:r>
      <w:proofErr w:type="spellStart"/>
      <w:r>
        <w:rPr>
          <w:rFonts w:ascii="Arial" w:hAnsi="Arial" w:cs="Arial"/>
          <w:i/>
          <w:iCs/>
          <w:color w:val="222222"/>
          <w:shd w:val="clear" w:color="auto" w:fill="FFFFFF"/>
        </w:rPr>
        <w:t>Doutorado</w:t>
      </w:r>
      <w:proofErr w:type="spellEnd"/>
      <w:r>
        <w:rPr>
          <w:rFonts w:ascii="Arial" w:hAnsi="Arial" w:cs="Arial"/>
          <w:i/>
          <w:iCs/>
          <w:color w:val="222222"/>
          <w:shd w:val="clear" w:color="auto" w:fill="FFFFFF"/>
        </w:rPr>
        <w:t xml:space="preserve"> </w:t>
      </w:r>
      <w:proofErr w:type="spellStart"/>
      <w:r>
        <w:rPr>
          <w:rFonts w:ascii="Arial" w:hAnsi="Arial" w:cs="Arial"/>
          <w:i/>
          <w:iCs/>
          <w:color w:val="222222"/>
          <w:shd w:val="clear" w:color="auto" w:fill="FFFFFF"/>
        </w:rPr>
        <w:t>em</w:t>
      </w:r>
      <w:proofErr w:type="spellEnd"/>
      <w:r>
        <w:rPr>
          <w:rFonts w:ascii="Arial" w:hAnsi="Arial" w:cs="Arial"/>
          <w:i/>
          <w:iCs/>
          <w:color w:val="222222"/>
          <w:shd w:val="clear" w:color="auto" w:fill="FFFFFF"/>
        </w:rPr>
        <w:t xml:space="preserve"> </w:t>
      </w:r>
      <w:proofErr w:type="spellStart"/>
      <w:r>
        <w:rPr>
          <w:rFonts w:ascii="Arial" w:hAnsi="Arial" w:cs="Arial"/>
          <w:i/>
          <w:iCs/>
          <w:color w:val="222222"/>
          <w:shd w:val="clear" w:color="auto" w:fill="FFFFFF"/>
        </w:rPr>
        <w:t>Ciências</w:t>
      </w:r>
      <w:proofErr w:type="spellEnd"/>
      <w:r>
        <w:rPr>
          <w:rFonts w:ascii="Arial" w:hAnsi="Arial" w:cs="Arial"/>
          <w:i/>
          <w:iCs/>
          <w:color w:val="222222"/>
          <w:shd w:val="clear" w:color="auto" w:fill="FFFFFF"/>
        </w:rPr>
        <w:t xml:space="preserve"> </w:t>
      </w:r>
      <w:proofErr w:type="spellStart"/>
      <w:r>
        <w:rPr>
          <w:rFonts w:ascii="Arial" w:hAnsi="Arial" w:cs="Arial"/>
          <w:i/>
          <w:iCs/>
          <w:color w:val="222222"/>
          <w:shd w:val="clear" w:color="auto" w:fill="FFFFFF"/>
        </w:rPr>
        <w:t>Jurídicas</w:t>
      </w:r>
      <w:proofErr w:type="spellEnd"/>
      <w:r>
        <w:rPr>
          <w:rFonts w:ascii="Arial" w:hAnsi="Arial" w:cs="Arial"/>
          <w:i/>
          <w:iCs/>
          <w:color w:val="222222"/>
          <w:shd w:val="clear" w:color="auto" w:fill="FFFFFF"/>
        </w:rPr>
        <w:t>). University of Technology, Sydney</w:t>
      </w:r>
      <w:r>
        <w:rPr>
          <w:rFonts w:ascii="Arial" w:hAnsi="Arial" w:cs="Arial"/>
          <w:color w:val="222222"/>
          <w:shd w:val="clear" w:color="auto" w:fill="FFFFFF"/>
        </w:rPr>
        <w:t> (2002).</w:t>
      </w:r>
    </w:p>
  </w:footnote>
  <w:footnote w:id="15">
    <w:p w14:paraId="57BEAC20" w14:textId="10BEA21A" w:rsidR="00177334" w:rsidRPr="00177334" w:rsidRDefault="00177334">
      <w:pPr>
        <w:pStyle w:val="FootnoteText"/>
        <w:rPr>
          <w:lang w:val="en-US"/>
        </w:rPr>
      </w:pPr>
      <w:r>
        <w:rPr>
          <w:rStyle w:val="FootnoteReference"/>
        </w:rPr>
        <w:footnoteRef/>
      </w:r>
      <w:r>
        <w:t xml:space="preserve"> </w:t>
      </w:r>
      <w:r>
        <w:rPr>
          <w:rFonts w:ascii="Arial" w:hAnsi="Arial" w:cs="Arial"/>
          <w:i/>
          <w:iCs/>
          <w:color w:val="222222"/>
          <w:shd w:val="clear" w:color="auto" w:fill="FFFFFF"/>
        </w:rPr>
        <w:t>Tweddle v. Atkinson</w:t>
      </w:r>
      <w:r>
        <w:rPr>
          <w:rFonts w:ascii="Arial" w:hAnsi="Arial" w:cs="Arial"/>
          <w:color w:val="222222"/>
          <w:shd w:val="clear" w:color="auto" w:fill="FFFFFF"/>
        </w:rPr>
        <w:t>, 1861 E.R.121 762 (1861).</w:t>
      </w:r>
    </w:p>
  </w:footnote>
  <w:footnote w:id="16">
    <w:p w14:paraId="6C80FD7D" w14:textId="471C64F3" w:rsidR="00177334" w:rsidRPr="00177334" w:rsidRDefault="00177334">
      <w:pPr>
        <w:pStyle w:val="FootnoteText"/>
        <w:rPr>
          <w:lang w:val="en-US"/>
        </w:rPr>
      </w:pPr>
      <w:r>
        <w:rPr>
          <w:rStyle w:val="FootnoteReference"/>
        </w:rPr>
        <w:footnoteRef/>
      </w:r>
      <w:r>
        <w:t xml:space="preserve"> </w:t>
      </w:r>
      <w:r>
        <w:rPr>
          <w:rFonts w:ascii="Arial" w:hAnsi="Arial" w:cs="Arial"/>
          <w:i/>
          <w:iCs/>
          <w:color w:val="222222"/>
          <w:shd w:val="clear" w:color="auto" w:fill="FFFFFF"/>
        </w:rPr>
        <w:t>Thomas v. Thomas</w:t>
      </w:r>
      <w:r>
        <w:rPr>
          <w:rFonts w:ascii="Arial" w:hAnsi="Arial" w:cs="Arial"/>
          <w:color w:val="222222"/>
          <w:shd w:val="clear" w:color="auto" w:fill="FFFFFF"/>
        </w:rPr>
        <w:t>, 2 Q.B. 851 (1842).</w:t>
      </w:r>
    </w:p>
  </w:footnote>
  <w:footnote w:id="17">
    <w:p w14:paraId="3EB1D29D" w14:textId="78610585" w:rsidR="007D2E97" w:rsidRPr="007D2E97" w:rsidRDefault="007D2E97">
      <w:pPr>
        <w:pStyle w:val="FootnoteText"/>
        <w:rPr>
          <w:lang w:val="en-US"/>
        </w:rPr>
      </w:pPr>
      <w:r>
        <w:rPr>
          <w:rStyle w:val="FootnoteReference"/>
        </w:rPr>
        <w:footnoteRef/>
      </w:r>
      <w:r>
        <w:t xml:space="preserve"> </w:t>
      </w:r>
      <w:r>
        <w:rPr>
          <w:rFonts w:ascii="Arial" w:hAnsi="Arial" w:cs="Arial"/>
          <w:i/>
          <w:iCs/>
          <w:color w:val="222222"/>
          <w:shd w:val="clear" w:color="auto" w:fill="FFFFFF"/>
        </w:rPr>
        <w:t>White v. Bluett</w:t>
      </w:r>
      <w:r>
        <w:rPr>
          <w:rFonts w:ascii="Arial" w:hAnsi="Arial" w:cs="Arial"/>
          <w:color w:val="222222"/>
          <w:shd w:val="clear" w:color="auto" w:fill="FFFFFF"/>
        </w:rPr>
        <w:t>, 2 C.L.R. 301, 23 L.J. Ex. 36 (1853).</w:t>
      </w:r>
    </w:p>
  </w:footnote>
  <w:footnote w:id="18">
    <w:p w14:paraId="0DF6B71F" w14:textId="006FEE79" w:rsidR="00A52964" w:rsidRPr="00A52964" w:rsidRDefault="00A52964">
      <w:pPr>
        <w:pStyle w:val="FootnoteText"/>
        <w:rPr>
          <w:lang w:val="en-US"/>
        </w:rPr>
      </w:pPr>
      <w:r>
        <w:rPr>
          <w:rStyle w:val="FootnoteReference"/>
        </w:rPr>
        <w:footnoteRef/>
      </w:r>
      <w:r>
        <w:t xml:space="preserve"> </w:t>
      </w:r>
      <w:r>
        <w:rPr>
          <w:rFonts w:ascii="Arial" w:hAnsi="Arial" w:cs="Arial"/>
          <w:color w:val="222222"/>
          <w:shd w:val="clear" w:color="auto" w:fill="FFFFFF"/>
        </w:rPr>
        <w:t>Hamson, Charles J. "The Reform of Consideration." </w:t>
      </w:r>
      <w:r>
        <w:rPr>
          <w:rFonts w:ascii="Arial" w:hAnsi="Arial" w:cs="Arial"/>
          <w:i/>
          <w:iCs/>
          <w:color w:val="222222"/>
          <w:shd w:val="clear" w:color="auto" w:fill="FFFFFF"/>
        </w:rPr>
        <w:t>LQ Rev.</w:t>
      </w:r>
      <w:r>
        <w:rPr>
          <w:rFonts w:ascii="Arial" w:hAnsi="Arial" w:cs="Arial"/>
          <w:color w:val="222222"/>
          <w:shd w:val="clear" w:color="auto" w:fill="FFFFFF"/>
        </w:rPr>
        <w:t> 54 (1938): 233.</w:t>
      </w:r>
    </w:p>
  </w:footnote>
  <w:footnote w:id="19">
    <w:p w14:paraId="261ED63B" w14:textId="3A46BF9C" w:rsidR="00A82B3B" w:rsidRPr="00177334" w:rsidRDefault="00A82B3B">
      <w:pPr>
        <w:pStyle w:val="FootnoteText"/>
      </w:pPr>
      <w:r w:rsidRPr="00177334">
        <w:rPr>
          <w:rStyle w:val="FootnoteReference"/>
        </w:rPr>
        <w:footnoteRef/>
      </w:r>
      <w:r w:rsidRPr="00177334">
        <w:t xml:space="preserve"> </w:t>
      </w:r>
      <w:r w:rsidRPr="00177334">
        <w:rPr>
          <w:rFonts w:ascii="Arial" w:hAnsi="Arial" w:cs="Arial"/>
          <w:color w:val="222222"/>
          <w:shd w:val="clear" w:color="auto" w:fill="FFFFFF"/>
        </w:rPr>
        <w:t xml:space="preserve">Xie, </w:t>
      </w:r>
      <w:proofErr w:type="spellStart"/>
      <w:r w:rsidRPr="00177334">
        <w:rPr>
          <w:rFonts w:ascii="Arial" w:hAnsi="Arial" w:cs="Arial"/>
          <w:color w:val="222222"/>
          <w:shd w:val="clear" w:color="auto" w:fill="FFFFFF"/>
        </w:rPr>
        <w:t>Zhuoyan</w:t>
      </w:r>
      <w:proofErr w:type="spellEnd"/>
      <w:r w:rsidRPr="00177334">
        <w:rPr>
          <w:rFonts w:ascii="Arial" w:hAnsi="Arial" w:cs="Arial"/>
          <w:color w:val="222222"/>
          <w:shd w:val="clear" w:color="auto" w:fill="FFFFFF"/>
        </w:rPr>
        <w:t>. "Towards a Normative Basis of the Doctrine of Consideration." (2010).</w:t>
      </w:r>
    </w:p>
  </w:footnote>
  <w:footnote w:id="20">
    <w:p w14:paraId="13725A21" w14:textId="3A22CB54" w:rsidR="00A82B3B" w:rsidRPr="00177334" w:rsidRDefault="00A82B3B">
      <w:pPr>
        <w:pStyle w:val="FootnoteText"/>
      </w:pPr>
      <w:r w:rsidRPr="00177334">
        <w:rPr>
          <w:rStyle w:val="FootnoteReference"/>
        </w:rPr>
        <w:footnoteRef/>
      </w:r>
      <w:r w:rsidRPr="00177334">
        <w:t xml:space="preserve"> Ibid</w:t>
      </w:r>
    </w:p>
  </w:footnote>
  <w:footnote w:id="21">
    <w:p w14:paraId="7F1F1343" w14:textId="1D96E673" w:rsidR="00177334" w:rsidRPr="00177334" w:rsidRDefault="00177334">
      <w:pPr>
        <w:pStyle w:val="FootnoteText"/>
        <w:rPr>
          <w:lang w:val="en-US"/>
        </w:rPr>
      </w:pPr>
      <w:r>
        <w:rPr>
          <w:rStyle w:val="FootnoteReference"/>
        </w:rPr>
        <w:footnoteRef/>
      </w:r>
      <w:r>
        <w:t xml:space="preserve"> C</w:t>
      </w:r>
      <w:r>
        <w:rPr>
          <w:rFonts w:ascii="Arial" w:hAnsi="Arial" w:cs="Arial"/>
          <w:color w:val="4D5156"/>
          <w:sz w:val="21"/>
          <w:szCs w:val="21"/>
          <w:shd w:val="clear" w:color="auto" w:fill="FFFFFF"/>
        </w:rPr>
        <w:t>entral London Property Trust Ltd v </w:t>
      </w:r>
      <w:r>
        <w:rPr>
          <w:rStyle w:val="Emphasis"/>
          <w:rFonts w:ascii="Arial" w:hAnsi="Arial" w:cs="Arial"/>
          <w:b/>
          <w:bCs/>
          <w:i w:val="0"/>
          <w:iCs w:val="0"/>
          <w:color w:val="5F6368"/>
          <w:sz w:val="21"/>
          <w:szCs w:val="21"/>
          <w:shd w:val="clear" w:color="auto" w:fill="FFFFFF"/>
        </w:rPr>
        <w:t>High Trees</w:t>
      </w:r>
      <w:r>
        <w:rPr>
          <w:rFonts w:ascii="Arial" w:hAnsi="Arial" w:cs="Arial"/>
          <w:color w:val="4D5156"/>
          <w:sz w:val="21"/>
          <w:szCs w:val="21"/>
          <w:shd w:val="clear" w:color="auto" w:fill="FFFFFF"/>
        </w:rPr>
        <w:t> House Ltd [1947] KB 130 </w:t>
      </w:r>
    </w:p>
  </w:footnote>
  <w:footnote w:id="22">
    <w:p w14:paraId="3621CBB8" w14:textId="64ED2298" w:rsidR="00177334" w:rsidRPr="00177334" w:rsidRDefault="00177334">
      <w:pPr>
        <w:pStyle w:val="FootnoteText"/>
        <w:rPr>
          <w:lang w:val="en-US"/>
        </w:rPr>
      </w:pPr>
      <w:r>
        <w:rPr>
          <w:rStyle w:val="FootnoteReference"/>
        </w:rPr>
        <w:footnoteRef/>
      </w:r>
      <w:r>
        <w:t xml:space="preserve"> </w:t>
      </w:r>
      <w:r>
        <w:rPr>
          <w:rFonts w:ascii="Arial" w:hAnsi="Arial" w:cs="Arial"/>
          <w:i/>
          <w:iCs/>
          <w:color w:val="222222"/>
          <w:shd w:val="clear" w:color="auto" w:fill="FFFFFF"/>
        </w:rPr>
        <w:t>Collier v. P &amp; MJ Wright (Holdings) Ltd</w:t>
      </w:r>
      <w:r>
        <w:rPr>
          <w:rFonts w:ascii="Arial" w:hAnsi="Arial" w:cs="Arial"/>
          <w:color w:val="222222"/>
          <w:shd w:val="clear" w:color="auto" w:fill="FFFFFF"/>
        </w:rPr>
        <w:t xml:space="preserve">, 2007 E.W.C.A. </w:t>
      </w:r>
      <w:proofErr w:type="spellStart"/>
      <w:r>
        <w:rPr>
          <w:rFonts w:ascii="Arial" w:hAnsi="Arial" w:cs="Arial"/>
          <w:color w:val="222222"/>
          <w:shd w:val="clear" w:color="auto" w:fill="FFFFFF"/>
        </w:rPr>
        <w:t>Civ</w:t>
      </w:r>
      <w:proofErr w:type="spellEnd"/>
      <w:r>
        <w:rPr>
          <w:rFonts w:ascii="Arial" w:hAnsi="Arial" w:cs="Arial"/>
          <w:color w:val="222222"/>
          <w:shd w:val="clear" w:color="auto" w:fill="FFFFFF"/>
        </w:rPr>
        <w:t xml:space="preserve"> 1329, 2008 W.L.R.1 643 (2007).</w:t>
      </w:r>
    </w:p>
  </w:footnote>
  <w:footnote w:id="23">
    <w:p w14:paraId="7704EB30" w14:textId="6244171A" w:rsidR="00177334" w:rsidRPr="00177334" w:rsidRDefault="00177334">
      <w:pPr>
        <w:pStyle w:val="FootnoteText"/>
        <w:rPr>
          <w:lang w:val="en-US"/>
        </w:rPr>
      </w:pPr>
      <w:r>
        <w:rPr>
          <w:rStyle w:val="FootnoteReference"/>
        </w:rPr>
        <w:footnoteRef/>
      </w:r>
      <w:r>
        <w:t xml:space="preserve"> </w:t>
      </w:r>
      <w:r>
        <w:rPr>
          <w:rFonts w:ascii="Arial" w:hAnsi="Arial" w:cs="Arial"/>
          <w:i/>
          <w:iCs/>
          <w:color w:val="222222"/>
          <w:shd w:val="clear" w:color="auto" w:fill="FFFFFF"/>
        </w:rPr>
        <w:t>Foakes v. Beer</w:t>
      </w:r>
      <w:r>
        <w:rPr>
          <w:rFonts w:ascii="Arial" w:hAnsi="Arial" w:cs="Arial"/>
          <w:color w:val="222222"/>
          <w:shd w:val="clear" w:color="auto" w:fill="FFFFFF"/>
        </w:rPr>
        <w:t>, 9 App. 605 (1884).</w:t>
      </w:r>
    </w:p>
  </w:footnote>
  <w:footnote w:id="24">
    <w:p w14:paraId="16CA4BE8" w14:textId="0ED68C21" w:rsidR="00177334" w:rsidRPr="00177334" w:rsidRDefault="00177334">
      <w:pPr>
        <w:pStyle w:val="FootnoteText"/>
        <w:rPr>
          <w:lang w:val="en-US"/>
        </w:rPr>
      </w:pPr>
      <w:r>
        <w:rPr>
          <w:rStyle w:val="FootnoteReference"/>
        </w:rPr>
        <w:footnoteRef/>
      </w:r>
      <w:r>
        <w:t xml:space="preserve"> </w:t>
      </w:r>
      <w:r w:rsidRPr="00177334">
        <w:rPr>
          <w:rFonts w:ascii="Times New Roman" w:hAnsi="Times New Roman" w:cs="Times New Roman"/>
          <w:i/>
          <w:iCs/>
          <w:sz w:val="24"/>
          <w:szCs w:val="24"/>
        </w:rPr>
        <w:t>Williams v Roffey Bros &amp; Nicholls (Con- tractors) Lt [1990] 1 All ER 512</w:t>
      </w:r>
    </w:p>
  </w:footnote>
  <w:footnote w:id="25">
    <w:p w14:paraId="7809FF8A" w14:textId="3596E54F" w:rsidR="00AF34C7" w:rsidRPr="00177334" w:rsidRDefault="00AF34C7">
      <w:pPr>
        <w:pStyle w:val="FootnoteText"/>
        <w:rPr>
          <w:rFonts w:ascii="Arial" w:hAnsi="Arial" w:cs="Arial"/>
          <w:color w:val="222222"/>
          <w:shd w:val="clear" w:color="auto" w:fill="FFFFFF"/>
        </w:rPr>
      </w:pPr>
      <w:r w:rsidRPr="00177334">
        <w:rPr>
          <w:rStyle w:val="FootnoteReference"/>
        </w:rPr>
        <w:footnoteRef/>
      </w:r>
      <w:r w:rsidRPr="00177334">
        <w:t xml:space="preserve"> </w:t>
      </w:r>
      <w:r w:rsidRPr="00177334">
        <w:rPr>
          <w:rFonts w:ascii="Arial" w:hAnsi="Arial" w:cs="Arial"/>
          <w:color w:val="222222"/>
          <w:shd w:val="clear" w:color="auto" w:fill="FFFFFF"/>
        </w:rPr>
        <w:t xml:space="preserve">Liao, </w:t>
      </w:r>
      <w:proofErr w:type="spellStart"/>
      <w:r w:rsidRPr="00177334">
        <w:rPr>
          <w:rFonts w:ascii="Arial" w:hAnsi="Arial" w:cs="Arial"/>
          <w:color w:val="222222"/>
          <w:shd w:val="clear" w:color="auto" w:fill="FFFFFF"/>
        </w:rPr>
        <w:t>Zhixiong</w:t>
      </w:r>
      <w:proofErr w:type="spellEnd"/>
      <w:r w:rsidRPr="00177334">
        <w:rPr>
          <w:rFonts w:ascii="Arial" w:hAnsi="Arial" w:cs="Arial"/>
          <w:color w:val="222222"/>
          <w:shd w:val="clear" w:color="auto" w:fill="FFFFFF"/>
        </w:rPr>
        <w:t>. "Intention to create legal relations and the reform of contract law: A conservative approach in the modern global era." </w:t>
      </w:r>
      <w:r w:rsidRPr="00177334">
        <w:rPr>
          <w:rFonts w:ascii="Arial" w:hAnsi="Arial" w:cs="Arial"/>
          <w:i/>
          <w:iCs/>
          <w:color w:val="222222"/>
          <w:shd w:val="clear" w:color="auto" w:fill="FFFFFF"/>
        </w:rPr>
        <w:t>Beijing L. Rev.</w:t>
      </w:r>
      <w:r w:rsidRPr="00177334">
        <w:rPr>
          <w:rFonts w:ascii="Arial" w:hAnsi="Arial" w:cs="Arial"/>
          <w:color w:val="222222"/>
          <w:shd w:val="clear" w:color="auto" w:fill="FFFFFF"/>
        </w:rPr>
        <w:t> 4 (2013): 82.</w:t>
      </w:r>
    </w:p>
    <w:p w14:paraId="3FDBB4A9" w14:textId="77777777" w:rsidR="00AF34C7" w:rsidRPr="00AF34C7" w:rsidRDefault="00AF34C7">
      <w:pPr>
        <w:pStyle w:val="FootnoteText"/>
        <w:rPr>
          <w:lang w:val="en-US"/>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98893403"/>
      <w:docPartObj>
        <w:docPartGallery w:val="Page Numbers (Top of Page)"/>
        <w:docPartUnique/>
      </w:docPartObj>
    </w:sdtPr>
    <w:sdtEndPr>
      <w:rPr>
        <w:noProof/>
      </w:rPr>
    </w:sdtEndPr>
    <w:sdtContent>
      <w:p w14:paraId="5B81190E" w14:textId="7921E0D3" w:rsidR="00A22395" w:rsidRDefault="00A22395">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6562C099" w14:textId="77777777" w:rsidR="00A22395" w:rsidRDefault="00A22395">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NbGwMDY3tTC2MDU1NDZT0lEKTi0uzszPAykwrAUAsMQiSSwAAAA="/>
  </w:docVars>
  <w:rsids>
    <w:rsidRoot w:val="004F0503"/>
    <w:rsid w:val="00163CE5"/>
    <w:rsid w:val="00177334"/>
    <w:rsid w:val="001F31E0"/>
    <w:rsid w:val="00225188"/>
    <w:rsid w:val="002520D9"/>
    <w:rsid w:val="002C018C"/>
    <w:rsid w:val="00395077"/>
    <w:rsid w:val="0045461B"/>
    <w:rsid w:val="004D0E6E"/>
    <w:rsid w:val="004F0503"/>
    <w:rsid w:val="005A2195"/>
    <w:rsid w:val="007630F4"/>
    <w:rsid w:val="007D2E97"/>
    <w:rsid w:val="00803C3B"/>
    <w:rsid w:val="008B4A3C"/>
    <w:rsid w:val="00907FA3"/>
    <w:rsid w:val="00A07F0C"/>
    <w:rsid w:val="00A22395"/>
    <w:rsid w:val="00A52964"/>
    <w:rsid w:val="00A82B3B"/>
    <w:rsid w:val="00AF34C7"/>
    <w:rsid w:val="00C13073"/>
    <w:rsid w:val="00EC39CC"/>
    <w:rsid w:val="00F924F0"/>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B9C14F"/>
  <w15:chartTrackingRefBased/>
  <w15:docId w15:val="{FD34DB89-7AD9-492B-B633-37720E5CEC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4F0503"/>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4F0503"/>
    <w:rPr>
      <w:sz w:val="20"/>
      <w:szCs w:val="20"/>
      <w:lang w:val="en-GB"/>
    </w:rPr>
  </w:style>
  <w:style w:type="character" w:styleId="FootnoteReference">
    <w:name w:val="footnote reference"/>
    <w:basedOn w:val="DefaultParagraphFont"/>
    <w:uiPriority w:val="99"/>
    <w:semiHidden/>
    <w:unhideWhenUsed/>
    <w:rsid w:val="004F0503"/>
    <w:rPr>
      <w:vertAlign w:val="superscript"/>
    </w:rPr>
  </w:style>
  <w:style w:type="character" w:styleId="Emphasis">
    <w:name w:val="Emphasis"/>
    <w:basedOn w:val="DefaultParagraphFont"/>
    <w:uiPriority w:val="20"/>
    <w:qFormat/>
    <w:rsid w:val="00177334"/>
    <w:rPr>
      <w:i/>
      <w:iCs/>
    </w:rPr>
  </w:style>
  <w:style w:type="paragraph" w:styleId="Header">
    <w:name w:val="header"/>
    <w:basedOn w:val="Normal"/>
    <w:link w:val="HeaderChar"/>
    <w:uiPriority w:val="99"/>
    <w:unhideWhenUsed/>
    <w:rsid w:val="00A22395"/>
    <w:pPr>
      <w:tabs>
        <w:tab w:val="center" w:pos="4513"/>
        <w:tab w:val="right" w:pos="9026"/>
      </w:tabs>
      <w:spacing w:after="0" w:line="240" w:lineRule="auto"/>
    </w:pPr>
  </w:style>
  <w:style w:type="character" w:customStyle="1" w:styleId="HeaderChar">
    <w:name w:val="Header Char"/>
    <w:basedOn w:val="DefaultParagraphFont"/>
    <w:link w:val="Header"/>
    <w:uiPriority w:val="99"/>
    <w:rsid w:val="00A22395"/>
    <w:rPr>
      <w:lang w:val="en-GB"/>
    </w:rPr>
  </w:style>
  <w:style w:type="paragraph" w:styleId="Footer">
    <w:name w:val="footer"/>
    <w:basedOn w:val="Normal"/>
    <w:link w:val="FooterChar"/>
    <w:uiPriority w:val="99"/>
    <w:unhideWhenUsed/>
    <w:rsid w:val="00A22395"/>
    <w:pPr>
      <w:tabs>
        <w:tab w:val="center" w:pos="4513"/>
        <w:tab w:val="right" w:pos="9026"/>
      </w:tabs>
      <w:spacing w:after="0" w:line="240" w:lineRule="auto"/>
    </w:pPr>
  </w:style>
  <w:style w:type="character" w:customStyle="1" w:styleId="FooterChar">
    <w:name w:val="Footer Char"/>
    <w:basedOn w:val="DefaultParagraphFont"/>
    <w:link w:val="Footer"/>
    <w:uiPriority w:val="99"/>
    <w:rsid w:val="00A22395"/>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60EEA2F366178047808FA03462A57F61" ma:contentTypeVersion="15" ma:contentTypeDescription="Create a new document." ma:contentTypeScope="" ma:versionID="621d063150ba25dc9764afd84a57126b">
  <xsd:schema xmlns:xsd="http://www.w3.org/2001/XMLSchema" xmlns:xs="http://www.w3.org/2001/XMLSchema" xmlns:p="http://schemas.microsoft.com/office/2006/metadata/properties" xmlns:ns3="da3f2772-8f1e-4acb-bd98-3a0ee892f48a" xmlns:ns4="0cb976d4-72d8-43fd-a100-21d54766e958" targetNamespace="http://schemas.microsoft.com/office/2006/metadata/properties" ma:root="true" ma:fieldsID="d91768b06cbb700bbfeb70a1193fd4dc" ns3:_="" ns4:_="">
    <xsd:import namespace="da3f2772-8f1e-4acb-bd98-3a0ee892f48a"/>
    <xsd:import namespace="0cb976d4-72d8-43fd-a100-21d54766e95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SearchProperties" minOccurs="0"/>
                <xsd:element ref="ns3:MediaServiceDateTaken" minOccurs="0"/>
                <xsd:element ref="ns3:MediaLengthInSeconds" minOccurs="0"/>
                <xsd:element ref="ns3:_activity" minOccurs="0"/>
                <xsd:element ref="ns4:SharedWithUsers" minOccurs="0"/>
                <xsd:element ref="ns4:SharedWithDetails" minOccurs="0"/>
                <xsd:element ref="ns4:SharingHintHash" minOccurs="0"/>
                <xsd:element ref="ns3:MediaServiceObjectDetectorVersions"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a3f2772-8f1e-4acb-bd98-3a0ee892f48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SearchProperties" ma:index="14" nillable="true" ma:displayName="MediaServiceSearchProperties" ma:hidden="true" ma:internalName="MediaServiceSearchProperties" ma:readOnly="true">
      <xsd:simpleType>
        <xsd:restriction base="dms:Note"/>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_activity" ma:index="17" nillable="true" ma:displayName="_activity" ma:hidden="true" ma:internalName="_activity">
      <xsd:simpleType>
        <xsd:restriction base="dms:Note"/>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ServiceSystemTags" ma:index="22" nillable="true" ma:displayName="MediaServiceSystemTags" ma:hidden="true" ma:internalName="MediaServiceSystem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cb976d4-72d8-43fd-a100-21d54766e958"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da3f2772-8f1e-4acb-bd98-3a0ee892f48a" xsi:nil="true"/>
  </documentManagement>
</p:properties>
</file>

<file path=customXml/itemProps1.xml><?xml version="1.0" encoding="utf-8"?>
<ds:datastoreItem xmlns:ds="http://schemas.openxmlformats.org/officeDocument/2006/customXml" ds:itemID="{4C91D948-931C-4B23-8832-CA37C264128D}">
  <ds:schemaRefs>
    <ds:schemaRef ds:uri="http://schemas.openxmlformats.org/officeDocument/2006/bibliography"/>
  </ds:schemaRefs>
</ds:datastoreItem>
</file>

<file path=customXml/itemProps2.xml><?xml version="1.0" encoding="utf-8"?>
<ds:datastoreItem xmlns:ds="http://schemas.openxmlformats.org/officeDocument/2006/customXml" ds:itemID="{A0187BC0-6A7B-4E25-A30F-E774E7CEC74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a3f2772-8f1e-4acb-bd98-3a0ee892f48a"/>
    <ds:schemaRef ds:uri="0cb976d4-72d8-43fd-a100-21d54766e95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143D717-8179-457F-A38A-C899D4D0BB32}">
  <ds:schemaRefs>
    <ds:schemaRef ds:uri="http://schemas.microsoft.com/sharepoint/v3/contenttype/forms"/>
  </ds:schemaRefs>
</ds:datastoreItem>
</file>

<file path=customXml/itemProps4.xml><?xml version="1.0" encoding="utf-8"?>
<ds:datastoreItem xmlns:ds="http://schemas.openxmlformats.org/officeDocument/2006/customXml" ds:itemID="{E273AC4F-51C3-4803-81B9-C25076B6BE1A}">
  <ds:schemaRefs>
    <ds:schemaRef ds:uri="http://purl.org/dc/dcmitype/"/>
    <ds:schemaRef ds:uri="http://purl.org/dc/elements/1.1/"/>
    <ds:schemaRef ds:uri="http://schemas.openxmlformats.org/package/2006/metadata/core-properties"/>
    <ds:schemaRef ds:uri="0cb976d4-72d8-43fd-a100-21d54766e958"/>
    <ds:schemaRef ds:uri="http://purl.org/dc/terms/"/>
    <ds:schemaRef ds:uri="http://www.w3.org/XML/1998/namespace"/>
    <ds:schemaRef ds:uri="http://schemas.microsoft.com/office/2006/metadata/properties"/>
    <ds:schemaRef ds:uri="http://schemas.microsoft.com/office/2006/documentManagement/types"/>
    <ds:schemaRef ds:uri="http://schemas.microsoft.com/office/infopath/2007/PartnerControls"/>
    <ds:schemaRef ds:uri="da3f2772-8f1e-4acb-bd98-3a0ee892f48a"/>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2141</Words>
  <Characters>12205</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14318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ubrah</dc:creator>
  <cp:keywords/>
  <dc:description/>
  <cp:lastModifiedBy>Amer Alkadri (2123935)</cp:lastModifiedBy>
  <cp:revision>2</cp:revision>
  <dcterms:created xsi:type="dcterms:W3CDTF">2024-03-15T02:38:00Z</dcterms:created>
  <dcterms:modified xsi:type="dcterms:W3CDTF">2024-03-15T02:38:00Z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0x01010060EEA2F366178047808FA03462A57F61</vt:lpwstr>
  </property>
</Properties>
</file>