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E48E01" w14:textId="77777777" w:rsidR="00A629EF" w:rsidRDefault="00A629EF" w:rsidP="00C51F46"/>
    <w:p w14:paraId="6A3F8E76" w14:textId="3CFCEAD6" w:rsidR="00A629EF" w:rsidRPr="00772092" w:rsidRDefault="00A629EF" w:rsidP="00C51F46">
      <w:pPr>
        <w:rPr>
          <w:sz w:val="28"/>
          <w:szCs w:val="28"/>
        </w:rPr>
      </w:pPr>
      <w:r w:rsidRPr="00772092">
        <w:rPr>
          <w:sz w:val="28"/>
          <w:szCs w:val="28"/>
        </w:rPr>
        <w:t>Reference list QUIZ:</w:t>
      </w:r>
    </w:p>
    <w:p w14:paraId="16FA478B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Bloom, S. L., and Farragher, B. (2013) </w:t>
      </w:r>
      <w:r w:rsidRPr="00232FDF">
        <w:rPr>
          <w:rFonts w:cstheme="minorHAnsi"/>
          <w:i/>
          <w:iCs/>
          <w:sz w:val="28"/>
          <w:szCs w:val="28"/>
        </w:rPr>
        <w:t>Restoring sanctuary: A new operating system for trauma-informed systems of care</w:t>
      </w:r>
      <w:r w:rsidRPr="00232FDF">
        <w:rPr>
          <w:rFonts w:cstheme="minorHAnsi"/>
          <w:sz w:val="28"/>
          <w:szCs w:val="28"/>
        </w:rPr>
        <w:t>. 1</w:t>
      </w:r>
      <w:r w:rsidRPr="00232FDF">
        <w:rPr>
          <w:rFonts w:cstheme="minorHAnsi"/>
          <w:sz w:val="28"/>
          <w:szCs w:val="28"/>
          <w:vertAlign w:val="superscript"/>
        </w:rPr>
        <w:t>st</w:t>
      </w:r>
      <w:r w:rsidRPr="00232FDF">
        <w:rPr>
          <w:rFonts w:cstheme="minorHAnsi"/>
          <w:sz w:val="28"/>
          <w:szCs w:val="28"/>
        </w:rPr>
        <w:t xml:space="preserve"> </w:t>
      </w:r>
      <w:proofErr w:type="spellStart"/>
      <w:r w:rsidRPr="00232FDF">
        <w:rPr>
          <w:rFonts w:cstheme="minorHAnsi"/>
          <w:sz w:val="28"/>
          <w:szCs w:val="28"/>
        </w:rPr>
        <w:t>edn</w:t>
      </w:r>
      <w:proofErr w:type="spellEnd"/>
      <w:r w:rsidRPr="00232FDF">
        <w:rPr>
          <w:rFonts w:cstheme="minorHAnsi"/>
          <w:sz w:val="28"/>
          <w:szCs w:val="28"/>
        </w:rPr>
        <w:t>. Oxford University Press.</w:t>
      </w:r>
    </w:p>
    <w:p w14:paraId="1A975213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 </w:t>
      </w:r>
    </w:p>
    <w:p w14:paraId="3A346DAE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>Cross, D., Fani, N., Powers, A., and Bradley, B. (2017) ‘Neurobiological Development in the Context of Childhood Trauma’, </w:t>
      </w:r>
      <w:r w:rsidRPr="00232FDF">
        <w:rPr>
          <w:rFonts w:cstheme="minorHAnsi"/>
          <w:i/>
          <w:iCs/>
          <w:sz w:val="28"/>
          <w:szCs w:val="28"/>
        </w:rPr>
        <w:t>Clinical psychology: a publication of the Division of Clinical Psychology of the American Psychological Association</w:t>
      </w:r>
      <w:r w:rsidRPr="00232FDF">
        <w:rPr>
          <w:rFonts w:cstheme="minorHAnsi"/>
          <w:sz w:val="28"/>
          <w:szCs w:val="28"/>
        </w:rPr>
        <w:t xml:space="preserve">, 24(2), pp. 111–124. </w:t>
      </w:r>
    </w:p>
    <w:p w14:paraId="086090B2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7B9BA007" w14:textId="77777777" w:rsidR="00A629EF" w:rsidRPr="00232FDF" w:rsidRDefault="00A629EF" w:rsidP="00A629EF">
      <w:pPr>
        <w:spacing w:after="0" w:line="240" w:lineRule="auto"/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</w:pPr>
      <w:r w:rsidRPr="00232FDF"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  <w:t xml:space="preserve">Farr, M., Eyles, E., Stone, T., </w:t>
      </w:r>
      <w:proofErr w:type="spellStart"/>
      <w:r w:rsidRPr="00232FDF"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  <w:t>Redaniel</w:t>
      </w:r>
      <w:proofErr w:type="spellEnd"/>
      <w:r w:rsidRPr="00232FDF"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  <w:t xml:space="preserve">, M. T., Traub, T., Burrowes, J., </w:t>
      </w:r>
      <w:proofErr w:type="spellStart"/>
      <w:r w:rsidRPr="00232FDF"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  <w:t>Halsley</w:t>
      </w:r>
      <w:proofErr w:type="spellEnd"/>
      <w:r w:rsidRPr="00232FDF"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  <w:t xml:space="preserve">, R., Williams, K., Edwards, A., and Redwood, S. (2025) ‘Implementing trauma-informed practice across services to support people experiencing multiple disadvantage: A mixed method study’, </w:t>
      </w:r>
      <w:r w:rsidRPr="00232FDF">
        <w:rPr>
          <w:rFonts w:eastAsia="Times New Roman" w:cstheme="minorHAnsi"/>
          <w:i/>
          <w:iCs/>
          <w:kern w:val="0"/>
          <w:sz w:val="28"/>
          <w:szCs w:val="28"/>
          <w:lang w:eastAsia="en-GB"/>
          <w14:ligatures w14:val="none"/>
        </w:rPr>
        <w:t>BMC Health Services Research</w:t>
      </w:r>
      <w:r w:rsidRPr="00232FDF"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  <w:t>, 25(1), pp.1266.</w:t>
      </w:r>
    </w:p>
    <w:p w14:paraId="1C57228F" w14:textId="77777777" w:rsidR="00A629EF" w:rsidRPr="00232FDF" w:rsidRDefault="00A629EF" w:rsidP="00A629EF">
      <w:pPr>
        <w:spacing w:after="0" w:line="240" w:lineRule="auto"/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</w:pPr>
    </w:p>
    <w:p w14:paraId="55D57EB9" w14:textId="77777777" w:rsidR="00A629EF" w:rsidRPr="00232FDF" w:rsidRDefault="00A629EF" w:rsidP="00A629EF">
      <w:pPr>
        <w:spacing w:after="0" w:line="240" w:lineRule="auto"/>
        <w:rPr>
          <w:rFonts w:eastAsia="Times New Roman" w:cstheme="minorHAnsi"/>
          <w:kern w:val="0"/>
          <w:sz w:val="28"/>
          <w:szCs w:val="28"/>
          <w:lang w:eastAsia="en-GB"/>
          <w14:ligatures w14:val="none"/>
        </w:rPr>
      </w:pPr>
    </w:p>
    <w:p w14:paraId="7A6B5093" w14:textId="77777777" w:rsidR="00A629EF" w:rsidRPr="00232FDF" w:rsidRDefault="00A629EF" w:rsidP="00A629EF">
      <w:pPr>
        <w:spacing w:after="0" w:line="240" w:lineRule="auto"/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GOV.UK. (2024). </w:t>
      </w:r>
      <w:r w:rsidRPr="00232FDF">
        <w:rPr>
          <w:rFonts w:cstheme="minorHAnsi"/>
          <w:i/>
          <w:iCs/>
          <w:sz w:val="28"/>
          <w:szCs w:val="28"/>
        </w:rPr>
        <w:t xml:space="preserve">Trauma informed practice: learning from experience. Available at: </w:t>
      </w:r>
      <w:r w:rsidRPr="00232FDF">
        <w:rPr>
          <w:rFonts w:cstheme="minorHAnsi"/>
          <w:sz w:val="28"/>
          <w:szCs w:val="28"/>
        </w:rPr>
        <w:t>https://www.gov.uk/government/publications/trauma-informed-practice-learning-from-experience/trauma-informed-practice-learning-from-experience-of-violence-reduction-unit-delivery-2021-to-2023-accessible (Accessed 11th November, 2025).</w:t>
      </w:r>
    </w:p>
    <w:p w14:paraId="180ED1CC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2BE57530" w14:textId="363871B6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Lauridsen, M. B., and </w:t>
      </w:r>
      <w:proofErr w:type="spellStart"/>
      <w:r w:rsidRPr="00232FDF">
        <w:rPr>
          <w:rFonts w:cstheme="minorHAnsi"/>
          <w:sz w:val="28"/>
          <w:szCs w:val="28"/>
        </w:rPr>
        <w:t>Munkejord</w:t>
      </w:r>
      <w:proofErr w:type="spellEnd"/>
      <w:r w:rsidRPr="00232FDF">
        <w:rPr>
          <w:rFonts w:cstheme="minorHAnsi"/>
          <w:sz w:val="28"/>
          <w:szCs w:val="28"/>
        </w:rPr>
        <w:t xml:space="preserve">, M. C. (2022) ‘Creating conditions for professional development through a trauma-informed and restorative practice’, </w:t>
      </w:r>
      <w:r w:rsidRPr="00232FDF">
        <w:rPr>
          <w:rFonts w:cstheme="minorHAnsi"/>
          <w:i/>
          <w:iCs/>
          <w:sz w:val="28"/>
          <w:szCs w:val="28"/>
        </w:rPr>
        <w:t>Social Work</w:t>
      </w:r>
      <w:r w:rsidRPr="00232FDF">
        <w:rPr>
          <w:rFonts w:cstheme="minorHAnsi"/>
          <w:sz w:val="28"/>
          <w:szCs w:val="28"/>
        </w:rPr>
        <w:t>, 67(2), pp. 135-144.</w:t>
      </w:r>
    </w:p>
    <w:p w14:paraId="7B13B98D" w14:textId="77777777" w:rsidR="00232FDF" w:rsidRPr="00232FDF" w:rsidRDefault="00232FDF" w:rsidP="00A629EF">
      <w:pPr>
        <w:rPr>
          <w:rFonts w:cstheme="minorHAnsi"/>
          <w:sz w:val="28"/>
          <w:szCs w:val="28"/>
        </w:rPr>
      </w:pPr>
    </w:p>
    <w:p w14:paraId="1CCD7CC5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proofErr w:type="spellStart"/>
      <w:r w:rsidRPr="00232FDF">
        <w:rPr>
          <w:rFonts w:cstheme="minorHAnsi"/>
          <w:sz w:val="28"/>
          <w:szCs w:val="28"/>
        </w:rPr>
        <w:t>Micciolo</w:t>
      </w:r>
      <w:proofErr w:type="spellEnd"/>
      <w:r w:rsidRPr="00232FDF">
        <w:rPr>
          <w:rFonts w:cstheme="minorHAnsi"/>
          <w:sz w:val="28"/>
          <w:szCs w:val="28"/>
        </w:rPr>
        <w:t xml:space="preserve">, R., Bianconi, G., Canal, L., Clerici, M., Ferla, M. T., Giugni, C., </w:t>
      </w:r>
      <w:proofErr w:type="spellStart"/>
      <w:r w:rsidRPr="00232FDF">
        <w:rPr>
          <w:rFonts w:cstheme="minorHAnsi"/>
          <w:sz w:val="28"/>
          <w:szCs w:val="28"/>
        </w:rPr>
        <w:t>Iozzino</w:t>
      </w:r>
      <w:proofErr w:type="spellEnd"/>
      <w:r w:rsidRPr="00232FDF">
        <w:rPr>
          <w:rFonts w:cstheme="minorHAnsi"/>
          <w:sz w:val="28"/>
          <w:szCs w:val="28"/>
        </w:rPr>
        <w:t xml:space="preserve">, L., </w:t>
      </w:r>
      <w:proofErr w:type="spellStart"/>
      <w:r w:rsidRPr="00232FDF">
        <w:rPr>
          <w:rFonts w:cstheme="minorHAnsi"/>
          <w:sz w:val="28"/>
          <w:szCs w:val="28"/>
        </w:rPr>
        <w:t>Sbravati</w:t>
      </w:r>
      <w:proofErr w:type="spellEnd"/>
      <w:r w:rsidRPr="00232FDF">
        <w:rPr>
          <w:rFonts w:cstheme="minorHAnsi"/>
          <w:sz w:val="28"/>
          <w:szCs w:val="28"/>
        </w:rPr>
        <w:t xml:space="preserve">, G., Tura, G. B., Vita, A., </w:t>
      </w:r>
      <w:proofErr w:type="spellStart"/>
      <w:r w:rsidRPr="00232FDF">
        <w:rPr>
          <w:rFonts w:cstheme="minorHAnsi"/>
          <w:sz w:val="28"/>
          <w:szCs w:val="28"/>
        </w:rPr>
        <w:t>Zagarese</w:t>
      </w:r>
      <w:proofErr w:type="spellEnd"/>
      <w:r w:rsidRPr="00232FDF">
        <w:rPr>
          <w:rFonts w:cstheme="minorHAnsi"/>
          <w:sz w:val="28"/>
          <w:szCs w:val="28"/>
        </w:rPr>
        <w:t xml:space="preserve">, L., de Girolamo, G., and for the Violence Risk and Mental Disorder 2 (VIORMED-2) Group (2021) ‘Young age and the risk of violent behaviour in people with severe mental disorders: prospective, multicentre study’,  </w:t>
      </w:r>
      <w:proofErr w:type="spellStart"/>
      <w:r w:rsidRPr="00232FDF">
        <w:rPr>
          <w:rFonts w:cstheme="minorHAnsi"/>
          <w:i/>
          <w:iCs/>
          <w:sz w:val="28"/>
          <w:szCs w:val="28"/>
        </w:rPr>
        <w:t>BJPsych</w:t>
      </w:r>
      <w:proofErr w:type="spellEnd"/>
      <w:r w:rsidRPr="00232FDF">
        <w:rPr>
          <w:rFonts w:cstheme="minorHAnsi"/>
          <w:i/>
          <w:iCs/>
          <w:sz w:val="28"/>
          <w:szCs w:val="28"/>
        </w:rPr>
        <w:t xml:space="preserve"> Open</w:t>
      </w:r>
      <w:r w:rsidRPr="00232FDF">
        <w:rPr>
          <w:rFonts w:cstheme="minorHAnsi"/>
          <w:sz w:val="28"/>
          <w:szCs w:val="28"/>
        </w:rPr>
        <w:t>, 8(1), pp. 22-28.</w:t>
      </w:r>
    </w:p>
    <w:p w14:paraId="12384C3D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14D17C41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lastRenderedPageBreak/>
        <w:t xml:space="preserve">Mays, B. A. (2024) </w:t>
      </w:r>
      <w:r w:rsidRPr="00232FDF">
        <w:rPr>
          <w:rFonts w:cstheme="minorHAnsi"/>
          <w:i/>
          <w:iCs/>
          <w:sz w:val="28"/>
          <w:szCs w:val="28"/>
        </w:rPr>
        <w:t>Overview of Trauma-Informed Principles for Fostering Interpersonal Community with a Focus on Innovation of Acute Adult Inpatient Psychiatric Units</w:t>
      </w:r>
      <w:r w:rsidRPr="00232FDF">
        <w:rPr>
          <w:rFonts w:cstheme="minorHAnsi"/>
          <w:sz w:val="28"/>
          <w:szCs w:val="28"/>
        </w:rPr>
        <w:t>. 1</w:t>
      </w:r>
      <w:r w:rsidRPr="00232FDF">
        <w:rPr>
          <w:rFonts w:cstheme="minorHAnsi"/>
          <w:sz w:val="28"/>
          <w:szCs w:val="28"/>
          <w:vertAlign w:val="superscript"/>
        </w:rPr>
        <w:t>st</w:t>
      </w:r>
      <w:r w:rsidRPr="00232FDF">
        <w:rPr>
          <w:rFonts w:cstheme="minorHAnsi"/>
          <w:sz w:val="28"/>
          <w:szCs w:val="28"/>
        </w:rPr>
        <w:t xml:space="preserve"> </w:t>
      </w:r>
      <w:proofErr w:type="spellStart"/>
      <w:r w:rsidRPr="00232FDF">
        <w:rPr>
          <w:rFonts w:cstheme="minorHAnsi"/>
          <w:sz w:val="28"/>
          <w:szCs w:val="28"/>
        </w:rPr>
        <w:t>edn</w:t>
      </w:r>
      <w:proofErr w:type="spellEnd"/>
      <w:r w:rsidRPr="00232FDF">
        <w:rPr>
          <w:rFonts w:cstheme="minorHAnsi"/>
          <w:sz w:val="28"/>
          <w:szCs w:val="28"/>
        </w:rPr>
        <w:t>, Temple University.</w:t>
      </w:r>
    </w:p>
    <w:p w14:paraId="43989704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4FE64048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>Peper, E., Harvey, R., Cuellar, Y., and Membrila, C. (2022)’ Reduce anxiety’, </w:t>
      </w:r>
      <w:proofErr w:type="spellStart"/>
      <w:r w:rsidRPr="00232FDF">
        <w:rPr>
          <w:rFonts w:cstheme="minorHAnsi"/>
          <w:i/>
          <w:iCs/>
          <w:sz w:val="28"/>
          <w:szCs w:val="28"/>
        </w:rPr>
        <w:t>Neuroregulation</w:t>
      </w:r>
      <w:proofErr w:type="spellEnd"/>
      <w:r w:rsidRPr="00232FDF">
        <w:rPr>
          <w:rFonts w:cstheme="minorHAnsi"/>
          <w:sz w:val="28"/>
          <w:szCs w:val="28"/>
        </w:rPr>
        <w:t>, 9(2), pp. 91-91.</w:t>
      </w:r>
    </w:p>
    <w:p w14:paraId="4F3CDD1A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6CFB0B34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Panuccio, A., Biondo, D., Picerni, E., Genovesi, B., and </w:t>
      </w:r>
      <w:proofErr w:type="spellStart"/>
      <w:r w:rsidRPr="00232FDF">
        <w:rPr>
          <w:rFonts w:cstheme="minorHAnsi"/>
          <w:sz w:val="28"/>
          <w:szCs w:val="28"/>
        </w:rPr>
        <w:t>Laricchiuta</w:t>
      </w:r>
      <w:proofErr w:type="spellEnd"/>
      <w:r w:rsidRPr="00232FDF">
        <w:rPr>
          <w:rFonts w:cstheme="minorHAnsi"/>
          <w:sz w:val="28"/>
          <w:szCs w:val="28"/>
        </w:rPr>
        <w:t xml:space="preserve">, D. (2022) ‘Trauma-related internalizing and externalizing </w:t>
      </w:r>
      <w:proofErr w:type="spellStart"/>
      <w:r w:rsidRPr="00232FDF">
        <w:rPr>
          <w:rFonts w:cstheme="minorHAnsi"/>
          <w:sz w:val="28"/>
          <w:szCs w:val="28"/>
        </w:rPr>
        <w:t>behaviors</w:t>
      </w:r>
      <w:proofErr w:type="spellEnd"/>
      <w:r w:rsidRPr="00232FDF">
        <w:rPr>
          <w:rFonts w:cstheme="minorHAnsi"/>
          <w:sz w:val="28"/>
          <w:szCs w:val="28"/>
        </w:rPr>
        <w:t xml:space="preserve"> in adolescence: a bridge between psychoanalysis and neuroscience’, </w:t>
      </w:r>
      <w:r w:rsidRPr="00232FDF">
        <w:rPr>
          <w:rFonts w:cstheme="minorHAnsi"/>
          <w:i/>
          <w:iCs/>
          <w:sz w:val="28"/>
          <w:szCs w:val="28"/>
        </w:rPr>
        <w:t>Adolescents</w:t>
      </w:r>
      <w:r w:rsidRPr="00232FDF">
        <w:rPr>
          <w:rFonts w:cstheme="minorHAnsi"/>
          <w:sz w:val="28"/>
          <w:szCs w:val="28"/>
        </w:rPr>
        <w:t>, 2(4), pp. 413-423.</w:t>
      </w:r>
    </w:p>
    <w:p w14:paraId="75E9C525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565B84E1" w14:textId="3EC24CD6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Pfluger, V., Rohner, S. L., Eising, C. M., </w:t>
      </w:r>
      <w:proofErr w:type="spellStart"/>
      <w:r w:rsidRPr="00232FDF">
        <w:rPr>
          <w:rFonts w:cstheme="minorHAnsi"/>
          <w:sz w:val="28"/>
          <w:szCs w:val="28"/>
        </w:rPr>
        <w:t>Maercker</w:t>
      </w:r>
      <w:proofErr w:type="spellEnd"/>
      <w:r w:rsidRPr="00232FDF">
        <w:rPr>
          <w:rFonts w:cstheme="minorHAnsi"/>
          <w:sz w:val="28"/>
          <w:szCs w:val="28"/>
        </w:rPr>
        <w:t xml:space="preserve">, A., and </w:t>
      </w:r>
      <w:proofErr w:type="spellStart"/>
      <w:r w:rsidRPr="00232FDF">
        <w:rPr>
          <w:rFonts w:cstheme="minorHAnsi"/>
          <w:sz w:val="28"/>
          <w:szCs w:val="28"/>
        </w:rPr>
        <w:t>Thoma</w:t>
      </w:r>
      <w:proofErr w:type="spellEnd"/>
      <w:r w:rsidRPr="00232FDF">
        <w:rPr>
          <w:rFonts w:cstheme="minorHAnsi"/>
          <w:sz w:val="28"/>
          <w:szCs w:val="28"/>
        </w:rPr>
        <w:t xml:space="preserve">, M. V. (2021) ‘Associations Between Complex Trauma Exposure in Childhood/Adolescence and Psychopathology in Older Age: The Role of Stress Coping and Coping Self-Perception’, </w:t>
      </w:r>
      <w:r w:rsidRPr="00232FDF">
        <w:rPr>
          <w:rFonts w:cstheme="minorHAnsi"/>
          <w:i/>
          <w:iCs/>
          <w:sz w:val="28"/>
          <w:szCs w:val="28"/>
        </w:rPr>
        <w:t>Journal of Child &amp; Adolescent Trauma</w:t>
      </w:r>
      <w:r w:rsidRPr="00232FDF">
        <w:rPr>
          <w:rFonts w:cstheme="minorHAnsi"/>
          <w:sz w:val="28"/>
          <w:szCs w:val="28"/>
        </w:rPr>
        <w:t xml:space="preserve">, 15(3), 539-542. </w:t>
      </w:r>
    </w:p>
    <w:p w14:paraId="10058A73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3F9D2808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>Quarmby, T., Sandford, R., Green, R., Hooper, O., and Avery, J. (2022) ‘Developing evidence-informed principles for trauma-aware pedagogies in physical education’, </w:t>
      </w:r>
      <w:r w:rsidRPr="00232FDF">
        <w:rPr>
          <w:rFonts w:cstheme="minorHAnsi"/>
          <w:i/>
          <w:iCs/>
          <w:sz w:val="28"/>
          <w:szCs w:val="28"/>
        </w:rPr>
        <w:t>Physical Education and Sport Pedagogy</w:t>
      </w:r>
      <w:r w:rsidRPr="00232FDF">
        <w:rPr>
          <w:rFonts w:cstheme="minorHAnsi"/>
          <w:sz w:val="28"/>
          <w:szCs w:val="28"/>
        </w:rPr>
        <w:t>, 27(4), pp. 440-454.</w:t>
      </w:r>
    </w:p>
    <w:p w14:paraId="0B1594F9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5600D4AB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Saunders, K. R., McGuinness, E., Barnett, P., Foye, U., Sears, J., Carlisle, S., and Trevillion, K. (2023) ‘A scoping review of trauma-informed approaches in acute, crisis, emergency, and residential mental health care’, </w:t>
      </w:r>
      <w:r w:rsidRPr="00232FDF">
        <w:rPr>
          <w:rFonts w:cstheme="minorHAnsi"/>
          <w:i/>
          <w:iCs/>
          <w:sz w:val="28"/>
          <w:szCs w:val="28"/>
        </w:rPr>
        <w:t>BMC psychiatry</w:t>
      </w:r>
      <w:r w:rsidRPr="00232FDF">
        <w:rPr>
          <w:rFonts w:cstheme="minorHAnsi"/>
          <w:sz w:val="28"/>
          <w:szCs w:val="28"/>
        </w:rPr>
        <w:t>, 23(1), pp. 567-569.</w:t>
      </w:r>
    </w:p>
    <w:p w14:paraId="78EB9782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01204BF1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 xml:space="preserve">Stephenson, E., and Yost, H. (2023) ‘Exploring the Effectiveness and Sustainability of Trust-Based Relational Intervention (TBRI®) as a Trauma-informed Approach in Two Tasmanian Child and Family Learning Centres’, </w:t>
      </w:r>
      <w:r w:rsidRPr="00232FDF">
        <w:rPr>
          <w:rFonts w:cstheme="minorHAnsi"/>
          <w:i/>
          <w:iCs/>
          <w:sz w:val="28"/>
          <w:szCs w:val="28"/>
        </w:rPr>
        <w:t>Journal of Child &amp; Adolescent Trauma</w:t>
      </w:r>
      <w:r w:rsidRPr="00232FDF">
        <w:rPr>
          <w:rFonts w:cstheme="minorHAnsi"/>
          <w:sz w:val="28"/>
          <w:szCs w:val="28"/>
        </w:rPr>
        <w:t xml:space="preserve">, 17(2), pp. 467. </w:t>
      </w:r>
    </w:p>
    <w:p w14:paraId="6B9A966B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248974B8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proofErr w:type="spellStart"/>
      <w:r w:rsidRPr="00232FDF">
        <w:rPr>
          <w:rFonts w:cstheme="minorHAnsi"/>
          <w:sz w:val="28"/>
          <w:szCs w:val="28"/>
        </w:rPr>
        <w:t>Ulianova</w:t>
      </w:r>
      <w:proofErr w:type="spellEnd"/>
      <w:r w:rsidRPr="00232FDF">
        <w:rPr>
          <w:rFonts w:cstheme="minorHAnsi"/>
          <w:sz w:val="28"/>
          <w:szCs w:val="28"/>
        </w:rPr>
        <w:t xml:space="preserve">, T., Naumenko, N., </w:t>
      </w:r>
      <w:proofErr w:type="spellStart"/>
      <w:r w:rsidRPr="00232FDF">
        <w:rPr>
          <w:rFonts w:cstheme="minorHAnsi"/>
          <w:sz w:val="28"/>
          <w:szCs w:val="28"/>
        </w:rPr>
        <w:t>Sprynska</w:t>
      </w:r>
      <w:proofErr w:type="spellEnd"/>
      <w:r w:rsidRPr="00232FDF">
        <w:rPr>
          <w:rFonts w:cstheme="minorHAnsi"/>
          <w:sz w:val="28"/>
          <w:szCs w:val="28"/>
        </w:rPr>
        <w:t xml:space="preserve">, Z., </w:t>
      </w:r>
      <w:proofErr w:type="spellStart"/>
      <w:r w:rsidRPr="00232FDF">
        <w:rPr>
          <w:rFonts w:cstheme="minorHAnsi"/>
          <w:sz w:val="28"/>
          <w:szCs w:val="28"/>
        </w:rPr>
        <w:t>Kulesha-Liubinets</w:t>
      </w:r>
      <w:proofErr w:type="spellEnd"/>
      <w:r w:rsidRPr="00232FDF">
        <w:rPr>
          <w:rFonts w:cstheme="minorHAnsi"/>
          <w:sz w:val="28"/>
          <w:szCs w:val="28"/>
        </w:rPr>
        <w:t xml:space="preserve">, M., Didyk, N., and Savchenko, N. (2025) ‘Enhancing Psychological Safety in Parent-Child Relationships: Promoting Healthy Development and Resilience. BRAIN’, </w:t>
      </w:r>
      <w:r w:rsidRPr="00232FDF">
        <w:rPr>
          <w:rFonts w:cstheme="minorHAnsi"/>
          <w:i/>
          <w:iCs/>
          <w:sz w:val="28"/>
          <w:szCs w:val="28"/>
        </w:rPr>
        <w:t xml:space="preserve">Broad Research in Artificial Intelligence and Neuroscience, </w:t>
      </w:r>
      <w:r w:rsidRPr="00232FDF">
        <w:rPr>
          <w:rFonts w:cstheme="minorHAnsi"/>
          <w:sz w:val="28"/>
          <w:szCs w:val="28"/>
        </w:rPr>
        <w:t>16(1), pp. 174-182.</w:t>
      </w:r>
    </w:p>
    <w:p w14:paraId="484F7569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</w:p>
    <w:p w14:paraId="2B580A52" w14:textId="77777777" w:rsidR="00A629EF" w:rsidRPr="00232FDF" w:rsidRDefault="00A629EF" w:rsidP="00A629EF">
      <w:pPr>
        <w:rPr>
          <w:rFonts w:cstheme="minorHAnsi"/>
          <w:sz w:val="28"/>
          <w:szCs w:val="28"/>
        </w:rPr>
      </w:pPr>
      <w:r w:rsidRPr="00232FDF">
        <w:rPr>
          <w:rFonts w:cstheme="minorHAnsi"/>
          <w:sz w:val="28"/>
          <w:szCs w:val="28"/>
        </w:rPr>
        <w:t>Wilson-Ching, M., and Berger, E. (2024) ‘Relationship building strategies within trauma informed frameworks in educational settings: a systematic literature review’, </w:t>
      </w:r>
      <w:r w:rsidRPr="00232FDF">
        <w:rPr>
          <w:rFonts w:cstheme="minorHAnsi"/>
          <w:i/>
          <w:iCs/>
          <w:sz w:val="28"/>
          <w:szCs w:val="28"/>
        </w:rPr>
        <w:t>Current Psychology</w:t>
      </w:r>
      <w:r w:rsidRPr="00232FDF">
        <w:rPr>
          <w:rFonts w:cstheme="minorHAnsi"/>
          <w:sz w:val="28"/>
          <w:szCs w:val="28"/>
        </w:rPr>
        <w:t>, 43(4), pp. 3464-3485.</w:t>
      </w:r>
    </w:p>
    <w:p w14:paraId="5824CDDC" w14:textId="77777777" w:rsidR="00A629EF" w:rsidRDefault="00A629EF" w:rsidP="00C51F46"/>
    <w:p w14:paraId="00AE0FC9" w14:textId="77777777" w:rsidR="00C51F46" w:rsidRDefault="00C51F46"/>
    <w:sectPr w:rsidR="00C51F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1F46"/>
    <w:rsid w:val="0008790D"/>
    <w:rsid w:val="001C2CB5"/>
    <w:rsid w:val="00232FDF"/>
    <w:rsid w:val="002D003C"/>
    <w:rsid w:val="0054316C"/>
    <w:rsid w:val="005F5537"/>
    <w:rsid w:val="00607C7E"/>
    <w:rsid w:val="00772092"/>
    <w:rsid w:val="00A629EF"/>
    <w:rsid w:val="00C51F46"/>
    <w:rsid w:val="00C53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E1AD38"/>
  <w15:chartTrackingRefBased/>
  <w15:docId w15:val="{5E2D15D2-1797-43B8-BC36-4EF58FA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1F46"/>
  </w:style>
  <w:style w:type="paragraph" w:styleId="Heading1">
    <w:name w:val="heading 1"/>
    <w:basedOn w:val="Normal"/>
    <w:next w:val="Normal"/>
    <w:link w:val="Heading1Char"/>
    <w:uiPriority w:val="9"/>
    <w:qFormat/>
    <w:rsid w:val="00C51F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1F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1F4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1F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1F4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1F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1F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1F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1F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1F4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1F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1F4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1F4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1F4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1F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1F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1F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1F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1F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1F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1F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1F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1F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1F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1F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1F4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1F4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1F4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1F4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558</Words>
  <Characters>3187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Klepczarek</dc:creator>
  <cp:keywords/>
  <dc:description/>
  <cp:lastModifiedBy>Anna Klepczarek</cp:lastModifiedBy>
  <cp:revision>6</cp:revision>
  <dcterms:created xsi:type="dcterms:W3CDTF">2025-11-13T01:29:00Z</dcterms:created>
  <dcterms:modified xsi:type="dcterms:W3CDTF">2025-12-11T19:31:00Z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4a907f4e-3356-4c63-96e1-d68072ade997</vt:lpwstr>
  </property>
</Properties>
</file>