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2B690" w14:textId="5A740031" w:rsidR="00FA3336" w:rsidRDefault="00FA3336" w:rsidP="00922708">
      <w:pPr>
        <w:spacing w:line="360" w:lineRule="auto"/>
        <w:rPr>
          <w:rFonts w:ascii="Arial" w:hAnsi="Arial" w:cs="Arial"/>
          <w:b/>
          <w:bCs/>
          <w:u w:val="single"/>
        </w:rPr>
      </w:pPr>
      <w:r>
        <w:rPr>
          <w:noProof/>
        </w:rPr>
        <w:drawing>
          <wp:inline distT="0" distB="0" distL="0" distR="0" wp14:anchorId="2F3849EB" wp14:editId="1D78885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4FB20D7" w14:textId="6FD5F221" w:rsidR="00FA3336" w:rsidRPr="00FA3336" w:rsidRDefault="00FA3336" w:rsidP="00922708">
      <w:pPr>
        <w:spacing w:line="360" w:lineRule="auto"/>
        <w:rPr>
          <w:rFonts w:ascii="Arial" w:hAnsi="Arial" w:cs="Arial"/>
          <w:b/>
          <w:bCs/>
        </w:rPr>
      </w:pPr>
      <w:r w:rsidRPr="00FA3336">
        <w:rPr>
          <w:rFonts w:ascii="Arial" w:hAnsi="Arial" w:cs="Arial"/>
          <w:b/>
          <w:bCs/>
        </w:rPr>
        <w:t>Master of Business Administration</w:t>
      </w:r>
    </w:p>
    <w:p w14:paraId="7FFF8731" w14:textId="581D1478" w:rsidR="00FA3336" w:rsidRPr="00FA3336" w:rsidRDefault="00FA3336" w:rsidP="00922708">
      <w:pPr>
        <w:spacing w:line="360" w:lineRule="auto"/>
        <w:rPr>
          <w:rFonts w:ascii="Arial" w:hAnsi="Arial" w:cs="Arial"/>
          <w:b/>
          <w:bCs/>
        </w:rPr>
      </w:pPr>
      <w:r w:rsidRPr="00FA3336">
        <w:rPr>
          <w:rFonts w:ascii="Arial" w:hAnsi="Arial" w:cs="Arial"/>
          <w:b/>
          <w:bCs/>
        </w:rPr>
        <w:t>Human Capital Management — LCMB7023</w:t>
      </w:r>
    </w:p>
    <w:p w14:paraId="1BC3E648" w14:textId="1441EDB1" w:rsidR="00FA3336" w:rsidRPr="00FA3336" w:rsidRDefault="00FA3336" w:rsidP="00922708">
      <w:pPr>
        <w:spacing w:line="360" w:lineRule="auto"/>
        <w:rPr>
          <w:rFonts w:ascii="Arial" w:hAnsi="Arial" w:cs="Arial"/>
          <w:b/>
          <w:bCs/>
        </w:rPr>
      </w:pPr>
      <w:r w:rsidRPr="00FA3336">
        <w:rPr>
          <w:rFonts w:ascii="Arial" w:hAnsi="Arial" w:cs="Arial"/>
          <w:b/>
          <w:bCs/>
        </w:rPr>
        <w:t>Assessment component 1: Individual report</w:t>
      </w:r>
    </w:p>
    <w:p w14:paraId="22B11374" w14:textId="0D3E6E45" w:rsidR="00FA3336" w:rsidRPr="00FA3336" w:rsidRDefault="00FA3336" w:rsidP="00922708">
      <w:pPr>
        <w:spacing w:line="360" w:lineRule="auto"/>
        <w:rPr>
          <w:rFonts w:ascii="Arial" w:hAnsi="Arial" w:cs="Arial"/>
          <w:b/>
          <w:bCs/>
        </w:rPr>
      </w:pPr>
      <w:r w:rsidRPr="00FA3336">
        <w:rPr>
          <w:rFonts w:ascii="Arial" w:hAnsi="Arial" w:cs="Arial"/>
          <w:b/>
          <w:bCs/>
        </w:rPr>
        <w:t xml:space="preserve">Lecturers name: </w:t>
      </w:r>
      <w:r w:rsidRPr="00FA3336">
        <w:rPr>
          <w:rFonts w:ascii="Arial" w:hAnsi="Arial" w:cs="Arial"/>
          <w:b/>
          <w:bCs/>
        </w:rPr>
        <w:t>Eno Maycock</w:t>
      </w:r>
    </w:p>
    <w:p w14:paraId="56258090" w14:textId="52CB9090" w:rsidR="00FA3336" w:rsidRPr="00FA3336" w:rsidRDefault="00FA3336" w:rsidP="00922708">
      <w:pPr>
        <w:spacing w:line="360" w:lineRule="auto"/>
        <w:rPr>
          <w:rFonts w:ascii="Arial" w:hAnsi="Arial" w:cs="Arial"/>
          <w:b/>
          <w:bCs/>
        </w:rPr>
      </w:pPr>
      <w:r w:rsidRPr="00FA3336">
        <w:rPr>
          <w:rFonts w:ascii="Arial" w:hAnsi="Arial" w:cs="Arial"/>
          <w:b/>
          <w:bCs/>
        </w:rPr>
        <w:t>Juwayriyah Bibi-2315837</w:t>
      </w:r>
    </w:p>
    <w:p w14:paraId="6D05C85D" w14:textId="10EBC6D7" w:rsidR="00FA3336" w:rsidRPr="00FA3336" w:rsidRDefault="00FA3336" w:rsidP="00922708">
      <w:pPr>
        <w:spacing w:line="360" w:lineRule="auto"/>
        <w:rPr>
          <w:rFonts w:ascii="Arial" w:hAnsi="Arial" w:cs="Arial"/>
          <w:b/>
          <w:bCs/>
        </w:rPr>
      </w:pPr>
      <w:r w:rsidRPr="00FA3336">
        <w:rPr>
          <w:rFonts w:ascii="Arial" w:hAnsi="Arial" w:cs="Arial"/>
          <w:b/>
          <w:bCs/>
        </w:rPr>
        <w:t>Word count: 2</w:t>
      </w:r>
      <w:r w:rsidR="00D03CF3">
        <w:rPr>
          <w:rFonts w:ascii="Arial" w:hAnsi="Arial" w:cs="Arial"/>
          <w:b/>
          <w:bCs/>
        </w:rPr>
        <w:t>6</w:t>
      </w:r>
      <w:r w:rsidR="00364E74">
        <w:rPr>
          <w:rFonts w:ascii="Arial" w:hAnsi="Arial" w:cs="Arial"/>
          <w:b/>
          <w:bCs/>
        </w:rPr>
        <w:t>47</w:t>
      </w:r>
      <w:r w:rsidRPr="00FA3336">
        <w:rPr>
          <w:rFonts w:ascii="Arial" w:hAnsi="Arial" w:cs="Arial"/>
          <w:b/>
          <w:bCs/>
        </w:rPr>
        <w:t xml:space="preserve"> (excluding reference list)</w:t>
      </w:r>
      <w:r w:rsidR="00FA4BBA">
        <w:rPr>
          <w:rFonts w:ascii="Arial" w:hAnsi="Arial" w:cs="Arial"/>
          <w:b/>
          <w:bCs/>
        </w:rPr>
        <w:t xml:space="preserve"> </w:t>
      </w:r>
    </w:p>
    <w:p w14:paraId="0F9F0130" w14:textId="68E4968C" w:rsidR="00FA3336" w:rsidRPr="00FA3336" w:rsidRDefault="00FA3336" w:rsidP="00922708">
      <w:pPr>
        <w:spacing w:line="360" w:lineRule="auto"/>
        <w:rPr>
          <w:rFonts w:ascii="Arial" w:hAnsi="Arial" w:cs="Arial"/>
          <w:b/>
          <w:bCs/>
        </w:rPr>
      </w:pPr>
      <w:r w:rsidRPr="00FA3336">
        <w:rPr>
          <w:rFonts w:ascii="Arial" w:hAnsi="Arial" w:cs="Arial"/>
          <w:b/>
          <w:bCs/>
        </w:rPr>
        <w:t xml:space="preserve">Submission date: 15/10/26 </w:t>
      </w:r>
    </w:p>
    <w:p w14:paraId="4C88B7A9" w14:textId="77777777" w:rsidR="00FA3336" w:rsidRDefault="00FA3336" w:rsidP="00922708">
      <w:pPr>
        <w:spacing w:line="360" w:lineRule="auto"/>
        <w:rPr>
          <w:rFonts w:ascii="Arial" w:hAnsi="Arial" w:cs="Arial"/>
          <w:b/>
          <w:bCs/>
          <w:u w:val="single"/>
        </w:rPr>
      </w:pPr>
    </w:p>
    <w:p w14:paraId="33F7C1BE" w14:textId="77777777" w:rsidR="00FA3336" w:rsidRDefault="00FA3336" w:rsidP="00922708">
      <w:pPr>
        <w:spacing w:line="360" w:lineRule="auto"/>
        <w:rPr>
          <w:rFonts w:ascii="Arial" w:hAnsi="Arial" w:cs="Arial"/>
          <w:b/>
          <w:bCs/>
          <w:u w:val="single"/>
        </w:rPr>
      </w:pPr>
    </w:p>
    <w:p w14:paraId="31AFF689" w14:textId="77777777" w:rsidR="00FA3336" w:rsidRDefault="00FA3336" w:rsidP="00922708">
      <w:pPr>
        <w:spacing w:line="360" w:lineRule="auto"/>
        <w:rPr>
          <w:rFonts w:ascii="Arial" w:hAnsi="Arial" w:cs="Arial"/>
          <w:b/>
          <w:bCs/>
          <w:u w:val="single"/>
        </w:rPr>
      </w:pPr>
    </w:p>
    <w:p w14:paraId="610BCE5C" w14:textId="77777777" w:rsidR="00FA3336" w:rsidRDefault="00FA3336" w:rsidP="00922708">
      <w:pPr>
        <w:spacing w:line="360" w:lineRule="auto"/>
        <w:rPr>
          <w:rFonts w:ascii="Arial" w:hAnsi="Arial" w:cs="Arial"/>
          <w:b/>
          <w:bCs/>
          <w:u w:val="single"/>
        </w:rPr>
      </w:pPr>
    </w:p>
    <w:p w14:paraId="0464C49A" w14:textId="77777777" w:rsidR="00FA3336" w:rsidRDefault="00FA3336" w:rsidP="00922708">
      <w:pPr>
        <w:spacing w:line="360" w:lineRule="auto"/>
        <w:rPr>
          <w:rFonts w:ascii="Arial" w:hAnsi="Arial" w:cs="Arial"/>
          <w:b/>
          <w:bCs/>
          <w:u w:val="single"/>
        </w:rPr>
      </w:pPr>
    </w:p>
    <w:p w14:paraId="589B0560" w14:textId="77777777" w:rsidR="00FA3336" w:rsidRDefault="00FA3336" w:rsidP="00922708">
      <w:pPr>
        <w:spacing w:line="360" w:lineRule="auto"/>
        <w:rPr>
          <w:rFonts w:ascii="Arial" w:hAnsi="Arial" w:cs="Arial"/>
          <w:b/>
          <w:bCs/>
          <w:u w:val="single"/>
        </w:rPr>
      </w:pPr>
    </w:p>
    <w:p w14:paraId="3D54830D" w14:textId="77777777" w:rsidR="00FA3336" w:rsidRDefault="00FA3336" w:rsidP="00922708">
      <w:pPr>
        <w:spacing w:line="360" w:lineRule="auto"/>
        <w:rPr>
          <w:rFonts w:ascii="Arial" w:hAnsi="Arial" w:cs="Arial"/>
          <w:b/>
          <w:bCs/>
          <w:u w:val="single"/>
        </w:rPr>
      </w:pPr>
    </w:p>
    <w:p w14:paraId="6A1EA585" w14:textId="77777777" w:rsidR="00FA3336" w:rsidRDefault="00FA3336" w:rsidP="00922708">
      <w:pPr>
        <w:spacing w:line="360" w:lineRule="auto"/>
        <w:rPr>
          <w:rFonts w:ascii="Arial" w:hAnsi="Arial" w:cs="Arial"/>
          <w:b/>
          <w:bCs/>
          <w:u w:val="single"/>
        </w:rPr>
      </w:pPr>
    </w:p>
    <w:p w14:paraId="60FF0007" w14:textId="77777777" w:rsidR="00FA3336" w:rsidRDefault="00FA3336" w:rsidP="00922708">
      <w:pPr>
        <w:spacing w:line="360" w:lineRule="auto"/>
        <w:rPr>
          <w:rFonts w:ascii="Arial" w:hAnsi="Arial" w:cs="Arial"/>
          <w:b/>
          <w:bCs/>
          <w:u w:val="single"/>
        </w:rPr>
      </w:pPr>
    </w:p>
    <w:p w14:paraId="6E7CA17D" w14:textId="77777777" w:rsidR="00FA3336" w:rsidRDefault="00FA3336" w:rsidP="00922708">
      <w:pPr>
        <w:spacing w:line="360" w:lineRule="auto"/>
        <w:rPr>
          <w:rFonts w:ascii="Arial" w:hAnsi="Arial" w:cs="Arial"/>
          <w:b/>
          <w:bCs/>
          <w:u w:val="single"/>
        </w:rPr>
      </w:pPr>
    </w:p>
    <w:p w14:paraId="0CEB335F" w14:textId="77777777" w:rsidR="00FA3336" w:rsidRDefault="00FA3336" w:rsidP="00922708">
      <w:pPr>
        <w:spacing w:line="360" w:lineRule="auto"/>
        <w:rPr>
          <w:rFonts w:ascii="Arial" w:hAnsi="Arial" w:cs="Arial"/>
          <w:b/>
          <w:bCs/>
          <w:u w:val="single"/>
        </w:rPr>
      </w:pPr>
    </w:p>
    <w:p w14:paraId="4B9C2480" w14:textId="77777777" w:rsidR="00FA3336" w:rsidRDefault="00FA3336" w:rsidP="00922708">
      <w:pPr>
        <w:spacing w:line="360" w:lineRule="auto"/>
        <w:rPr>
          <w:rFonts w:ascii="Arial" w:hAnsi="Arial" w:cs="Arial"/>
          <w:b/>
          <w:bCs/>
          <w:u w:val="single"/>
        </w:rPr>
      </w:pPr>
    </w:p>
    <w:p w14:paraId="39D94798" w14:textId="77777777" w:rsidR="00FA3336" w:rsidRDefault="00FA3336" w:rsidP="00922708">
      <w:pPr>
        <w:spacing w:line="360" w:lineRule="auto"/>
        <w:rPr>
          <w:rFonts w:ascii="Arial" w:hAnsi="Arial" w:cs="Arial"/>
          <w:b/>
          <w:bCs/>
          <w:u w:val="single"/>
        </w:rPr>
      </w:pPr>
    </w:p>
    <w:p w14:paraId="0D0482FB" w14:textId="77777777" w:rsidR="00FA3336" w:rsidRDefault="00FA3336" w:rsidP="00922708">
      <w:pPr>
        <w:spacing w:line="360" w:lineRule="auto"/>
        <w:rPr>
          <w:rFonts w:ascii="Arial" w:hAnsi="Arial" w:cs="Arial"/>
          <w:b/>
          <w:bCs/>
          <w:u w:val="single"/>
        </w:rPr>
      </w:pPr>
    </w:p>
    <w:p w14:paraId="3636E33E" w14:textId="77777777" w:rsidR="00FA3336" w:rsidRDefault="00FA3336" w:rsidP="00922708">
      <w:pPr>
        <w:spacing w:line="360" w:lineRule="auto"/>
        <w:rPr>
          <w:rFonts w:ascii="Arial" w:hAnsi="Arial" w:cs="Arial"/>
          <w:b/>
          <w:bCs/>
          <w:u w:val="single"/>
        </w:rPr>
      </w:pPr>
    </w:p>
    <w:sdt>
      <w:sdtPr>
        <w:id w:val="211084286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C4D8ED2" w14:textId="0035143F" w:rsidR="00FA3336" w:rsidRDefault="00FA3336" w:rsidP="00922708">
          <w:pPr>
            <w:pStyle w:val="TOCHeading"/>
            <w:spacing w:line="360" w:lineRule="auto"/>
          </w:pPr>
          <w:r>
            <w:t>Contents</w:t>
          </w:r>
        </w:p>
        <w:p w14:paraId="75079A57" w14:textId="3F1B2653" w:rsidR="008C51C4" w:rsidRDefault="00FA333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2908592" w:history="1">
            <w:r w:rsidR="008C51C4" w:rsidRPr="00E76828">
              <w:rPr>
                <w:rStyle w:val="Hyperlink"/>
                <w:noProof/>
              </w:rPr>
              <w:t>A1. Traditional work practices versus contemporary innovative working practices and their suitability for NexSpace</w:t>
            </w:r>
            <w:r w:rsidR="008C51C4">
              <w:rPr>
                <w:noProof/>
                <w:webHidden/>
              </w:rPr>
              <w:tab/>
            </w:r>
            <w:r w:rsidR="008C51C4">
              <w:rPr>
                <w:noProof/>
                <w:webHidden/>
              </w:rPr>
              <w:fldChar w:fldCharType="begin"/>
            </w:r>
            <w:r w:rsidR="008C51C4">
              <w:rPr>
                <w:noProof/>
                <w:webHidden/>
              </w:rPr>
              <w:instrText xml:space="preserve"> PAGEREF _Toc242908592 \h </w:instrText>
            </w:r>
            <w:r w:rsidR="008C51C4">
              <w:rPr>
                <w:noProof/>
                <w:webHidden/>
              </w:rPr>
            </w:r>
            <w:r w:rsidR="008C51C4">
              <w:rPr>
                <w:noProof/>
                <w:webHidden/>
              </w:rPr>
              <w:fldChar w:fldCharType="separate"/>
            </w:r>
            <w:r w:rsidR="008C51C4">
              <w:rPr>
                <w:noProof/>
                <w:webHidden/>
              </w:rPr>
              <w:t>3</w:t>
            </w:r>
            <w:r w:rsidR="008C51C4">
              <w:rPr>
                <w:noProof/>
                <w:webHidden/>
              </w:rPr>
              <w:fldChar w:fldCharType="end"/>
            </w:r>
          </w:hyperlink>
        </w:p>
        <w:p w14:paraId="3FB8F178" w14:textId="223603E0" w:rsidR="008C51C4" w:rsidRDefault="008C51C4">
          <w:pPr>
            <w:pStyle w:val="TOC2"/>
            <w:tabs>
              <w:tab w:val="right" w:leader="dot" w:pos="9016"/>
            </w:tabs>
            <w:rPr>
              <w:rFonts w:eastAsiaTheme="minorEastAsia"/>
              <w:noProof/>
              <w:lang w:eastAsia="en-GB"/>
            </w:rPr>
          </w:pPr>
          <w:hyperlink w:anchor="_Toc242908593" w:history="1">
            <w:r w:rsidRPr="00E76828">
              <w:rPr>
                <w:rStyle w:val="Hyperlink"/>
                <w:noProof/>
              </w:rPr>
              <w:t>A2. Recommendations for NexSpace: Digital collaboration</w:t>
            </w:r>
            <w:r>
              <w:rPr>
                <w:noProof/>
                <w:webHidden/>
              </w:rPr>
              <w:tab/>
            </w:r>
            <w:r>
              <w:rPr>
                <w:noProof/>
                <w:webHidden/>
              </w:rPr>
              <w:fldChar w:fldCharType="begin"/>
            </w:r>
            <w:r>
              <w:rPr>
                <w:noProof/>
                <w:webHidden/>
              </w:rPr>
              <w:instrText xml:space="preserve"> PAGEREF _Toc242908593 \h </w:instrText>
            </w:r>
            <w:r>
              <w:rPr>
                <w:noProof/>
                <w:webHidden/>
              </w:rPr>
            </w:r>
            <w:r>
              <w:rPr>
                <w:noProof/>
                <w:webHidden/>
              </w:rPr>
              <w:fldChar w:fldCharType="separate"/>
            </w:r>
            <w:r>
              <w:rPr>
                <w:noProof/>
                <w:webHidden/>
              </w:rPr>
              <w:t>6</w:t>
            </w:r>
            <w:r>
              <w:rPr>
                <w:noProof/>
                <w:webHidden/>
              </w:rPr>
              <w:fldChar w:fldCharType="end"/>
            </w:r>
          </w:hyperlink>
        </w:p>
        <w:p w14:paraId="351457CB" w14:textId="548DD687" w:rsidR="008C51C4" w:rsidRDefault="008C51C4">
          <w:pPr>
            <w:pStyle w:val="TOC2"/>
            <w:tabs>
              <w:tab w:val="right" w:leader="dot" w:pos="9016"/>
            </w:tabs>
            <w:rPr>
              <w:rFonts w:eastAsiaTheme="minorEastAsia"/>
              <w:noProof/>
              <w:lang w:eastAsia="en-GB"/>
            </w:rPr>
          </w:pPr>
          <w:hyperlink w:anchor="_Toc242908594" w:history="1">
            <w:r w:rsidRPr="00E76828">
              <w:rPr>
                <w:rStyle w:val="Hyperlink"/>
                <w:noProof/>
              </w:rPr>
              <w:t>B1. Critically evaluate how organisations create environments where talent flourishes</w:t>
            </w:r>
            <w:r>
              <w:rPr>
                <w:noProof/>
                <w:webHidden/>
              </w:rPr>
              <w:tab/>
            </w:r>
            <w:r>
              <w:rPr>
                <w:noProof/>
                <w:webHidden/>
              </w:rPr>
              <w:fldChar w:fldCharType="begin"/>
            </w:r>
            <w:r>
              <w:rPr>
                <w:noProof/>
                <w:webHidden/>
              </w:rPr>
              <w:instrText xml:space="preserve"> PAGEREF _Toc242908594 \h </w:instrText>
            </w:r>
            <w:r>
              <w:rPr>
                <w:noProof/>
                <w:webHidden/>
              </w:rPr>
            </w:r>
            <w:r>
              <w:rPr>
                <w:noProof/>
                <w:webHidden/>
              </w:rPr>
              <w:fldChar w:fldCharType="separate"/>
            </w:r>
            <w:r>
              <w:rPr>
                <w:noProof/>
                <w:webHidden/>
              </w:rPr>
              <w:t>7</w:t>
            </w:r>
            <w:r>
              <w:rPr>
                <w:noProof/>
                <w:webHidden/>
              </w:rPr>
              <w:fldChar w:fldCharType="end"/>
            </w:r>
          </w:hyperlink>
        </w:p>
        <w:p w14:paraId="6878E05C" w14:textId="250A0851" w:rsidR="008C51C4" w:rsidRDefault="008C51C4">
          <w:pPr>
            <w:pStyle w:val="TOC2"/>
            <w:tabs>
              <w:tab w:val="right" w:leader="dot" w:pos="9016"/>
            </w:tabs>
            <w:rPr>
              <w:rFonts w:eastAsiaTheme="minorEastAsia"/>
              <w:noProof/>
              <w:lang w:eastAsia="en-GB"/>
            </w:rPr>
          </w:pPr>
          <w:hyperlink w:anchor="_Toc242908595" w:history="1">
            <w:r w:rsidRPr="00E76828">
              <w:rPr>
                <w:rStyle w:val="Hyperlink"/>
                <w:noProof/>
              </w:rPr>
              <w:t>B2. Develop a comprehensive talent growth strategy for NexSpace Health Systems</w:t>
            </w:r>
            <w:r>
              <w:rPr>
                <w:noProof/>
                <w:webHidden/>
              </w:rPr>
              <w:tab/>
            </w:r>
            <w:r>
              <w:rPr>
                <w:noProof/>
                <w:webHidden/>
              </w:rPr>
              <w:fldChar w:fldCharType="begin"/>
            </w:r>
            <w:r>
              <w:rPr>
                <w:noProof/>
                <w:webHidden/>
              </w:rPr>
              <w:instrText xml:space="preserve"> PAGEREF _Toc242908595 \h </w:instrText>
            </w:r>
            <w:r>
              <w:rPr>
                <w:noProof/>
                <w:webHidden/>
              </w:rPr>
            </w:r>
            <w:r>
              <w:rPr>
                <w:noProof/>
                <w:webHidden/>
              </w:rPr>
              <w:fldChar w:fldCharType="separate"/>
            </w:r>
            <w:r>
              <w:rPr>
                <w:noProof/>
                <w:webHidden/>
              </w:rPr>
              <w:t>9</w:t>
            </w:r>
            <w:r>
              <w:rPr>
                <w:noProof/>
                <w:webHidden/>
              </w:rPr>
              <w:fldChar w:fldCharType="end"/>
            </w:r>
          </w:hyperlink>
        </w:p>
        <w:p w14:paraId="00440C8E" w14:textId="1A8D3564" w:rsidR="008C51C4" w:rsidRDefault="008C51C4">
          <w:pPr>
            <w:pStyle w:val="TOC2"/>
            <w:tabs>
              <w:tab w:val="right" w:leader="dot" w:pos="9016"/>
            </w:tabs>
            <w:rPr>
              <w:rFonts w:eastAsiaTheme="minorEastAsia"/>
              <w:noProof/>
              <w:lang w:eastAsia="en-GB"/>
            </w:rPr>
          </w:pPr>
          <w:hyperlink w:anchor="_Toc242908596" w:history="1">
            <w:r w:rsidRPr="00E76828">
              <w:rPr>
                <w:rStyle w:val="Hyperlink"/>
                <w:noProof/>
              </w:rPr>
              <w:t>Task C: Reflective report</w:t>
            </w:r>
            <w:r>
              <w:rPr>
                <w:noProof/>
                <w:webHidden/>
              </w:rPr>
              <w:tab/>
            </w:r>
            <w:r>
              <w:rPr>
                <w:noProof/>
                <w:webHidden/>
              </w:rPr>
              <w:fldChar w:fldCharType="begin"/>
            </w:r>
            <w:r>
              <w:rPr>
                <w:noProof/>
                <w:webHidden/>
              </w:rPr>
              <w:instrText xml:space="preserve"> PAGEREF _Toc242908596 \h </w:instrText>
            </w:r>
            <w:r>
              <w:rPr>
                <w:noProof/>
                <w:webHidden/>
              </w:rPr>
            </w:r>
            <w:r>
              <w:rPr>
                <w:noProof/>
                <w:webHidden/>
              </w:rPr>
              <w:fldChar w:fldCharType="separate"/>
            </w:r>
            <w:r>
              <w:rPr>
                <w:noProof/>
                <w:webHidden/>
              </w:rPr>
              <w:t>11</w:t>
            </w:r>
            <w:r>
              <w:rPr>
                <w:noProof/>
                <w:webHidden/>
              </w:rPr>
              <w:fldChar w:fldCharType="end"/>
            </w:r>
          </w:hyperlink>
        </w:p>
        <w:p w14:paraId="4DA262FA" w14:textId="3595709A" w:rsidR="008C51C4" w:rsidRDefault="008C51C4">
          <w:pPr>
            <w:pStyle w:val="TOC2"/>
            <w:tabs>
              <w:tab w:val="right" w:leader="dot" w:pos="9016"/>
            </w:tabs>
            <w:rPr>
              <w:rFonts w:eastAsiaTheme="minorEastAsia"/>
              <w:noProof/>
              <w:lang w:eastAsia="en-GB"/>
            </w:rPr>
          </w:pPr>
          <w:hyperlink w:anchor="_Toc242908597" w:history="1">
            <w:r w:rsidRPr="00E76828">
              <w:rPr>
                <w:rStyle w:val="Hyperlink"/>
                <w:noProof/>
              </w:rPr>
              <w:t>References</w:t>
            </w:r>
            <w:r>
              <w:rPr>
                <w:noProof/>
                <w:webHidden/>
              </w:rPr>
              <w:tab/>
            </w:r>
            <w:r>
              <w:rPr>
                <w:noProof/>
                <w:webHidden/>
              </w:rPr>
              <w:fldChar w:fldCharType="begin"/>
            </w:r>
            <w:r>
              <w:rPr>
                <w:noProof/>
                <w:webHidden/>
              </w:rPr>
              <w:instrText xml:space="preserve"> PAGEREF _Toc242908597 \h </w:instrText>
            </w:r>
            <w:r>
              <w:rPr>
                <w:noProof/>
                <w:webHidden/>
              </w:rPr>
            </w:r>
            <w:r>
              <w:rPr>
                <w:noProof/>
                <w:webHidden/>
              </w:rPr>
              <w:fldChar w:fldCharType="separate"/>
            </w:r>
            <w:r>
              <w:rPr>
                <w:noProof/>
                <w:webHidden/>
              </w:rPr>
              <w:t>13</w:t>
            </w:r>
            <w:r>
              <w:rPr>
                <w:noProof/>
                <w:webHidden/>
              </w:rPr>
              <w:fldChar w:fldCharType="end"/>
            </w:r>
          </w:hyperlink>
        </w:p>
        <w:p w14:paraId="166CCC1C" w14:textId="69BBDDEC" w:rsidR="00FA3336" w:rsidRDefault="00FA3336" w:rsidP="00922708">
          <w:pPr>
            <w:spacing w:line="360" w:lineRule="auto"/>
          </w:pPr>
          <w:r>
            <w:rPr>
              <w:b/>
              <w:bCs/>
            </w:rPr>
            <w:fldChar w:fldCharType="end"/>
          </w:r>
        </w:p>
      </w:sdtContent>
    </w:sdt>
    <w:p w14:paraId="2EA036CC" w14:textId="77777777" w:rsidR="00FA3336" w:rsidRDefault="00FA3336" w:rsidP="00922708">
      <w:pPr>
        <w:spacing w:line="360" w:lineRule="auto"/>
        <w:rPr>
          <w:rFonts w:ascii="Arial" w:hAnsi="Arial" w:cs="Arial"/>
          <w:b/>
          <w:bCs/>
          <w:u w:val="single"/>
        </w:rPr>
      </w:pPr>
    </w:p>
    <w:p w14:paraId="1537725B" w14:textId="77777777" w:rsidR="00FA3336" w:rsidRDefault="00FA3336" w:rsidP="00922708">
      <w:pPr>
        <w:spacing w:line="360" w:lineRule="auto"/>
        <w:rPr>
          <w:rFonts w:ascii="Arial" w:hAnsi="Arial" w:cs="Arial"/>
          <w:b/>
          <w:bCs/>
          <w:u w:val="single"/>
        </w:rPr>
      </w:pPr>
    </w:p>
    <w:p w14:paraId="024B97E5" w14:textId="77777777" w:rsidR="00FA3336" w:rsidRDefault="00FA3336" w:rsidP="00922708">
      <w:pPr>
        <w:spacing w:line="360" w:lineRule="auto"/>
        <w:rPr>
          <w:rFonts w:ascii="Arial" w:hAnsi="Arial" w:cs="Arial"/>
          <w:b/>
          <w:bCs/>
          <w:u w:val="single"/>
        </w:rPr>
      </w:pPr>
    </w:p>
    <w:p w14:paraId="38ECC8B6" w14:textId="77777777" w:rsidR="00FA3336" w:rsidRDefault="00FA3336" w:rsidP="00922708">
      <w:pPr>
        <w:spacing w:line="360" w:lineRule="auto"/>
        <w:rPr>
          <w:rFonts w:ascii="Arial" w:hAnsi="Arial" w:cs="Arial"/>
          <w:b/>
          <w:bCs/>
          <w:u w:val="single"/>
        </w:rPr>
      </w:pPr>
    </w:p>
    <w:p w14:paraId="27B06B03" w14:textId="77777777" w:rsidR="00FA3336" w:rsidRDefault="00FA3336" w:rsidP="00922708">
      <w:pPr>
        <w:spacing w:line="360" w:lineRule="auto"/>
        <w:rPr>
          <w:rFonts w:ascii="Arial" w:hAnsi="Arial" w:cs="Arial"/>
          <w:b/>
          <w:bCs/>
          <w:u w:val="single"/>
        </w:rPr>
      </w:pPr>
    </w:p>
    <w:p w14:paraId="249F68D8" w14:textId="77777777" w:rsidR="00FA3336" w:rsidRDefault="00FA3336" w:rsidP="00922708">
      <w:pPr>
        <w:spacing w:line="360" w:lineRule="auto"/>
        <w:rPr>
          <w:rFonts w:ascii="Arial" w:hAnsi="Arial" w:cs="Arial"/>
          <w:b/>
          <w:bCs/>
          <w:u w:val="single"/>
        </w:rPr>
      </w:pPr>
    </w:p>
    <w:p w14:paraId="362ED1C2" w14:textId="77777777" w:rsidR="00FA3336" w:rsidRDefault="00FA3336" w:rsidP="00922708">
      <w:pPr>
        <w:spacing w:line="360" w:lineRule="auto"/>
        <w:rPr>
          <w:rFonts w:ascii="Arial" w:hAnsi="Arial" w:cs="Arial"/>
          <w:b/>
          <w:bCs/>
          <w:u w:val="single"/>
        </w:rPr>
      </w:pPr>
    </w:p>
    <w:p w14:paraId="38C1B442" w14:textId="77777777" w:rsidR="00FA3336" w:rsidRDefault="00FA3336" w:rsidP="00922708">
      <w:pPr>
        <w:spacing w:line="360" w:lineRule="auto"/>
        <w:rPr>
          <w:rFonts w:ascii="Arial" w:hAnsi="Arial" w:cs="Arial"/>
          <w:b/>
          <w:bCs/>
          <w:u w:val="single"/>
        </w:rPr>
      </w:pPr>
    </w:p>
    <w:p w14:paraId="3082A015" w14:textId="77777777" w:rsidR="00FA3336" w:rsidRDefault="00FA3336" w:rsidP="00922708">
      <w:pPr>
        <w:spacing w:line="360" w:lineRule="auto"/>
        <w:rPr>
          <w:rFonts w:ascii="Arial" w:hAnsi="Arial" w:cs="Arial"/>
          <w:b/>
          <w:bCs/>
          <w:u w:val="single"/>
        </w:rPr>
      </w:pPr>
    </w:p>
    <w:p w14:paraId="33F42D3C" w14:textId="77777777" w:rsidR="00FA3336" w:rsidRDefault="00FA3336" w:rsidP="00922708">
      <w:pPr>
        <w:spacing w:line="360" w:lineRule="auto"/>
        <w:rPr>
          <w:rFonts w:ascii="Arial" w:hAnsi="Arial" w:cs="Arial"/>
          <w:b/>
          <w:bCs/>
          <w:u w:val="single"/>
        </w:rPr>
      </w:pPr>
    </w:p>
    <w:p w14:paraId="4867DC9C" w14:textId="77777777" w:rsidR="00FA3336" w:rsidRDefault="00FA3336" w:rsidP="00922708">
      <w:pPr>
        <w:spacing w:line="360" w:lineRule="auto"/>
        <w:rPr>
          <w:rFonts w:ascii="Arial" w:hAnsi="Arial" w:cs="Arial"/>
          <w:b/>
          <w:bCs/>
          <w:u w:val="single"/>
        </w:rPr>
      </w:pPr>
    </w:p>
    <w:p w14:paraId="16C59F5C" w14:textId="77777777" w:rsidR="00613C5B" w:rsidRDefault="00613C5B" w:rsidP="00922708">
      <w:pPr>
        <w:spacing w:line="360" w:lineRule="auto"/>
        <w:rPr>
          <w:rFonts w:ascii="Arial" w:hAnsi="Arial" w:cs="Arial"/>
          <w:b/>
          <w:bCs/>
          <w:u w:val="single"/>
        </w:rPr>
      </w:pPr>
    </w:p>
    <w:p w14:paraId="78A2F5D4" w14:textId="77777777" w:rsidR="00613C5B" w:rsidRDefault="00613C5B" w:rsidP="00922708">
      <w:pPr>
        <w:spacing w:line="360" w:lineRule="auto"/>
        <w:rPr>
          <w:rFonts w:ascii="Arial" w:hAnsi="Arial" w:cs="Arial"/>
          <w:b/>
          <w:bCs/>
          <w:u w:val="single"/>
        </w:rPr>
      </w:pPr>
    </w:p>
    <w:p w14:paraId="7178835E" w14:textId="77777777" w:rsidR="00613C5B" w:rsidRDefault="00613C5B" w:rsidP="00922708">
      <w:pPr>
        <w:spacing w:line="360" w:lineRule="auto"/>
        <w:rPr>
          <w:rFonts w:ascii="Arial" w:hAnsi="Arial" w:cs="Arial"/>
          <w:b/>
          <w:bCs/>
          <w:u w:val="single"/>
        </w:rPr>
      </w:pPr>
    </w:p>
    <w:p w14:paraId="5CC157F4" w14:textId="77777777" w:rsidR="009F46E1" w:rsidRDefault="009F46E1" w:rsidP="00922708">
      <w:pPr>
        <w:spacing w:line="360" w:lineRule="auto"/>
        <w:rPr>
          <w:rFonts w:ascii="Arial" w:hAnsi="Arial" w:cs="Arial"/>
          <w:b/>
          <w:bCs/>
          <w:u w:val="single"/>
        </w:rPr>
      </w:pPr>
    </w:p>
    <w:p w14:paraId="3208BB8E" w14:textId="77777777" w:rsidR="00FA3336" w:rsidRDefault="00FA3336" w:rsidP="00922708">
      <w:pPr>
        <w:spacing w:line="360" w:lineRule="auto"/>
        <w:rPr>
          <w:rFonts w:ascii="Arial" w:hAnsi="Arial" w:cs="Arial"/>
          <w:b/>
          <w:bCs/>
          <w:u w:val="single"/>
        </w:rPr>
      </w:pPr>
    </w:p>
    <w:p w14:paraId="510A06D6" w14:textId="141009AF" w:rsidR="00FA3336" w:rsidRDefault="00FA3336" w:rsidP="00922708">
      <w:pPr>
        <w:pStyle w:val="Title"/>
        <w:spacing w:line="360" w:lineRule="auto"/>
      </w:pPr>
      <w:r w:rsidRPr="00FA3336">
        <w:lastRenderedPageBreak/>
        <w:t>Innovating New Working Practices and Breeding an Environment Where Talent May Grow</w:t>
      </w:r>
      <w:r>
        <w:t xml:space="preserve">: </w:t>
      </w:r>
      <w:r w:rsidRPr="00FA3336">
        <w:t>NexSpace Health Systems (NHSX)</w:t>
      </w:r>
    </w:p>
    <w:p w14:paraId="1023B14D" w14:textId="77777777" w:rsidR="00FA3336" w:rsidRPr="00FA3336" w:rsidRDefault="00FA3336" w:rsidP="00922708">
      <w:pPr>
        <w:spacing w:line="360" w:lineRule="auto"/>
      </w:pPr>
    </w:p>
    <w:p w14:paraId="1AF153CC" w14:textId="56567813" w:rsidR="003E5A77" w:rsidRDefault="003E5A77" w:rsidP="00922708">
      <w:pPr>
        <w:pStyle w:val="Title"/>
        <w:tabs>
          <w:tab w:val="left" w:pos="6010"/>
        </w:tabs>
        <w:spacing w:line="360" w:lineRule="auto"/>
        <w:rPr>
          <w:sz w:val="32"/>
          <w:szCs w:val="32"/>
        </w:rPr>
      </w:pPr>
      <w:r w:rsidRPr="004D3A8F">
        <w:rPr>
          <w:sz w:val="32"/>
          <w:szCs w:val="32"/>
        </w:rPr>
        <w:t>Task A: Designing Innovative Working Practices</w:t>
      </w:r>
      <w:r w:rsidR="004D3A8F">
        <w:rPr>
          <w:sz w:val="32"/>
          <w:szCs w:val="32"/>
        </w:rPr>
        <w:tab/>
      </w:r>
    </w:p>
    <w:p w14:paraId="6E129DB1" w14:textId="77777777" w:rsidR="004D3A8F" w:rsidRPr="004D3A8F" w:rsidRDefault="004D3A8F" w:rsidP="00922708">
      <w:pPr>
        <w:spacing w:line="360" w:lineRule="auto"/>
      </w:pPr>
    </w:p>
    <w:p w14:paraId="0B885B70" w14:textId="58373077" w:rsidR="0046162F" w:rsidRPr="004D3A8F" w:rsidRDefault="00E005E4" w:rsidP="00922708">
      <w:pPr>
        <w:pStyle w:val="Heading2"/>
        <w:spacing w:line="360" w:lineRule="auto"/>
      </w:pPr>
      <w:bookmarkStart w:id="0" w:name="_Toc242908592"/>
      <w:r w:rsidRPr="004D3A8F">
        <w:t xml:space="preserve">A1. </w:t>
      </w:r>
      <w:r w:rsidR="0046162F" w:rsidRPr="004D3A8F">
        <w:t>Traditional work practices</w:t>
      </w:r>
      <w:r w:rsidR="00D20B95" w:rsidRPr="004D3A8F">
        <w:t xml:space="preserve"> versus contemporary innovative working practices </w:t>
      </w:r>
      <w:r w:rsidR="0046162F" w:rsidRPr="004D3A8F">
        <w:t>and their suitability for NexSpace</w:t>
      </w:r>
      <w:bookmarkEnd w:id="0"/>
    </w:p>
    <w:p w14:paraId="191404D0" w14:textId="5995B221" w:rsidR="00D20B95" w:rsidRPr="001A2A1B" w:rsidRDefault="0046162F" w:rsidP="00922708">
      <w:pPr>
        <w:spacing w:line="360" w:lineRule="auto"/>
        <w:rPr>
          <w:rFonts w:ascii="Arial" w:hAnsi="Arial" w:cs="Arial"/>
        </w:rPr>
      </w:pPr>
      <w:r w:rsidRPr="001A2A1B">
        <w:rPr>
          <w:rFonts w:ascii="Arial" w:hAnsi="Arial" w:cs="Arial"/>
        </w:rPr>
        <w:t>NexSpace’s slow decision-making, limited experimentation and weak collaboration suggest a mismatch between its hierarchical working arrangements and the demands of developing AI healthcare technologies. Traditional work practices can provide consistency and clear responsibilities, but their suitability depends on the tasks being performed.</w:t>
      </w:r>
    </w:p>
    <w:p w14:paraId="76B4164B" w14:textId="4CCE154D" w:rsidR="0046162F" w:rsidRPr="001A2A1B" w:rsidRDefault="0046162F" w:rsidP="00922708">
      <w:pPr>
        <w:spacing w:line="360" w:lineRule="auto"/>
        <w:rPr>
          <w:rFonts w:ascii="Arial" w:hAnsi="Arial" w:cs="Arial"/>
        </w:rPr>
      </w:pPr>
      <w:r w:rsidRPr="001A2A1B">
        <w:rPr>
          <w:rFonts w:ascii="Arial" w:hAnsi="Arial" w:cs="Arial"/>
        </w:rPr>
        <w:t xml:space="preserve">Taylor’s scientific management emphasises systematically defined work methods, employee selection and training, and managerial responsibility for planning work (Taylor, 1911). This approach can support predictable activities where consistent execution is important. However, applying </w:t>
      </w:r>
      <w:r w:rsidR="00287B24" w:rsidRPr="001A2A1B">
        <w:rPr>
          <w:rFonts w:ascii="Arial" w:hAnsi="Arial" w:cs="Arial"/>
        </w:rPr>
        <w:t>restricted</w:t>
      </w:r>
      <w:r w:rsidRPr="001A2A1B">
        <w:rPr>
          <w:rFonts w:ascii="Arial" w:hAnsi="Arial" w:cs="Arial"/>
        </w:rPr>
        <w:t xml:space="preserve"> methods to specialist development work could </w:t>
      </w:r>
      <w:r w:rsidR="00287B24" w:rsidRPr="001A2A1B">
        <w:rPr>
          <w:rFonts w:ascii="Arial" w:hAnsi="Arial" w:cs="Arial"/>
        </w:rPr>
        <w:t>limit</w:t>
      </w:r>
      <w:r w:rsidRPr="001A2A1B">
        <w:rPr>
          <w:rFonts w:ascii="Arial" w:hAnsi="Arial" w:cs="Arial"/>
        </w:rPr>
        <w:t xml:space="preserve"> employees</w:t>
      </w:r>
      <w:r w:rsidR="00287B24" w:rsidRPr="001A2A1B">
        <w:rPr>
          <w:rFonts w:ascii="Arial" w:hAnsi="Arial" w:cs="Arial"/>
        </w:rPr>
        <w:t>’</w:t>
      </w:r>
      <w:r w:rsidRPr="001A2A1B">
        <w:rPr>
          <w:rFonts w:ascii="Arial" w:hAnsi="Arial" w:cs="Arial"/>
        </w:rPr>
        <w:t xml:space="preserve"> </w:t>
      </w:r>
      <w:r w:rsidR="00287B24" w:rsidRPr="001A2A1B">
        <w:rPr>
          <w:rFonts w:ascii="Arial" w:hAnsi="Arial" w:cs="Arial"/>
        </w:rPr>
        <w:t>choice</w:t>
      </w:r>
      <w:r w:rsidRPr="001A2A1B">
        <w:rPr>
          <w:rFonts w:ascii="Arial" w:hAnsi="Arial" w:cs="Arial"/>
        </w:rPr>
        <w:t xml:space="preserve"> to investigate unfamiliar problems. At NexSpace, requiring routine decisions to pass through several management layers could delay problem-solving and prevent employees from using their expertise effectively.</w:t>
      </w:r>
    </w:p>
    <w:p w14:paraId="75C83108" w14:textId="35312091" w:rsidR="0046162F" w:rsidRPr="001A2A1B" w:rsidRDefault="0046162F" w:rsidP="00922708">
      <w:pPr>
        <w:spacing w:line="360" w:lineRule="auto"/>
        <w:rPr>
          <w:rFonts w:ascii="Arial" w:hAnsi="Arial" w:cs="Arial"/>
        </w:rPr>
      </w:pPr>
      <w:r w:rsidRPr="001A2A1B">
        <w:rPr>
          <w:rFonts w:ascii="Arial" w:hAnsi="Arial" w:cs="Arial"/>
        </w:rPr>
        <w:t xml:space="preserve">Nevertheless, removing hierarchy entirely would be an unsuitable response. NexSpace should retain clear accountability and consistent procedures for activities </w:t>
      </w:r>
      <w:r w:rsidRPr="001A2A1B">
        <w:rPr>
          <w:rFonts w:ascii="Arial" w:hAnsi="Arial" w:cs="Arial"/>
        </w:rPr>
        <w:lastRenderedPageBreak/>
        <w:t xml:space="preserve">such as product testing, while allowing greater </w:t>
      </w:r>
      <w:r w:rsidR="00287B24" w:rsidRPr="001A2A1B">
        <w:rPr>
          <w:rFonts w:ascii="Arial" w:hAnsi="Arial" w:cs="Arial"/>
        </w:rPr>
        <w:t>options</w:t>
      </w:r>
      <w:r w:rsidRPr="001A2A1B">
        <w:rPr>
          <w:rFonts w:ascii="Arial" w:hAnsi="Arial" w:cs="Arial"/>
        </w:rPr>
        <w:t xml:space="preserve"> over how teams explore ideas and coordinate development. The distinction is between controls that support dependable outcomes and controls that unnecessarily delay informed decisions. Therefore, innovative work practices should be assessed according to whether they improve collaboration and employee contribution while preserving appropriate oversight. This provides a basis for evaluating high-performance and high-involvement work systems as complementary responses to NexSpace’s difficulties.</w:t>
      </w:r>
    </w:p>
    <w:p w14:paraId="1F5813A9" w14:textId="65E4CBA6" w:rsidR="003E5A77" w:rsidRPr="001A2A1B" w:rsidRDefault="003E5A77" w:rsidP="00922708">
      <w:pPr>
        <w:spacing w:line="360" w:lineRule="auto"/>
        <w:rPr>
          <w:rFonts w:ascii="Arial" w:hAnsi="Arial" w:cs="Arial"/>
          <w:b/>
          <w:bCs/>
        </w:rPr>
      </w:pPr>
      <w:r w:rsidRPr="001A2A1B">
        <w:rPr>
          <w:rFonts w:ascii="Arial" w:hAnsi="Arial" w:cs="Arial"/>
          <w:b/>
          <w:bCs/>
        </w:rPr>
        <w:t>HPWS and HIWS</w:t>
      </w:r>
    </w:p>
    <w:p w14:paraId="2E732119" w14:textId="0EDB2F7B" w:rsidR="00C11584" w:rsidRPr="001A2A1B" w:rsidRDefault="00C11584" w:rsidP="00922708">
      <w:pPr>
        <w:spacing w:line="360" w:lineRule="auto"/>
        <w:rPr>
          <w:rFonts w:ascii="Arial" w:hAnsi="Arial" w:cs="Arial"/>
        </w:rPr>
      </w:pPr>
      <w:r w:rsidRPr="001A2A1B">
        <w:rPr>
          <w:rFonts w:ascii="Arial" w:hAnsi="Arial" w:cs="Arial"/>
        </w:rPr>
        <w:t xml:space="preserve">High-performance work systems (HPWS) combine recruitment, development and rewards to strengthen employee capability and motivation, whereas high-involvement work systems (HIWS) emphasise autonomy, participation and influence over decisions. However, these approaches overlap: involvement can form part of HPWS, making a strict separation misleading. Boxall and Macky (2009) question universal “best practice” claims and emphasise the processes employees </w:t>
      </w:r>
      <w:r w:rsidR="00287B24" w:rsidRPr="001A2A1B">
        <w:rPr>
          <w:rFonts w:ascii="Arial" w:hAnsi="Arial" w:cs="Arial"/>
        </w:rPr>
        <w:t>experience</w:t>
      </w:r>
      <w:r w:rsidRPr="001A2A1B">
        <w:rPr>
          <w:rFonts w:ascii="Arial" w:hAnsi="Arial" w:cs="Arial"/>
        </w:rPr>
        <w:t>.</w:t>
      </w:r>
      <w:r w:rsidR="00287B24" w:rsidRPr="001A2A1B">
        <w:rPr>
          <w:rFonts w:ascii="Arial" w:hAnsi="Arial" w:cs="Arial"/>
        </w:rPr>
        <w:t xml:space="preserve"> </w:t>
      </w:r>
    </w:p>
    <w:p w14:paraId="4DB49645" w14:textId="015C5CD2" w:rsidR="00784B73" w:rsidRPr="001A2A1B" w:rsidRDefault="00784B73" w:rsidP="00922708">
      <w:pPr>
        <w:spacing w:line="360" w:lineRule="auto"/>
        <w:rPr>
          <w:rFonts w:ascii="Arial" w:hAnsi="Arial" w:cs="Arial"/>
        </w:rPr>
      </w:pPr>
      <w:r w:rsidRPr="001A2A1B">
        <w:rPr>
          <w:rFonts w:ascii="Arial" w:hAnsi="Arial" w:cs="Arial"/>
        </w:rPr>
        <w:t>For NexSpace, developing employees’ skills alone would not resolve approval delays, while giving them decision-making authority without sufficient expertise could lead to poorer decisions.</w:t>
      </w:r>
    </w:p>
    <w:p w14:paraId="11C97D7F" w14:textId="170248EE" w:rsidR="00C11584" w:rsidRPr="001A2A1B" w:rsidRDefault="00C11584" w:rsidP="00922708">
      <w:pPr>
        <w:spacing w:line="360" w:lineRule="auto"/>
        <w:rPr>
          <w:rFonts w:ascii="Arial" w:hAnsi="Arial" w:cs="Arial"/>
        </w:rPr>
      </w:pPr>
      <w:r w:rsidRPr="001A2A1B">
        <w:rPr>
          <w:rFonts w:ascii="Arial" w:hAnsi="Arial" w:cs="Arial"/>
        </w:rPr>
        <w:t>Combining targeted development with genuine decision-making authority would enable specialists to apply their knowledge and resolve problems closer to the work. Nevertheless, involvement should not become a means of transferring additional responsibilities to employees without adequate resources. Boxall and Macky (2014) associate involvement with higher job satisfaction, but distinguish this from work intensity, which is associated with stress and fatigue. Their survey evidence does not establish that equivalent outcomes would occur at NexSpace. Implementation should therefore pair delegated authority with manageable workloads and assess decision speed and solution quality alongside employee wellbeing.</w:t>
      </w:r>
    </w:p>
    <w:p w14:paraId="753CF7A2" w14:textId="77777777" w:rsidR="00AB7C46" w:rsidRPr="001A2A1B" w:rsidRDefault="00AB7C46" w:rsidP="00AB7C46">
      <w:pPr>
        <w:spacing w:line="360" w:lineRule="auto"/>
        <w:rPr>
          <w:rFonts w:ascii="Arial" w:hAnsi="Arial" w:cs="Arial"/>
          <w:b/>
          <w:bCs/>
        </w:rPr>
      </w:pPr>
      <w:r w:rsidRPr="001A2A1B">
        <w:rPr>
          <w:rFonts w:ascii="Arial" w:hAnsi="Arial" w:cs="Arial"/>
          <w:b/>
          <w:bCs/>
        </w:rPr>
        <w:t>Sociotechnical alignment</w:t>
      </w:r>
    </w:p>
    <w:p w14:paraId="3EF4FB50" w14:textId="77777777" w:rsidR="00AB7C46" w:rsidRPr="001A2A1B" w:rsidRDefault="00AB7C46" w:rsidP="00AB7C46">
      <w:pPr>
        <w:spacing w:line="360" w:lineRule="auto"/>
        <w:rPr>
          <w:rFonts w:ascii="Arial" w:hAnsi="Arial" w:cs="Arial"/>
        </w:rPr>
      </w:pPr>
      <w:r w:rsidRPr="001A2A1B">
        <w:rPr>
          <w:rFonts w:ascii="Arial" w:hAnsi="Arial" w:cs="Arial"/>
        </w:rPr>
        <w:t xml:space="preserve">Sociotechnical systems theory argues that performance depends on designing people, technology and work processes together (Clegg, 2000). Compared with traditional work design’s emphasis on managerial control, it supports employee </w:t>
      </w:r>
      <w:r w:rsidRPr="001A2A1B">
        <w:rPr>
          <w:rFonts w:ascii="Arial" w:hAnsi="Arial" w:cs="Arial"/>
        </w:rPr>
        <w:lastRenderedPageBreak/>
        <w:t>participation in shaping how work is organised. For NexSpace, this suggests that digital investment alone cannot resolve weak collaboration if responsibilities and decision-making remain poorly aligned. However, participative design requires time and may expose competing needs across teams. Its value therefore depends on balancing employee influence with clear accountability and shared organisational goals.</w:t>
      </w:r>
    </w:p>
    <w:p w14:paraId="7CAC1E8B" w14:textId="77777777" w:rsidR="00AB7C46" w:rsidRDefault="00AB7C46" w:rsidP="00AB7C46">
      <w:pPr>
        <w:pStyle w:val="Heading2"/>
      </w:pPr>
      <w:r w:rsidRPr="001A2A1B">
        <w:t xml:space="preserve">A2. Recommendations for NexSpace: </w:t>
      </w:r>
    </w:p>
    <w:p w14:paraId="174FDDE4" w14:textId="0D75D654" w:rsidR="00BF30AA" w:rsidRPr="001A2A1B" w:rsidRDefault="00BF30AA" w:rsidP="00922708">
      <w:pPr>
        <w:spacing w:line="360" w:lineRule="auto"/>
        <w:rPr>
          <w:rFonts w:ascii="Arial" w:hAnsi="Arial" w:cs="Arial"/>
          <w:b/>
          <w:bCs/>
        </w:rPr>
      </w:pPr>
      <w:r w:rsidRPr="001A2A1B">
        <w:rPr>
          <w:rFonts w:ascii="Arial" w:hAnsi="Arial" w:cs="Arial"/>
          <w:b/>
          <w:bCs/>
        </w:rPr>
        <w:t>Agile working</w:t>
      </w:r>
    </w:p>
    <w:p w14:paraId="3EBA7BC4" w14:textId="34334976" w:rsidR="00BF30AA" w:rsidRPr="001A2A1B" w:rsidRDefault="00BF30AA" w:rsidP="00922708">
      <w:pPr>
        <w:spacing w:line="360" w:lineRule="auto"/>
        <w:rPr>
          <w:rFonts w:ascii="Arial" w:hAnsi="Arial" w:cs="Arial"/>
        </w:rPr>
      </w:pPr>
      <w:r w:rsidRPr="001A2A1B">
        <w:rPr>
          <w:rFonts w:ascii="Arial" w:hAnsi="Arial" w:cs="Arial"/>
        </w:rPr>
        <w:t xml:space="preserve">NexSpace should </w:t>
      </w:r>
      <w:r w:rsidR="00287B24" w:rsidRPr="001A2A1B">
        <w:rPr>
          <w:rFonts w:ascii="Arial" w:hAnsi="Arial" w:cs="Arial"/>
        </w:rPr>
        <w:t>test</w:t>
      </w:r>
      <w:r w:rsidRPr="001A2A1B">
        <w:rPr>
          <w:rFonts w:ascii="Arial" w:hAnsi="Arial" w:cs="Arial"/>
        </w:rPr>
        <w:t xml:space="preserve"> cross-functional product teams combining AI developers, clinical specialists, design and quality expertise around shared product goals. </w:t>
      </w:r>
      <w:r w:rsidR="00784B73" w:rsidRPr="001A2A1B">
        <w:rPr>
          <w:rFonts w:ascii="Arial" w:hAnsi="Arial" w:cs="Arial"/>
        </w:rPr>
        <w:t>Working together from the start could help departments identify different needs early and avoid delays.</w:t>
      </w:r>
      <w:r w:rsidRPr="001A2A1B">
        <w:rPr>
          <w:rFonts w:ascii="Arial" w:hAnsi="Arial" w:cs="Arial"/>
        </w:rPr>
        <w:t xml:space="preserve"> Scrum provides one practical approach through cross-functional, self-managing teams and iterative review (Schwaber and Sutherland, 2020, p. 5). Teams should have authority over task allocation and development methods, with explicit escalation boundaries for safety</w:t>
      </w:r>
      <w:r w:rsidR="00287B24" w:rsidRPr="001A2A1B">
        <w:rPr>
          <w:rFonts w:ascii="Arial" w:hAnsi="Arial" w:cs="Arial"/>
        </w:rPr>
        <w:t xml:space="preserve"> </w:t>
      </w:r>
      <w:r w:rsidRPr="001A2A1B">
        <w:rPr>
          <w:rFonts w:ascii="Arial" w:hAnsi="Arial" w:cs="Arial"/>
        </w:rPr>
        <w:t xml:space="preserve">sensitive decisions. </w:t>
      </w:r>
      <w:r w:rsidR="00F83586" w:rsidRPr="00F83586">
        <w:rPr>
          <w:rFonts w:ascii="Arial" w:hAnsi="Arial" w:cs="Arial"/>
        </w:rPr>
        <w:t>This would enable agile teams to apply the capabilities developed through HPWS.</w:t>
      </w:r>
    </w:p>
    <w:p w14:paraId="60FA2E7A" w14:textId="77777777" w:rsidR="00784B73" w:rsidRPr="001A2A1B" w:rsidRDefault="004957B1" w:rsidP="00922708">
      <w:pPr>
        <w:spacing w:line="360" w:lineRule="auto"/>
        <w:rPr>
          <w:rFonts w:ascii="Arial" w:hAnsi="Arial" w:cs="Arial"/>
        </w:rPr>
      </w:pPr>
      <w:r w:rsidRPr="001A2A1B">
        <w:rPr>
          <w:rFonts w:ascii="Arial" w:hAnsi="Arial" w:cs="Arial"/>
        </w:rPr>
        <w:t>Serrador and Pinto (2015) associate agile use with greater project efficiency and stakeholder satisfaction across 1,002 projects. However, this cross-industry evidence does not establish equivalent benefits for safety</w:t>
      </w:r>
      <w:r w:rsidR="00287B24" w:rsidRPr="001A2A1B">
        <w:rPr>
          <w:rFonts w:ascii="Arial" w:hAnsi="Arial" w:cs="Arial"/>
        </w:rPr>
        <w:t>-</w:t>
      </w:r>
      <w:r w:rsidRPr="001A2A1B">
        <w:rPr>
          <w:rFonts w:ascii="Arial" w:hAnsi="Arial" w:cs="Arial"/>
        </w:rPr>
        <w:t>sensitive healthcare technologies, supporting a controlled pilot at NexSpace.</w:t>
      </w:r>
      <w:r w:rsidR="000A54FC" w:rsidRPr="001A2A1B">
        <w:rPr>
          <w:rFonts w:ascii="Arial" w:hAnsi="Arial" w:cs="Arial"/>
        </w:rPr>
        <w:t xml:space="preserve"> </w:t>
      </w:r>
      <w:r w:rsidR="00784B73" w:rsidRPr="001A2A1B">
        <w:rPr>
          <w:rFonts w:ascii="Arial" w:hAnsi="Arial" w:cs="Arial"/>
        </w:rPr>
        <w:t xml:space="preserve">Furthermore, agile meetings alone would not reduce delays unless decision-making and approval processes also changed. </w:t>
      </w:r>
      <w:r w:rsidR="00BF30AA" w:rsidRPr="001A2A1B">
        <w:rPr>
          <w:rFonts w:ascii="Arial" w:hAnsi="Arial" w:cs="Arial"/>
        </w:rPr>
        <w:t>Similarly, delivery targets could discourage experimentation if managers reward speed alone. NexSpace should therefore protect testing time, agree quality requirements and assess progress through decision lead times, rework and stakeholder feedback alongside workload</w:t>
      </w:r>
      <w:r w:rsidR="00784B73" w:rsidRPr="001A2A1B">
        <w:rPr>
          <w:rFonts w:ascii="Arial" w:hAnsi="Arial" w:cs="Arial"/>
        </w:rPr>
        <w:t>. Testing these arrangements with one team first would help NexSpace assess whether they improve innovation and coordination before introducing them more widely.</w:t>
      </w:r>
    </w:p>
    <w:p w14:paraId="06759658" w14:textId="04AC4C5D" w:rsidR="001D1FCC" w:rsidRPr="001A2A1B" w:rsidRDefault="001D1FCC" w:rsidP="00922708">
      <w:pPr>
        <w:spacing w:line="360" w:lineRule="auto"/>
        <w:rPr>
          <w:rFonts w:ascii="Arial" w:hAnsi="Arial" w:cs="Arial"/>
          <w:b/>
          <w:bCs/>
        </w:rPr>
      </w:pPr>
      <w:r w:rsidRPr="001A2A1B">
        <w:rPr>
          <w:rFonts w:ascii="Arial" w:hAnsi="Arial" w:cs="Arial"/>
          <w:b/>
          <w:bCs/>
        </w:rPr>
        <w:t>Hybrid and flexible working</w:t>
      </w:r>
    </w:p>
    <w:p w14:paraId="6815548E" w14:textId="77777777" w:rsidR="001D1FCC" w:rsidRPr="001A2A1B" w:rsidRDefault="001D1FCC" w:rsidP="00922708">
      <w:pPr>
        <w:spacing w:line="360" w:lineRule="auto"/>
        <w:rPr>
          <w:rFonts w:ascii="Arial" w:hAnsi="Arial" w:cs="Arial"/>
        </w:rPr>
      </w:pPr>
      <w:r w:rsidRPr="001A2A1B">
        <w:rPr>
          <w:rFonts w:ascii="Arial" w:hAnsi="Arial" w:cs="Arial"/>
        </w:rPr>
        <w:t xml:space="preserve">NexSpace should redesign hybrid working around task interdependence, with teams agreeing when joint problem-solving requires live interaction and when individual work benefits from uninterrupted remote time. Flexible start and finish times should </w:t>
      </w:r>
      <w:r w:rsidRPr="001A2A1B">
        <w:rPr>
          <w:rFonts w:ascii="Arial" w:hAnsi="Arial" w:cs="Arial"/>
        </w:rPr>
        <w:lastRenderedPageBreak/>
        <w:t>accommodate personal needs and international coordination through limited, agreed overlap hours. This complements autonomous agile teams while preventing flexibility from undermining shared availability.</w:t>
      </w:r>
    </w:p>
    <w:p w14:paraId="1559BA55" w14:textId="2F99E55C" w:rsidR="001D1FCC" w:rsidRPr="001A2A1B" w:rsidRDefault="001D1FCC" w:rsidP="00922708">
      <w:pPr>
        <w:spacing w:line="360" w:lineRule="auto"/>
        <w:rPr>
          <w:rFonts w:ascii="Arial" w:hAnsi="Arial" w:cs="Arial"/>
        </w:rPr>
      </w:pPr>
      <w:r w:rsidRPr="001A2A1B">
        <w:rPr>
          <w:rFonts w:ascii="Arial" w:hAnsi="Arial" w:cs="Arial"/>
        </w:rPr>
        <w:t>Bloom, Han and Liang’s (2024) randomised trial found that two home-working days per week reduced employee turnover without damaging performance. However, evidence from one Chinese technology company does not establish the optimal arrangement for NexSpace’s internationally distributed workforce. Moreover, Yang et al. (2022) found that fully remote working made collaboration networks more siloed at Microsoft. Although fully remote work differs from hybrid working, this highlights the need to deliberately maintain cross-team connections.</w:t>
      </w:r>
    </w:p>
    <w:p w14:paraId="2E4E1430" w14:textId="793C3B45" w:rsidR="001D1FCC" w:rsidRPr="001A2A1B" w:rsidRDefault="001D1FCC" w:rsidP="00922708">
      <w:pPr>
        <w:spacing w:line="360" w:lineRule="auto"/>
        <w:rPr>
          <w:rFonts w:ascii="Arial" w:hAnsi="Arial" w:cs="Arial"/>
        </w:rPr>
      </w:pPr>
      <w:r w:rsidRPr="001A2A1B">
        <w:rPr>
          <w:rFonts w:ascii="Arial" w:hAnsi="Arial" w:cs="Arial"/>
        </w:rPr>
        <w:t xml:space="preserve">NexSpace should therefore coordinate local collaboration days and cross-country virtual problem-solving sessions, </w:t>
      </w:r>
      <w:r w:rsidR="008C3CF2" w:rsidRPr="001A2A1B">
        <w:rPr>
          <w:rFonts w:ascii="Arial" w:hAnsi="Arial" w:cs="Arial"/>
        </w:rPr>
        <w:t xml:space="preserve">rather than require everyone to attend the office for the same number of days. </w:t>
      </w:r>
      <w:r w:rsidRPr="001A2A1B">
        <w:rPr>
          <w:rFonts w:ascii="Arial" w:hAnsi="Arial" w:cs="Arial"/>
        </w:rPr>
        <w:t>Managers should assess contributions against agreed outcomes and quality standards, reducing reliance on visibility. Regular reviews of knowledge sharing, delivery quality and employee workload would test whether flexibility supports performance without creating isolation or expectations of constant availability.</w:t>
      </w:r>
    </w:p>
    <w:p w14:paraId="250EAE0A" w14:textId="23035E7F" w:rsidR="00084D53" w:rsidRPr="001A2A1B" w:rsidRDefault="00AB7C46" w:rsidP="00922708">
      <w:pPr>
        <w:spacing w:line="360" w:lineRule="auto"/>
        <w:rPr>
          <w:rFonts w:ascii="Arial" w:hAnsi="Arial" w:cs="Arial"/>
          <w:b/>
          <w:bCs/>
        </w:rPr>
      </w:pPr>
      <w:r>
        <w:rPr>
          <w:rFonts w:ascii="Arial" w:hAnsi="Arial" w:cs="Arial"/>
          <w:b/>
          <w:bCs/>
        </w:rPr>
        <w:t xml:space="preserve">Digital collaboration </w:t>
      </w:r>
    </w:p>
    <w:p w14:paraId="28709C79" w14:textId="5D7F0518" w:rsidR="00EA52D2" w:rsidRPr="001A2A1B" w:rsidRDefault="00EA52D2" w:rsidP="00922708">
      <w:pPr>
        <w:spacing w:line="360" w:lineRule="auto"/>
        <w:rPr>
          <w:rFonts w:ascii="Arial" w:hAnsi="Arial" w:cs="Arial"/>
        </w:rPr>
      </w:pPr>
      <w:r w:rsidRPr="001A2A1B">
        <w:rPr>
          <w:rFonts w:ascii="Arial" w:hAnsi="Arial" w:cs="Arial"/>
        </w:rPr>
        <w:t xml:space="preserve">NexSpace should connect shared project boards with a searchable knowledge repository containing decisions, testing lessons and named document owners. These tools would support agile teams by making progress, responsibilities and lessons visible across locations. HPWS training should equip employees to use them effectively, with protected time and agreed documentation responsibilities. </w:t>
      </w:r>
      <w:r w:rsidR="00815F4A" w:rsidRPr="001A2A1B">
        <w:rPr>
          <w:rFonts w:ascii="Arial" w:hAnsi="Arial" w:cs="Arial"/>
        </w:rPr>
        <w:t>Parker and Grote (2022) argue that technology’s effects depend on work design and managerial choices; shared tools therefore require clear responsibilities and employee support.</w:t>
      </w:r>
      <w:r w:rsidR="00815F4A" w:rsidRPr="001A2A1B">
        <w:rPr>
          <w:rFonts w:ascii="Arial" w:hAnsi="Arial" w:cs="Arial"/>
        </w:rPr>
        <w:t xml:space="preserve"> </w:t>
      </w:r>
      <w:r w:rsidRPr="001A2A1B">
        <w:rPr>
          <w:rFonts w:ascii="Arial" w:hAnsi="Arial" w:cs="Arial"/>
        </w:rPr>
        <w:t>Notification limits and clear response expectations would help manage workload and reduce pressure to remain constantly available.</w:t>
      </w:r>
    </w:p>
    <w:p w14:paraId="5477C1DD" w14:textId="77777777" w:rsidR="009E7E1A" w:rsidRPr="001A2A1B" w:rsidRDefault="009E7E1A" w:rsidP="00922708">
      <w:pPr>
        <w:spacing w:line="360" w:lineRule="auto"/>
        <w:rPr>
          <w:rFonts w:ascii="Arial" w:hAnsi="Arial" w:cs="Arial"/>
          <w:b/>
          <w:bCs/>
        </w:rPr>
      </w:pPr>
      <w:r w:rsidRPr="001A2A1B">
        <w:rPr>
          <w:rFonts w:ascii="Arial" w:hAnsi="Arial" w:cs="Arial"/>
          <w:b/>
          <w:bCs/>
        </w:rPr>
        <w:t>Integration and evaluation</w:t>
      </w:r>
    </w:p>
    <w:p w14:paraId="1126AE14" w14:textId="5D1E000A" w:rsidR="00EA52D2" w:rsidRPr="001A2A1B" w:rsidRDefault="00EA52D2" w:rsidP="00922708">
      <w:pPr>
        <w:spacing w:line="360" w:lineRule="auto"/>
        <w:rPr>
          <w:rFonts w:ascii="Arial" w:hAnsi="Arial" w:cs="Arial"/>
        </w:rPr>
      </w:pPr>
      <w:r w:rsidRPr="001A2A1B">
        <w:rPr>
          <w:rFonts w:ascii="Arial" w:hAnsi="Arial" w:cs="Arial"/>
        </w:rPr>
        <w:t xml:space="preserve">The framework combines HPWS capability development with agile teamwork: employees need the skills to contribute and opportunities to apply them through joint problem-solving. HR and product leaders should oversee a pilot, comparing decision </w:t>
      </w:r>
      <w:r w:rsidRPr="001A2A1B">
        <w:rPr>
          <w:rFonts w:ascii="Arial" w:hAnsi="Arial" w:cs="Arial"/>
        </w:rPr>
        <w:lastRenderedPageBreak/>
        <w:t xml:space="preserve">times, rework, knowledge sharing and workload with baseline measures. </w:t>
      </w:r>
      <w:r w:rsidR="00FA4BBA" w:rsidRPr="00FA4BBA">
        <w:rPr>
          <w:rFonts w:ascii="Arial" w:hAnsi="Arial" w:cs="Arial"/>
        </w:rPr>
        <w:t>A three-month review should evaluate the pilot against predefined performance indicators, including decision-making efficiency, collaboration quality and employee wellbeing. Wider implementation should depend on demonstrable improvements without compromising operational quality or increasing employee workload.</w:t>
      </w:r>
      <w:r w:rsidR="00FA4BBA">
        <w:rPr>
          <w:rFonts w:ascii="Arial" w:hAnsi="Arial" w:cs="Arial"/>
        </w:rPr>
        <w:t xml:space="preserve"> </w:t>
      </w:r>
    </w:p>
    <w:p w14:paraId="68D40928" w14:textId="78CB06E3" w:rsidR="00C11584" w:rsidRDefault="004E3683" w:rsidP="00922708">
      <w:pPr>
        <w:pStyle w:val="Title"/>
        <w:spacing w:line="360" w:lineRule="auto"/>
        <w:rPr>
          <w:sz w:val="32"/>
          <w:szCs w:val="32"/>
        </w:rPr>
      </w:pPr>
      <w:r w:rsidRPr="004D3A8F">
        <w:rPr>
          <w:sz w:val="32"/>
          <w:szCs w:val="32"/>
        </w:rPr>
        <w:t>Task B: Breeding an Environment Where Talent May Grow</w:t>
      </w:r>
    </w:p>
    <w:p w14:paraId="6CD7DEBA" w14:textId="77777777" w:rsidR="004D3A8F" w:rsidRPr="004D3A8F" w:rsidRDefault="004D3A8F" w:rsidP="00922708">
      <w:pPr>
        <w:spacing w:line="360" w:lineRule="auto"/>
      </w:pPr>
    </w:p>
    <w:p w14:paraId="00068A44" w14:textId="77777777" w:rsidR="0070119C" w:rsidRPr="001A2A1B" w:rsidRDefault="00E005E4" w:rsidP="00922708">
      <w:pPr>
        <w:pStyle w:val="Heading2"/>
        <w:spacing w:line="360" w:lineRule="auto"/>
      </w:pPr>
      <w:bookmarkStart w:id="1" w:name="_Toc242908594"/>
      <w:r w:rsidRPr="001A2A1B">
        <w:t xml:space="preserve">B1. </w:t>
      </w:r>
      <w:r w:rsidR="004E3683" w:rsidRPr="001A2A1B">
        <w:t>Critically evaluate how organisations create environments where talent flourishes</w:t>
      </w:r>
      <w:bookmarkEnd w:id="1"/>
      <w:r w:rsidR="004E3683" w:rsidRPr="001A2A1B">
        <w:br/>
      </w:r>
    </w:p>
    <w:p w14:paraId="5056D253" w14:textId="56E3E64A" w:rsidR="00C11584" w:rsidRPr="001A2A1B" w:rsidRDefault="004E3683" w:rsidP="00922708">
      <w:pPr>
        <w:spacing w:line="360" w:lineRule="auto"/>
        <w:rPr>
          <w:rFonts w:ascii="Arial" w:hAnsi="Arial" w:cs="Arial"/>
          <w:b/>
          <w:bCs/>
          <w:highlight w:val="yellow"/>
        </w:rPr>
      </w:pPr>
      <w:r w:rsidRPr="001A2A1B">
        <w:rPr>
          <w:rFonts w:ascii="Arial" w:hAnsi="Arial" w:cs="Arial"/>
          <w:b/>
          <w:bCs/>
        </w:rPr>
        <w:t>Learning Organisation (Senge)</w:t>
      </w:r>
    </w:p>
    <w:p w14:paraId="5A7EB178" w14:textId="62FBE5C8" w:rsidR="009434B0" w:rsidRPr="001A2A1B" w:rsidRDefault="009434B0" w:rsidP="00922708">
      <w:pPr>
        <w:spacing w:line="360" w:lineRule="auto"/>
        <w:rPr>
          <w:rFonts w:ascii="Arial" w:hAnsi="Arial" w:cs="Arial"/>
        </w:rPr>
      </w:pPr>
      <w:r w:rsidRPr="001A2A1B">
        <w:rPr>
          <w:rFonts w:ascii="Arial" w:hAnsi="Arial" w:cs="Arial"/>
        </w:rPr>
        <w:t xml:space="preserve">Senge’s learning organisation connects personal mastery, mental models, shared vision, team learning and systems thinking (Senge, </w:t>
      </w:r>
      <w:r w:rsidR="00A15FB4">
        <w:rPr>
          <w:rFonts w:ascii="Arial" w:hAnsi="Arial" w:cs="Arial"/>
        </w:rPr>
        <w:t>2010</w:t>
      </w:r>
      <w:r w:rsidR="00B606C7" w:rsidRPr="001A2A1B">
        <w:rPr>
          <w:rFonts w:ascii="Arial" w:hAnsi="Arial" w:cs="Arial"/>
        </w:rPr>
        <w:t>)</w:t>
      </w:r>
      <w:r w:rsidRPr="001A2A1B">
        <w:rPr>
          <w:rFonts w:ascii="Arial" w:hAnsi="Arial" w:cs="Arial"/>
        </w:rPr>
        <w:t>. Its contribution is recognising that employee development depends on organisational conditions rather than training alone. Personal mastery supports individual capability, while team learning enables knowledge to become a collective resource. Systems thinking connects development with management priorities, working practices and organisational outcomes.</w:t>
      </w:r>
    </w:p>
    <w:p w14:paraId="496B2D99" w14:textId="77777777" w:rsidR="009434B0" w:rsidRPr="001A2A1B" w:rsidRDefault="009434B0" w:rsidP="00922708">
      <w:pPr>
        <w:spacing w:line="360" w:lineRule="auto"/>
        <w:rPr>
          <w:rFonts w:ascii="Arial" w:hAnsi="Arial" w:cs="Arial"/>
        </w:rPr>
      </w:pPr>
      <w:r w:rsidRPr="001A2A1B">
        <w:rPr>
          <w:rFonts w:ascii="Arial" w:hAnsi="Arial" w:cs="Arial"/>
        </w:rPr>
        <w:t>This approach is relevant to NexSpace because employees report inadequate learning opportunities and high performers perceive limited career growth. Providing courses would have limited value if employees lacked time to learn or opportunities to apply their knowledge. Learning must therefore become part of everyday work rather than an activity competing with delivery targets.</w:t>
      </w:r>
    </w:p>
    <w:p w14:paraId="3FB09522" w14:textId="77777777" w:rsidR="009434B0" w:rsidRPr="001A2A1B" w:rsidRDefault="009434B0" w:rsidP="00922708">
      <w:pPr>
        <w:spacing w:line="360" w:lineRule="auto"/>
        <w:rPr>
          <w:rFonts w:ascii="Arial" w:hAnsi="Arial" w:cs="Arial"/>
        </w:rPr>
      </w:pPr>
      <w:r w:rsidRPr="001A2A1B">
        <w:rPr>
          <w:rFonts w:ascii="Arial" w:hAnsi="Arial" w:cs="Arial"/>
        </w:rPr>
        <w:t xml:space="preserve">However, Senge’s framework offers broad principles rather than a precise implementation process. A shared vision may also reflect management priorities without adequately considering employees’ aspirations. Organisations must distinguish between encouraging commitment to business goals and providing meaningful development. For NexSpace, the framework is useful when supported by resources, opportunities to apply learning and evidence of capability improvement. </w:t>
      </w:r>
      <w:r w:rsidRPr="001A2A1B">
        <w:rPr>
          <w:rFonts w:ascii="Arial" w:hAnsi="Arial" w:cs="Arial"/>
        </w:rPr>
        <w:lastRenderedPageBreak/>
        <w:t>Describing the organisation as learning-oriented would otherwise conceal the gap between its intentions and employees’ experience.</w:t>
      </w:r>
    </w:p>
    <w:p w14:paraId="237EC3BF" w14:textId="77777777" w:rsidR="009434B0" w:rsidRPr="001A2A1B" w:rsidRDefault="009434B0" w:rsidP="00922708">
      <w:pPr>
        <w:spacing w:line="360" w:lineRule="auto"/>
        <w:rPr>
          <w:rFonts w:ascii="Arial" w:hAnsi="Arial" w:cs="Arial"/>
        </w:rPr>
      </w:pPr>
    </w:p>
    <w:p w14:paraId="02A74C71" w14:textId="74560806" w:rsidR="009C3B11" w:rsidRPr="001A2A1B" w:rsidRDefault="009C3B11" w:rsidP="00922708">
      <w:pPr>
        <w:spacing w:line="360" w:lineRule="auto"/>
        <w:rPr>
          <w:rFonts w:ascii="Arial" w:hAnsi="Arial" w:cs="Arial"/>
        </w:rPr>
      </w:pPr>
      <w:r w:rsidRPr="001A2A1B">
        <w:rPr>
          <w:rFonts w:ascii="Arial" w:hAnsi="Arial" w:cs="Arial"/>
          <w:b/>
          <w:bCs/>
        </w:rPr>
        <w:t>Talent Management Frameworks</w:t>
      </w:r>
    </w:p>
    <w:p w14:paraId="6F3AA16C" w14:textId="6F14BA79" w:rsidR="009434B0" w:rsidRPr="001A2A1B" w:rsidRDefault="009434B0" w:rsidP="00922708">
      <w:pPr>
        <w:spacing w:line="360" w:lineRule="auto"/>
        <w:rPr>
          <w:rFonts w:ascii="Arial" w:hAnsi="Arial" w:cs="Arial"/>
        </w:rPr>
      </w:pPr>
      <w:r w:rsidRPr="001A2A1B">
        <w:rPr>
          <w:rFonts w:ascii="Arial" w:hAnsi="Arial" w:cs="Arial"/>
        </w:rPr>
        <w:t>Collings and Mellahi (2009) connect strategic talent management with identifying critical positions, developing talent pools and aligning HR practices with organisational needs.</w:t>
      </w:r>
      <w:r w:rsidR="00FA4BBA">
        <w:rPr>
          <w:rFonts w:ascii="Arial" w:hAnsi="Arial" w:cs="Arial"/>
        </w:rPr>
        <w:t xml:space="preserve"> </w:t>
      </w:r>
      <w:r w:rsidRPr="001A2A1B">
        <w:rPr>
          <w:rFonts w:ascii="Arial" w:hAnsi="Arial" w:cs="Arial"/>
        </w:rPr>
        <w:t>This provides a basis for prioritising limited development resources. Critical positions need not be senior management roles: specialist expertise may contribute substantially to competitive advantage.</w:t>
      </w:r>
      <w:r w:rsidR="00FA4BBA" w:rsidRPr="00FA4BBA">
        <w:rPr>
          <w:rFonts w:ascii="Arial" w:hAnsi="Arial" w:cs="Arial"/>
        </w:rPr>
        <w:t xml:space="preserve"> </w:t>
      </w:r>
      <w:r w:rsidR="00FA4BBA" w:rsidRPr="00FA4BBA">
        <w:rPr>
          <w:rFonts w:ascii="Arial" w:hAnsi="Arial" w:cs="Arial"/>
        </w:rPr>
        <w:t>Succession planning should identify business-critical technical and leadership positions, assess potential internal successors and provide targeted mentoring and developmental assignments. However, transparent selection criteria are essential to minimise favouritism and ensure equitable access to advancement opportunities.</w:t>
      </w:r>
    </w:p>
    <w:p w14:paraId="374F8DF1" w14:textId="77777777" w:rsidR="009434B0" w:rsidRPr="001A2A1B" w:rsidRDefault="009434B0" w:rsidP="00922708">
      <w:pPr>
        <w:spacing w:line="360" w:lineRule="auto"/>
        <w:rPr>
          <w:rFonts w:ascii="Arial" w:hAnsi="Arial" w:cs="Arial"/>
        </w:rPr>
      </w:pPr>
      <w:r w:rsidRPr="001A2A1B">
        <w:rPr>
          <w:rFonts w:ascii="Arial" w:hAnsi="Arial" w:cs="Arial"/>
        </w:rPr>
        <w:t>For NexSpace, this approach links development investment to the capabilities needed for AI-enabled healthcare technologies. It also highlights why recruitment alone cannot resolve talent shortages when existing employees leave because progression opportunities are unclear. Development and retention must form a connected process.</w:t>
      </w:r>
    </w:p>
    <w:p w14:paraId="02052B00" w14:textId="225EB052" w:rsidR="009434B0" w:rsidRPr="001A2A1B" w:rsidRDefault="009434B0" w:rsidP="00922708">
      <w:pPr>
        <w:spacing w:line="360" w:lineRule="auto"/>
        <w:rPr>
          <w:rFonts w:ascii="Arial" w:hAnsi="Arial" w:cs="Arial"/>
        </w:rPr>
      </w:pPr>
      <w:r w:rsidRPr="001A2A1B">
        <w:rPr>
          <w:rFonts w:ascii="Arial" w:hAnsi="Arial" w:cs="Arial"/>
        </w:rPr>
        <w:t xml:space="preserve">Nevertheless, concentrating investment on selected employees creates a tension between strategic focus and wider access to opportunity. Assessments of potential may favour visible employees or reproduce managers’ existing preferences, overlooking capable staff across international locations. Exclusive opportunities could therefore undermine the commitment the organisation seeks to build. Conversely, distributing identical resources to every employee may overlook differences in business need. NexSpace should balance targeted investment in critical roles with accessible learning and transparent progression criteria. The framework offers strategic </w:t>
      </w:r>
      <w:r w:rsidRPr="001A2A1B">
        <w:rPr>
          <w:rFonts w:ascii="Arial" w:hAnsi="Arial" w:cs="Arial"/>
        </w:rPr>
        <w:t>direction but</w:t>
      </w:r>
      <w:r w:rsidRPr="001A2A1B">
        <w:rPr>
          <w:rFonts w:ascii="Arial" w:hAnsi="Arial" w:cs="Arial"/>
        </w:rPr>
        <w:t xml:space="preserve"> does not establish that talent programmes automatically improve retention; employees must experience credible opportunities.</w:t>
      </w:r>
    </w:p>
    <w:p w14:paraId="39845C4E" w14:textId="77777777" w:rsidR="00595E9B" w:rsidRPr="001A2A1B" w:rsidRDefault="00595E9B" w:rsidP="00922708">
      <w:pPr>
        <w:spacing w:line="360" w:lineRule="auto"/>
        <w:rPr>
          <w:rFonts w:ascii="Arial" w:hAnsi="Arial" w:cs="Arial"/>
          <w:b/>
          <w:bCs/>
        </w:rPr>
      </w:pPr>
      <w:r w:rsidRPr="001A2A1B">
        <w:rPr>
          <w:rFonts w:ascii="Arial" w:hAnsi="Arial" w:cs="Arial"/>
          <w:b/>
          <w:bCs/>
        </w:rPr>
        <w:t>Employee Experience (EX)</w:t>
      </w:r>
    </w:p>
    <w:p w14:paraId="57A83223" w14:textId="77777777" w:rsidR="009434B0" w:rsidRPr="001A2A1B" w:rsidRDefault="009434B0" w:rsidP="00922708">
      <w:pPr>
        <w:spacing w:line="360" w:lineRule="auto"/>
        <w:rPr>
          <w:rFonts w:ascii="Arial" w:hAnsi="Arial" w:cs="Arial"/>
        </w:rPr>
      </w:pPr>
      <w:r w:rsidRPr="001A2A1B">
        <w:rPr>
          <w:rFonts w:ascii="Arial" w:hAnsi="Arial" w:cs="Arial"/>
        </w:rPr>
        <w:t xml:space="preserve">Employee experience examines how employees perceive everyday management, working conditions, development and progression. It complements talent </w:t>
      </w:r>
      <w:r w:rsidRPr="001A2A1B">
        <w:rPr>
          <w:rFonts w:ascii="Arial" w:hAnsi="Arial" w:cs="Arial"/>
        </w:rPr>
        <w:lastRenderedPageBreak/>
        <w:t>management by assessing whether formal policies produce meaningful opportunities. A training programme may exist while employees feel unable to participate because managers prioritise immediate output. CIPD (2026) identifies fair treatment, flexibility and wellbeing as important retention practices.</w:t>
      </w:r>
    </w:p>
    <w:p w14:paraId="6A985E93" w14:textId="75492DBE" w:rsidR="009434B0" w:rsidRPr="001A2A1B" w:rsidRDefault="009434B0" w:rsidP="00922708">
      <w:pPr>
        <w:spacing w:line="360" w:lineRule="auto"/>
        <w:rPr>
          <w:rFonts w:ascii="Arial" w:hAnsi="Arial" w:cs="Arial"/>
        </w:rPr>
      </w:pPr>
      <w:r w:rsidRPr="001A2A1B">
        <w:rPr>
          <w:rFonts w:ascii="Arial" w:hAnsi="Arial" w:cs="Arial"/>
        </w:rPr>
        <w:t xml:space="preserve">EX directly addresses NexSpace’s difficulty balancing wellbeing with </w:t>
      </w:r>
      <w:r w:rsidR="00F7429E" w:rsidRPr="001A2A1B">
        <w:rPr>
          <w:rFonts w:ascii="Arial" w:hAnsi="Arial" w:cs="Arial"/>
        </w:rPr>
        <w:t>high-performance</w:t>
      </w:r>
      <w:r w:rsidRPr="001A2A1B">
        <w:rPr>
          <w:rFonts w:ascii="Arial" w:hAnsi="Arial" w:cs="Arial"/>
        </w:rPr>
        <w:t xml:space="preserve"> expectations.</w:t>
      </w:r>
      <w:r w:rsidR="00815F4A" w:rsidRPr="001A2A1B">
        <w:rPr>
          <w:rFonts w:ascii="Arial" w:hAnsi="Arial" w:cs="Arial"/>
        </w:rPr>
        <w:t xml:space="preserve"> </w:t>
      </w:r>
      <w:r w:rsidR="00815F4A" w:rsidRPr="001A2A1B">
        <w:rPr>
          <w:rFonts w:ascii="Arial" w:hAnsi="Arial" w:cs="Arial"/>
        </w:rPr>
        <w:t>Guest (2017) argues that employee wellbeing should be a central HR objective, challenging approaches that treat it merely as a means of improving performance.</w:t>
      </w:r>
      <w:r w:rsidRPr="001A2A1B">
        <w:rPr>
          <w:rFonts w:ascii="Arial" w:hAnsi="Arial" w:cs="Arial"/>
        </w:rPr>
        <w:t xml:space="preserve"> Boxall and Macky (2014) distinguish employee involvement from work intensity, associating greater intensity with stress and fatigue.</w:t>
      </w:r>
      <w:r w:rsidR="00815F4A" w:rsidRPr="001A2A1B">
        <w:rPr>
          <w:rFonts w:ascii="Arial" w:hAnsi="Arial" w:cs="Arial"/>
        </w:rPr>
        <w:t xml:space="preserve"> </w:t>
      </w:r>
      <w:r w:rsidRPr="001A2A1B">
        <w:rPr>
          <w:rFonts w:ascii="Arial" w:hAnsi="Arial" w:cs="Arial"/>
        </w:rPr>
        <w:t xml:space="preserve"> Applied through an </w:t>
      </w:r>
      <w:r w:rsidR="00F7429E" w:rsidRPr="001A2A1B">
        <w:rPr>
          <w:rFonts w:ascii="Arial" w:hAnsi="Arial" w:cs="Arial"/>
        </w:rPr>
        <w:t>EX-perspective</w:t>
      </w:r>
      <w:r w:rsidRPr="001A2A1B">
        <w:rPr>
          <w:rFonts w:ascii="Arial" w:hAnsi="Arial" w:cs="Arial"/>
        </w:rPr>
        <w:t>, this challenges the assumption that additional responsibility or development activity necessarily improves working life.</w:t>
      </w:r>
    </w:p>
    <w:p w14:paraId="727122E3" w14:textId="758C198C" w:rsidR="009434B0" w:rsidRPr="001A2A1B" w:rsidRDefault="009434B0" w:rsidP="00922708">
      <w:pPr>
        <w:spacing w:line="360" w:lineRule="auto"/>
        <w:rPr>
          <w:rFonts w:ascii="Arial" w:hAnsi="Arial" w:cs="Arial"/>
        </w:rPr>
      </w:pPr>
      <w:r w:rsidRPr="001A2A1B">
        <w:rPr>
          <w:rFonts w:ascii="Arial" w:hAnsi="Arial" w:cs="Arial"/>
        </w:rPr>
        <w:t xml:space="preserve">However, EX can become too broad to guide decisions unless organisations identify specific experiences requiring improvement. Overall satisfaction scores may conceal unequal access to learning or excessive workloads in particular teams. Positive perceptions also do not independently demonstrate improved capability. </w:t>
      </w:r>
      <w:r w:rsidR="00FA4BBA" w:rsidRPr="00FA4BBA">
        <w:rPr>
          <w:rFonts w:ascii="Arial" w:hAnsi="Arial" w:cs="Arial"/>
        </w:rPr>
        <w:t xml:space="preserve">Improved employee satisfaction should not be interpreted as evidence of successful talent retention, as highly skilled employees may still leave due to limited progression opportunities. </w:t>
      </w:r>
      <w:r w:rsidRPr="001A2A1B">
        <w:rPr>
          <w:rFonts w:ascii="Arial" w:hAnsi="Arial" w:cs="Arial"/>
        </w:rPr>
        <w:t>NexSpace should therefore consider employee feedback alongside progression, skill application and workload evidence. Together, the three approaches connect learning conditions, career opportunities and the lived experience of development.</w:t>
      </w:r>
    </w:p>
    <w:p w14:paraId="601DCE3A" w14:textId="77777777" w:rsidR="00E005E4" w:rsidRPr="001A2A1B" w:rsidRDefault="00E005E4" w:rsidP="00922708">
      <w:pPr>
        <w:pStyle w:val="Heading2"/>
        <w:spacing w:line="360" w:lineRule="auto"/>
      </w:pPr>
      <w:bookmarkStart w:id="2" w:name="_Toc242908595"/>
      <w:r w:rsidRPr="001A2A1B">
        <w:t>B2. Develop a comprehensive talent growth strategy for NexSpace Health Systems</w:t>
      </w:r>
      <w:bookmarkEnd w:id="2"/>
    </w:p>
    <w:p w14:paraId="725FB474" w14:textId="77777777" w:rsidR="009434B0" w:rsidRPr="001A2A1B" w:rsidRDefault="009434B0" w:rsidP="00922708">
      <w:pPr>
        <w:spacing w:line="360" w:lineRule="auto"/>
        <w:rPr>
          <w:rFonts w:ascii="Arial" w:hAnsi="Arial" w:cs="Arial"/>
        </w:rPr>
      </w:pPr>
      <w:r w:rsidRPr="001A2A1B">
        <w:rPr>
          <w:rFonts w:ascii="Arial" w:hAnsi="Arial" w:cs="Arial"/>
        </w:rPr>
        <w:t>NexSpace should establish a coordinated strategy linking continuous learning, credible career progression and sustainable working conditions. The HR director should oversee implementation with department leaders, who must make development practical within team workloads. Initial skills reviews and employee discussions should identify future capability requirements alongside employees’ aspirations, avoiding a strategy determined solely by short-term vacancies.</w:t>
      </w:r>
    </w:p>
    <w:p w14:paraId="5C9AC3DE" w14:textId="77777777" w:rsidR="009434B0" w:rsidRPr="001A2A1B" w:rsidRDefault="009434B0" w:rsidP="00922708">
      <w:pPr>
        <w:spacing w:line="360" w:lineRule="auto"/>
        <w:rPr>
          <w:rFonts w:ascii="Arial" w:hAnsi="Arial" w:cs="Arial"/>
          <w:b/>
          <w:bCs/>
        </w:rPr>
      </w:pPr>
      <w:r w:rsidRPr="001A2A1B">
        <w:rPr>
          <w:rFonts w:ascii="Arial" w:hAnsi="Arial" w:cs="Arial"/>
          <w:b/>
          <w:bCs/>
        </w:rPr>
        <w:t>Learning and development</w:t>
      </w:r>
    </w:p>
    <w:p w14:paraId="3859140F" w14:textId="77777777" w:rsidR="009434B0" w:rsidRPr="001A2A1B" w:rsidRDefault="009434B0" w:rsidP="00922708">
      <w:pPr>
        <w:spacing w:line="360" w:lineRule="auto"/>
        <w:rPr>
          <w:rFonts w:ascii="Arial" w:hAnsi="Arial" w:cs="Arial"/>
        </w:rPr>
      </w:pPr>
      <w:r w:rsidRPr="001A2A1B">
        <w:rPr>
          <w:rFonts w:ascii="Arial" w:hAnsi="Arial" w:cs="Arial"/>
        </w:rPr>
        <w:lastRenderedPageBreak/>
        <w:t>Individual development plans should combine targeted training, mentoring and practical assignments linked to identified capability gaps. Managers should include protected learning time in workload planning and adjust delivery expectations accordingly. This translates Senge’s approach into opportunities employees can use, rather than increasing demands without providing resources.</w:t>
      </w:r>
    </w:p>
    <w:p w14:paraId="4C635951" w14:textId="77777777" w:rsidR="009434B0" w:rsidRPr="001A2A1B" w:rsidRDefault="009434B0" w:rsidP="00922708">
      <w:pPr>
        <w:spacing w:line="360" w:lineRule="auto"/>
        <w:rPr>
          <w:rFonts w:ascii="Arial" w:hAnsi="Arial" w:cs="Arial"/>
        </w:rPr>
      </w:pPr>
      <w:r w:rsidRPr="001A2A1B">
        <w:rPr>
          <w:rFonts w:ascii="Arial" w:hAnsi="Arial" w:cs="Arial"/>
        </w:rPr>
        <w:t>Cross-country learning groups should discuss project outcomes and share lessons, supported by a common repository. Employees should demonstrate how learning improves their work, with feedback from mentors and colleagues. Course completion alone would provide insufficient evidence of development. To control costs, NexSpace could initially prioritise its most significant capability gaps while maintaining foundational learning opportunities across the workforce.</w:t>
      </w:r>
    </w:p>
    <w:p w14:paraId="1A665869" w14:textId="77777777" w:rsidR="009434B0" w:rsidRPr="001A2A1B" w:rsidRDefault="009434B0" w:rsidP="00922708">
      <w:pPr>
        <w:spacing w:line="360" w:lineRule="auto"/>
        <w:rPr>
          <w:rFonts w:ascii="Arial" w:hAnsi="Arial" w:cs="Arial"/>
          <w:b/>
          <w:bCs/>
        </w:rPr>
      </w:pPr>
      <w:r w:rsidRPr="001A2A1B">
        <w:rPr>
          <w:rFonts w:ascii="Arial" w:hAnsi="Arial" w:cs="Arial"/>
          <w:b/>
          <w:bCs/>
        </w:rPr>
        <w:t>Career growth and talent retention</w:t>
      </w:r>
    </w:p>
    <w:p w14:paraId="635A81C5" w14:textId="35847EF1" w:rsidR="009434B0" w:rsidRPr="001A2A1B" w:rsidRDefault="009434B0" w:rsidP="00922708">
      <w:pPr>
        <w:spacing w:line="360" w:lineRule="auto"/>
        <w:rPr>
          <w:rFonts w:ascii="Arial" w:hAnsi="Arial" w:cs="Arial"/>
        </w:rPr>
      </w:pPr>
      <w:r w:rsidRPr="001A2A1B">
        <w:rPr>
          <w:rFonts w:ascii="Arial" w:hAnsi="Arial" w:cs="Arial"/>
        </w:rPr>
        <w:t>NexSpace should publish technical and managerial career pathways, with clear criteria showing how employees can progress. Internal vacancies, mentoring and temporary project assignments should make opportunities visible across locations. Talent pools should prepare several candidates for critical roles, following Collings and Mellahi’s (2009) strategic focus.</w:t>
      </w:r>
    </w:p>
    <w:p w14:paraId="2231434D" w14:textId="77777777" w:rsidR="009434B0" w:rsidRPr="001A2A1B" w:rsidRDefault="009434B0" w:rsidP="00922708">
      <w:pPr>
        <w:spacing w:line="360" w:lineRule="auto"/>
        <w:rPr>
          <w:rFonts w:ascii="Arial" w:hAnsi="Arial" w:cs="Arial"/>
        </w:rPr>
      </w:pPr>
      <w:r w:rsidRPr="001A2A1B">
        <w:rPr>
          <w:rFonts w:ascii="Arial" w:hAnsi="Arial" w:cs="Arial"/>
        </w:rPr>
        <w:t>Selection should use documented evidence and regular reassessment, enabling employees outside the original pool to enter as their capabilities develop. However, participation must not imply guaranteed promotion. Where vacancies are limited, development should also offer broader expertise and meaningful responsibilities, with employees choosing opportunities relevant to their aspirations.</w:t>
      </w:r>
    </w:p>
    <w:p w14:paraId="56EFA78E" w14:textId="77777777" w:rsidR="009434B0" w:rsidRPr="001A2A1B" w:rsidRDefault="009434B0" w:rsidP="00922708">
      <w:pPr>
        <w:spacing w:line="360" w:lineRule="auto"/>
        <w:rPr>
          <w:rFonts w:ascii="Arial" w:hAnsi="Arial" w:cs="Arial"/>
          <w:b/>
          <w:bCs/>
        </w:rPr>
      </w:pPr>
      <w:r w:rsidRPr="001A2A1B">
        <w:rPr>
          <w:rFonts w:ascii="Arial" w:hAnsi="Arial" w:cs="Arial"/>
          <w:b/>
          <w:bCs/>
        </w:rPr>
        <w:t>Employee experience and evaluation</w:t>
      </w:r>
    </w:p>
    <w:p w14:paraId="42FBD079" w14:textId="77777777" w:rsidR="009434B0" w:rsidRPr="001A2A1B" w:rsidRDefault="009434B0" w:rsidP="00922708">
      <w:pPr>
        <w:spacing w:line="360" w:lineRule="auto"/>
        <w:rPr>
          <w:rFonts w:ascii="Arial" w:hAnsi="Arial" w:cs="Arial"/>
        </w:rPr>
      </w:pPr>
      <w:r w:rsidRPr="001A2A1B">
        <w:rPr>
          <w:rFonts w:ascii="Arial" w:hAnsi="Arial" w:cs="Arial"/>
        </w:rPr>
        <w:t>Managers should hold regular conversations about development, workload and career expectations. Recognition should value knowledge sharing and skill application alongside delivery, preventing learning from being discouraged by narrowly defined targets. Confidential feedback and follow-up discussions should identify barriers that employees may hesitate to raise directly.</w:t>
      </w:r>
    </w:p>
    <w:p w14:paraId="51797C49" w14:textId="77777777" w:rsidR="009434B0" w:rsidRPr="001A2A1B" w:rsidRDefault="009434B0" w:rsidP="00922708">
      <w:pPr>
        <w:spacing w:line="360" w:lineRule="auto"/>
        <w:rPr>
          <w:rFonts w:ascii="Arial" w:hAnsi="Arial" w:cs="Arial"/>
        </w:rPr>
      </w:pPr>
      <w:r w:rsidRPr="001A2A1B">
        <w:rPr>
          <w:rFonts w:ascii="Arial" w:hAnsi="Arial" w:cs="Arial"/>
        </w:rPr>
        <w:t xml:space="preserve">A six-month pilot should compare demonstrated capability, internal progression, high-performer turnover and workload with baseline measures. Results should be examined by location and employee group to identify unequal access. Falling </w:t>
      </w:r>
      <w:r w:rsidRPr="001A2A1B">
        <w:rPr>
          <w:rFonts w:ascii="Arial" w:hAnsi="Arial" w:cs="Arial"/>
        </w:rPr>
        <w:lastRenderedPageBreak/>
        <w:t>turnover alone would not prove success because external employment conditions may influence departures. Expansion should depend on combined evidence that employees develop useful capabilities, see credible growth opportunities and maintain sustainable workloads.</w:t>
      </w:r>
    </w:p>
    <w:p w14:paraId="0497635B" w14:textId="066E0153" w:rsidR="009C3B11" w:rsidRPr="001A2A1B" w:rsidRDefault="00E005E4" w:rsidP="00922708">
      <w:pPr>
        <w:pStyle w:val="Heading2"/>
        <w:spacing w:line="360" w:lineRule="auto"/>
      </w:pPr>
      <w:bookmarkStart w:id="3" w:name="_Toc242908596"/>
      <w:r w:rsidRPr="001A2A1B">
        <w:t>Task C: Reflective report</w:t>
      </w:r>
      <w:bookmarkEnd w:id="3"/>
    </w:p>
    <w:p w14:paraId="34DAE768" w14:textId="77777777" w:rsidR="00AF26F3" w:rsidRPr="001A2A1B" w:rsidRDefault="00AF26F3" w:rsidP="00922708">
      <w:pPr>
        <w:spacing w:line="360" w:lineRule="auto"/>
        <w:rPr>
          <w:rFonts w:ascii="Arial" w:hAnsi="Arial" w:cs="Arial"/>
          <w:b/>
          <w:bCs/>
        </w:rPr>
      </w:pPr>
      <w:r w:rsidRPr="001A2A1B">
        <w:rPr>
          <w:rFonts w:ascii="Arial" w:hAnsi="Arial" w:cs="Arial"/>
          <w:b/>
          <w:bCs/>
        </w:rPr>
        <w:t>AI as a Strategic Tool</w:t>
      </w:r>
    </w:p>
    <w:p w14:paraId="4CEC4903" w14:textId="4B3B74A6" w:rsidR="00AF26F3" w:rsidRPr="001A2A1B" w:rsidRDefault="00AF26F3" w:rsidP="00922708">
      <w:pPr>
        <w:spacing w:line="360" w:lineRule="auto"/>
        <w:rPr>
          <w:rFonts w:ascii="Arial" w:hAnsi="Arial" w:cs="Arial"/>
        </w:rPr>
      </w:pPr>
      <w:r w:rsidRPr="001A2A1B">
        <w:rPr>
          <w:rFonts w:ascii="Arial" w:hAnsi="Arial" w:cs="Arial"/>
        </w:rPr>
        <w:t xml:space="preserve">AI can support strategic HR decisions by identifying patterns in workforce data, highlighting potential skill gaps and informing development priorities. However, useful predictions do not automatically produce fair or appropriate decisions. Tambe, Cappelli and Yakubovich (2019) identify challenges involving complex HR situations, limited datasets, fairness and employee reactions to algorithmic decisions. </w:t>
      </w:r>
      <w:r w:rsidR="00815F4A" w:rsidRPr="001A2A1B">
        <w:rPr>
          <w:rFonts w:ascii="Arial" w:hAnsi="Arial" w:cs="Arial"/>
        </w:rPr>
        <w:t>Hunkenschroer and Luetge’s (2022</w:t>
      </w:r>
      <w:r w:rsidR="00815F4A" w:rsidRPr="001A2A1B">
        <w:rPr>
          <w:rFonts w:ascii="Arial" w:hAnsi="Arial" w:cs="Arial"/>
        </w:rPr>
        <w:t>)</w:t>
      </w:r>
      <w:r w:rsidR="00815F4A" w:rsidRPr="001A2A1B">
        <w:rPr>
          <w:rFonts w:ascii="Arial" w:hAnsi="Arial" w:cs="Arial"/>
        </w:rPr>
        <w:t xml:space="preserve"> review identifies both fairness opportunities and ethical risks in AI recruitment, challenging assumptions that automation necessarily reduces bias.</w:t>
      </w:r>
    </w:p>
    <w:p w14:paraId="1FB9D5D4" w14:textId="77777777" w:rsidR="00AF26F3" w:rsidRPr="001A2A1B" w:rsidRDefault="00AF26F3" w:rsidP="00922708">
      <w:pPr>
        <w:spacing w:line="360" w:lineRule="auto"/>
        <w:rPr>
          <w:rFonts w:ascii="Arial" w:hAnsi="Arial" w:cs="Arial"/>
        </w:rPr>
      </w:pPr>
      <w:r w:rsidRPr="001A2A1B">
        <w:rPr>
          <w:rFonts w:ascii="Arial" w:hAnsi="Arial" w:cs="Arial"/>
        </w:rPr>
        <w:t>As a future HR professional, I would use AI outputs as evidence to question, rather than instructions to follow. Recommendations about recruitment, development or retention should be checked against relevant information and employees’ circumstances. Human empathy requires listening to employees, particularly where numerical indicators overlook personal difficulties or unequal access to opportunities. Professional responsibility therefore includes protecting confidential information, examining possible bias and explaining the reasoning behind decisions. Human involvement must provide meaningful scrutiny rather than simply approve an automated recommendation.</w:t>
      </w:r>
    </w:p>
    <w:p w14:paraId="374CE269" w14:textId="77777777" w:rsidR="00AF26F3" w:rsidRPr="001A2A1B" w:rsidRDefault="00AF26F3" w:rsidP="00922708">
      <w:pPr>
        <w:spacing w:line="360" w:lineRule="auto"/>
        <w:rPr>
          <w:rFonts w:ascii="Arial" w:hAnsi="Arial" w:cs="Arial"/>
          <w:b/>
          <w:bCs/>
        </w:rPr>
      </w:pPr>
      <w:r w:rsidRPr="001A2A1B">
        <w:rPr>
          <w:rFonts w:ascii="Arial" w:hAnsi="Arial" w:cs="Arial"/>
          <w:b/>
          <w:bCs/>
        </w:rPr>
        <w:t>Reflective Analysis</w:t>
      </w:r>
    </w:p>
    <w:p w14:paraId="1B96990F" w14:textId="77777777" w:rsidR="00AF26F3" w:rsidRPr="001A2A1B" w:rsidRDefault="00AF26F3" w:rsidP="00922708">
      <w:pPr>
        <w:spacing w:line="360" w:lineRule="auto"/>
        <w:rPr>
          <w:rFonts w:ascii="Arial" w:hAnsi="Arial" w:cs="Arial"/>
        </w:rPr>
      </w:pPr>
      <w:r w:rsidRPr="001A2A1B">
        <w:rPr>
          <w:rFonts w:ascii="Arial" w:hAnsi="Arial" w:cs="Arial"/>
        </w:rPr>
        <w:t>First, I used AI to clarify unfamiliar concepts and wording, including hierarchical approval delays and agile working. Asking for simpler explanations helped me examine the meaning before revising the language myself. However, complex wording initially made parts of the draft harder to interpret. This demonstrated that academic language is useful only when I understand the argument it expresses. To strengthen my explanatory capability, I need to test whether I can explain a concept independently after receiving assistance.</w:t>
      </w:r>
    </w:p>
    <w:p w14:paraId="7B7A8FCA" w14:textId="77777777" w:rsidR="00AF26F3" w:rsidRPr="001A2A1B" w:rsidRDefault="00AF26F3" w:rsidP="00922708">
      <w:pPr>
        <w:spacing w:line="360" w:lineRule="auto"/>
        <w:rPr>
          <w:rFonts w:ascii="Arial" w:hAnsi="Arial" w:cs="Arial"/>
        </w:rPr>
      </w:pPr>
      <w:r w:rsidRPr="001A2A1B">
        <w:rPr>
          <w:rFonts w:ascii="Arial" w:hAnsi="Arial" w:cs="Arial"/>
        </w:rPr>
        <w:lastRenderedPageBreak/>
        <w:t>Second, I used AI to identify academic references, then accessed and read the original sources. During checking, I identified missing access dates and difficulties locating full texts and citation pages. AI supported my research process, but the output still required verification. This experience highlighted the distinction between receiving a plausible reference and establishing that it accurately supports a claim. My responsibility includes checking publication details, reading the relevant passage and avoiding page numbers I cannot confirm.</w:t>
      </w:r>
    </w:p>
    <w:p w14:paraId="27EB3331" w14:textId="77777777" w:rsidR="00AF26F3" w:rsidRPr="001A2A1B" w:rsidRDefault="00AF26F3" w:rsidP="00922708">
      <w:pPr>
        <w:spacing w:line="360" w:lineRule="auto"/>
        <w:rPr>
          <w:rFonts w:ascii="Arial" w:hAnsi="Arial" w:cs="Arial"/>
        </w:rPr>
      </w:pPr>
      <w:r w:rsidRPr="001A2A1B">
        <w:rPr>
          <w:rFonts w:ascii="Arial" w:hAnsi="Arial" w:cs="Arial"/>
        </w:rPr>
        <w:t>Third, I used AI-assisted drafts to develop ideas before revising them and seeking lecturer feedback. The initial draft covered more frameworks than necessary. My lecturer advised focusing Task A’s recommendations on HPWS and agile, and selecting three approaches for Task B. This showed how detailed output can still lack prioritisation. AI helped generate material, but judging relevance required returning to the brief and acting on feedback. For HR practice, the lesson is that more options do not necessarily improve a recommendation; selection needs a clear rationale.</w:t>
      </w:r>
    </w:p>
    <w:p w14:paraId="0517AD8E" w14:textId="77777777" w:rsidR="00AF26F3" w:rsidRPr="001A2A1B" w:rsidRDefault="00AF26F3" w:rsidP="00922708">
      <w:pPr>
        <w:spacing w:line="360" w:lineRule="auto"/>
        <w:rPr>
          <w:rFonts w:ascii="Arial" w:hAnsi="Arial" w:cs="Arial"/>
          <w:b/>
          <w:bCs/>
        </w:rPr>
      </w:pPr>
      <w:r w:rsidRPr="001A2A1B">
        <w:rPr>
          <w:rFonts w:ascii="Arial" w:hAnsi="Arial" w:cs="Arial"/>
          <w:b/>
          <w:bCs/>
        </w:rPr>
        <w:t>Personal Action Plan</w:t>
      </w:r>
    </w:p>
    <w:p w14:paraId="7869D063" w14:textId="77777777" w:rsidR="00AF26F3" w:rsidRPr="001A2A1B" w:rsidRDefault="00AF26F3" w:rsidP="00922708">
      <w:pPr>
        <w:spacing w:line="360" w:lineRule="auto"/>
        <w:rPr>
          <w:rFonts w:ascii="Arial" w:hAnsi="Arial" w:cs="Arial"/>
        </w:rPr>
      </w:pPr>
      <w:r w:rsidRPr="001A2A1B">
        <w:rPr>
          <w:rFonts w:ascii="Arial" w:hAnsi="Arial" w:cs="Arial"/>
        </w:rPr>
        <w:t>Over the next three months, I will maintain a source-checking record for substantial AI-assisted claims and complete introductory learning in people analytics and responsible AI. Each month, I will analyse a fictional HR dataset, explain its limitations and produce a short recommendation supported by verified evidence.</w:t>
      </w:r>
    </w:p>
    <w:p w14:paraId="668B62BD" w14:textId="3F0C75B5" w:rsidR="00FA3336" w:rsidRPr="001A2A1B" w:rsidRDefault="00AF26F3" w:rsidP="00922708">
      <w:pPr>
        <w:spacing w:line="360" w:lineRule="auto"/>
        <w:rPr>
          <w:rFonts w:ascii="Arial" w:hAnsi="Arial" w:cs="Arial"/>
        </w:rPr>
      </w:pPr>
      <w:r w:rsidRPr="001A2A1B">
        <w:rPr>
          <w:rFonts w:ascii="Arial" w:hAnsi="Arial" w:cs="Arial"/>
        </w:rPr>
        <w:t>I will also practise explaining theories without AI assistance and seek feedback on my reasoning and clarity. Before accepting an AI recommendation, I will examine the evidence, alternative explanations, fairness and affected employees’ perspectives. I will review progress monthly using completed analyses, feedback and my ability to justify decisions independently. These actions aim to strengthen digital literacy, critical judgement and communication while retaining responsibility for my work.</w:t>
      </w:r>
    </w:p>
    <w:p w14:paraId="6371AAF4" w14:textId="77777777" w:rsidR="00B71C29" w:rsidRDefault="00B71C29" w:rsidP="00922708">
      <w:pPr>
        <w:pStyle w:val="Heading2"/>
        <w:spacing w:line="360" w:lineRule="auto"/>
      </w:pPr>
      <w:bookmarkStart w:id="4" w:name="_Toc242908597"/>
    </w:p>
    <w:p w14:paraId="280AAB49" w14:textId="77777777" w:rsidR="00B71C29" w:rsidRDefault="00B71C29" w:rsidP="00B71C29"/>
    <w:p w14:paraId="5F408CC4" w14:textId="77777777" w:rsidR="00B71C29" w:rsidRPr="00B71C29" w:rsidRDefault="00B71C29" w:rsidP="00B71C29"/>
    <w:p w14:paraId="62FE02A4" w14:textId="1CFAFABB" w:rsidR="00C11584" w:rsidRPr="001A2A1B" w:rsidRDefault="00C11584" w:rsidP="00922708">
      <w:pPr>
        <w:pStyle w:val="Heading2"/>
        <w:spacing w:line="360" w:lineRule="auto"/>
      </w:pPr>
      <w:r w:rsidRPr="001A2A1B">
        <w:lastRenderedPageBreak/>
        <w:t>References</w:t>
      </w:r>
      <w:bookmarkEnd w:id="4"/>
      <w:r w:rsidRPr="001A2A1B">
        <w:t xml:space="preserve"> </w:t>
      </w:r>
    </w:p>
    <w:p w14:paraId="37B29E94" w14:textId="6717E4E8" w:rsidR="001D1FCC" w:rsidRPr="001A2A1B" w:rsidRDefault="001D1FCC" w:rsidP="00922708">
      <w:pPr>
        <w:spacing w:line="360" w:lineRule="auto"/>
        <w:rPr>
          <w:rFonts w:ascii="Arial" w:hAnsi="Arial" w:cs="Arial"/>
        </w:rPr>
      </w:pPr>
      <w:r w:rsidRPr="001A2A1B">
        <w:rPr>
          <w:rFonts w:ascii="Arial" w:hAnsi="Arial" w:cs="Arial"/>
        </w:rPr>
        <w:t xml:space="preserve">Bloom, N., Han, R. and Liang, J. (2024) ‘Hybrid working from home improves retention without damaging performance’, </w:t>
      </w:r>
      <w:r w:rsidRPr="001A2A1B">
        <w:rPr>
          <w:rFonts w:ascii="Arial" w:hAnsi="Arial" w:cs="Arial"/>
          <w:i/>
          <w:iCs/>
        </w:rPr>
        <w:t>Nature</w:t>
      </w:r>
      <w:r w:rsidRPr="001A2A1B">
        <w:rPr>
          <w:rFonts w:ascii="Arial" w:hAnsi="Arial" w:cs="Arial"/>
        </w:rPr>
        <w:t xml:space="preserve">, 630(8018), pp. 920–925. Available at: </w:t>
      </w:r>
      <w:hyperlink r:id="rId6" w:history="1">
        <w:r w:rsidRPr="001A2A1B">
          <w:rPr>
            <w:rStyle w:val="Hyperlink"/>
            <w:rFonts w:ascii="Arial" w:hAnsi="Arial" w:cs="Arial"/>
          </w:rPr>
          <w:t>Hybrid working from home improves retention without damaging performance - PMC</w:t>
        </w:r>
      </w:hyperlink>
      <w:r w:rsidRPr="001A2A1B">
        <w:rPr>
          <w:rFonts w:ascii="Arial" w:hAnsi="Arial" w:cs="Arial"/>
        </w:rPr>
        <w:t>. (Accessed: 1 October 2026).</w:t>
      </w:r>
    </w:p>
    <w:p w14:paraId="28487C0E" w14:textId="77777777" w:rsidR="00B71C29" w:rsidRPr="001A2A1B" w:rsidRDefault="00B71C29" w:rsidP="00B71C29">
      <w:pPr>
        <w:spacing w:line="360" w:lineRule="auto"/>
        <w:rPr>
          <w:rFonts w:ascii="Arial" w:hAnsi="Arial" w:cs="Arial"/>
        </w:rPr>
      </w:pPr>
      <w:r w:rsidRPr="001A2A1B">
        <w:rPr>
          <w:rFonts w:ascii="Arial" w:hAnsi="Arial" w:cs="Arial"/>
        </w:rPr>
        <w:t xml:space="preserve">Boxall, P. and Macky, K. (2009) ‘Research and theory on high-performance work systems: progressing the high-involvement stream’, </w:t>
      </w:r>
      <w:r w:rsidRPr="001A2A1B">
        <w:rPr>
          <w:rFonts w:ascii="Arial" w:hAnsi="Arial" w:cs="Arial"/>
          <w:i/>
          <w:iCs/>
        </w:rPr>
        <w:t>Human Resource Management Journal</w:t>
      </w:r>
      <w:r w:rsidRPr="001A2A1B">
        <w:rPr>
          <w:rFonts w:ascii="Arial" w:hAnsi="Arial" w:cs="Arial"/>
        </w:rPr>
        <w:t xml:space="preserve">, 19(1), pp. 3–23. Available at: </w:t>
      </w:r>
      <w:hyperlink r:id="rId7" w:history="1">
        <w:r w:rsidRPr="001A2A1B">
          <w:rPr>
            <w:rStyle w:val="Hyperlink"/>
            <w:rFonts w:ascii="Arial" w:hAnsi="Arial" w:cs="Arial"/>
          </w:rPr>
          <w:t>Research and theory on high</w:t>
        </w:r>
        <w:r w:rsidRPr="001A2A1B">
          <w:rPr>
            <w:rStyle w:val="Hyperlink"/>
            <w:rFonts w:ascii="Cambria Math" w:hAnsi="Cambria Math" w:cs="Cambria Math"/>
          </w:rPr>
          <w:t>‐</w:t>
        </w:r>
        <w:r w:rsidRPr="001A2A1B">
          <w:rPr>
            <w:rStyle w:val="Hyperlink"/>
            <w:rFonts w:ascii="Arial" w:hAnsi="Arial" w:cs="Arial"/>
          </w:rPr>
          <w:t>performance work systems: progressing the high</w:t>
        </w:r>
        <w:r w:rsidRPr="001A2A1B">
          <w:rPr>
            <w:rStyle w:val="Hyperlink"/>
            <w:rFonts w:ascii="Cambria Math" w:hAnsi="Cambria Math" w:cs="Cambria Math"/>
          </w:rPr>
          <w:t>‐</w:t>
        </w:r>
        <w:r w:rsidRPr="001A2A1B">
          <w:rPr>
            <w:rStyle w:val="Hyperlink"/>
            <w:rFonts w:ascii="Arial" w:hAnsi="Arial" w:cs="Arial"/>
          </w:rPr>
          <w:t>involvement stream - Boxall - 2009 - Human Resource Management Journal - Wiley Online Library</w:t>
        </w:r>
      </w:hyperlink>
      <w:r w:rsidRPr="001A2A1B">
        <w:rPr>
          <w:rFonts w:ascii="Arial" w:hAnsi="Arial" w:cs="Arial"/>
        </w:rPr>
        <w:t>. (Accessed: 2 October 2026).</w:t>
      </w:r>
    </w:p>
    <w:p w14:paraId="7FCBE299" w14:textId="77777777" w:rsidR="00B71C29" w:rsidRPr="001A2A1B" w:rsidRDefault="00B71C29" w:rsidP="00B71C29">
      <w:pPr>
        <w:spacing w:line="360" w:lineRule="auto"/>
        <w:rPr>
          <w:rFonts w:ascii="Arial" w:hAnsi="Arial" w:cs="Arial"/>
        </w:rPr>
      </w:pPr>
      <w:r w:rsidRPr="001A2A1B">
        <w:rPr>
          <w:rFonts w:ascii="Arial" w:hAnsi="Arial" w:cs="Arial"/>
        </w:rPr>
        <w:t xml:space="preserve">Boxall, P. and Macky, K. (2014) ‘High-involvement work processes, work intensification and employee well-being’, </w:t>
      </w:r>
      <w:r w:rsidRPr="001A2A1B">
        <w:rPr>
          <w:rFonts w:ascii="Arial" w:hAnsi="Arial" w:cs="Arial"/>
          <w:i/>
          <w:iCs/>
        </w:rPr>
        <w:t>Work, Employment and Society</w:t>
      </w:r>
      <w:r w:rsidRPr="001A2A1B">
        <w:rPr>
          <w:rFonts w:ascii="Arial" w:hAnsi="Arial" w:cs="Arial"/>
        </w:rPr>
        <w:t xml:space="preserve">, 28(6), pp. 963–984. Available at: </w:t>
      </w:r>
      <w:hyperlink r:id="rId8" w:history="1">
        <w:r w:rsidRPr="001A2A1B">
          <w:rPr>
            <w:rStyle w:val="Hyperlink"/>
            <w:rFonts w:ascii="Arial" w:hAnsi="Arial" w:cs="Arial"/>
          </w:rPr>
          <w:t>https://www.researchgate.net/publication/263085390_High-involvement_work_processes_work_intensification_and_employee_well-being</w:t>
        </w:r>
      </w:hyperlink>
      <w:r w:rsidRPr="001A2A1B">
        <w:rPr>
          <w:rFonts w:ascii="Arial" w:hAnsi="Arial" w:cs="Arial"/>
        </w:rPr>
        <w:t>. (Accessed: 2 October 2026).</w:t>
      </w:r>
    </w:p>
    <w:p w14:paraId="1FF29851" w14:textId="77777777" w:rsidR="00B71C29" w:rsidRPr="001A2A1B" w:rsidRDefault="00B71C29" w:rsidP="00B71C29">
      <w:pPr>
        <w:spacing w:line="360" w:lineRule="auto"/>
        <w:rPr>
          <w:rFonts w:ascii="Arial" w:hAnsi="Arial" w:cs="Arial"/>
        </w:rPr>
      </w:pPr>
      <w:r w:rsidRPr="001A2A1B">
        <w:rPr>
          <w:rFonts w:ascii="Arial" w:hAnsi="Arial" w:cs="Arial"/>
        </w:rPr>
        <w:t xml:space="preserve">CIPD (2026) </w:t>
      </w:r>
      <w:r w:rsidRPr="001A2A1B">
        <w:rPr>
          <w:rFonts w:ascii="Arial" w:hAnsi="Arial" w:cs="Arial"/>
          <w:i/>
          <w:iCs/>
        </w:rPr>
        <w:t>Employee turnover and retention</w:t>
      </w:r>
      <w:r w:rsidRPr="001A2A1B">
        <w:rPr>
          <w:rFonts w:ascii="Arial" w:hAnsi="Arial" w:cs="Arial"/>
        </w:rPr>
        <w:t xml:space="preserve">. 16 February. Available at: </w:t>
      </w:r>
      <w:hyperlink r:id="rId9" w:history="1">
        <w:r w:rsidRPr="001A2A1B">
          <w:rPr>
            <w:rStyle w:val="Hyperlink"/>
            <w:rFonts w:ascii="Arial" w:hAnsi="Arial" w:cs="Arial"/>
          </w:rPr>
          <w:t>Employee turnover and retention | Factsheets | CIPD</w:t>
        </w:r>
      </w:hyperlink>
      <w:r w:rsidRPr="001A2A1B">
        <w:rPr>
          <w:rFonts w:ascii="Arial" w:hAnsi="Arial" w:cs="Arial"/>
        </w:rPr>
        <w:t xml:space="preserve"> (Accessed: 4 October 2026).</w:t>
      </w:r>
    </w:p>
    <w:p w14:paraId="5043F95A" w14:textId="7F0C2C42" w:rsidR="001D1FCC" w:rsidRPr="001A2A1B" w:rsidRDefault="00797FE4" w:rsidP="00922708">
      <w:pPr>
        <w:spacing w:line="360" w:lineRule="auto"/>
        <w:rPr>
          <w:rFonts w:ascii="Arial" w:hAnsi="Arial" w:cs="Arial"/>
        </w:rPr>
      </w:pPr>
      <w:r w:rsidRPr="001A2A1B">
        <w:rPr>
          <w:rFonts w:ascii="Arial" w:hAnsi="Arial" w:cs="Arial"/>
        </w:rPr>
        <w:t xml:space="preserve">Clegg, C.W. (2000) ‘Sociotechnical principles for system design’, </w:t>
      </w:r>
      <w:r w:rsidRPr="001A2A1B">
        <w:rPr>
          <w:rFonts w:ascii="Arial" w:hAnsi="Arial" w:cs="Arial"/>
          <w:i/>
          <w:iCs/>
        </w:rPr>
        <w:t>Applied Ergonomics</w:t>
      </w:r>
      <w:r w:rsidRPr="001A2A1B">
        <w:rPr>
          <w:rFonts w:ascii="Arial" w:hAnsi="Arial" w:cs="Arial"/>
        </w:rPr>
        <w:t xml:space="preserve">, 31(5), pp. 463–477. Available at: </w:t>
      </w:r>
      <w:hyperlink r:id="rId10" w:history="1">
        <w:r w:rsidRPr="001A2A1B">
          <w:rPr>
            <w:rStyle w:val="Hyperlink"/>
            <w:rFonts w:ascii="Arial" w:hAnsi="Arial" w:cs="Arial"/>
          </w:rPr>
          <w:t>Sociotechnical principles for system design - ScienceDirect</w:t>
        </w:r>
      </w:hyperlink>
      <w:r w:rsidRPr="001A2A1B">
        <w:rPr>
          <w:rFonts w:ascii="Arial" w:hAnsi="Arial" w:cs="Arial"/>
        </w:rPr>
        <w:t xml:space="preserve"> (Accessed: 3 October 2026).</w:t>
      </w:r>
    </w:p>
    <w:p w14:paraId="2A0B086D" w14:textId="361E4403" w:rsidR="009C3B11" w:rsidRPr="001A2A1B" w:rsidRDefault="009C3B11" w:rsidP="00922708">
      <w:pPr>
        <w:spacing w:line="360" w:lineRule="auto"/>
        <w:rPr>
          <w:rFonts w:ascii="Arial" w:hAnsi="Arial" w:cs="Arial"/>
        </w:rPr>
      </w:pPr>
      <w:r w:rsidRPr="001A2A1B">
        <w:rPr>
          <w:rFonts w:ascii="Arial" w:hAnsi="Arial" w:cs="Arial"/>
        </w:rPr>
        <w:t xml:space="preserve">Collings, D.G. and Mellahi, K. (2009) ‘Strategic talent management: A review and research agenda’, </w:t>
      </w:r>
      <w:r w:rsidRPr="001A2A1B">
        <w:rPr>
          <w:rFonts w:ascii="Arial" w:hAnsi="Arial" w:cs="Arial"/>
          <w:i/>
          <w:iCs/>
        </w:rPr>
        <w:t>Human Resource Management Review</w:t>
      </w:r>
      <w:r w:rsidRPr="001A2A1B">
        <w:rPr>
          <w:rFonts w:ascii="Arial" w:hAnsi="Arial" w:cs="Arial"/>
        </w:rPr>
        <w:t xml:space="preserve">, 19(4), pp. 304–313. Available at: </w:t>
      </w:r>
      <w:hyperlink r:id="rId11" w:history="1">
        <w:r w:rsidRPr="001A2A1B">
          <w:rPr>
            <w:rStyle w:val="Hyperlink"/>
            <w:rFonts w:ascii="Arial" w:hAnsi="Arial" w:cs="Arial"/>
          </w:rPr>
          <w:t>Strategic talent management: A review and research agenda - ScienceDirect</w:t>
        </w:r>
      </w:hyperlink>
      <w:r w:rsidRPr="001A2A1B">
        <w:rPr>
          <w:rFonts w:ascii="Arial" w:hAnsi="Arial" w:cs="Arial"/>
        </w:rPr>
        <w:t xml:space="preserve"> (Accessed: 4 October 2026).</w:t>
      </w:r>
    </w:p>
    <w:p w14:paraId="66743C46" w14:textId="04745733" w:rsidR="00815F4A" w:rsidRPr="001A2A1B" w:rsidRDefault="00815F4A" w:rsidP="00922708">
      <w:pPr>
        <w:spacing w:line="360" w:lineRule="auto"/>
        <w:rPr>
          <w:rFonts w:ascii="Arial" w:hAnsi="Arial" w:cs="Arial"/>
        </w:rPr>
      </w:pPr>
      <w:r w:rsidRPr="001A2A1B">
        <w:rPr>
          <w:rFonts w:ascii="Arial" w:hAnsi="Arial" w:cs="Arial"/>
        </w:rPr>
        <w:t xml:space="preserve">Guest, D.E. (2017) ‘Human resource management and employee well-being: Towards a new analytic framework’, </w:t>
      </w:r>
      <w:r w:rsidRPr="001A2A1B">
        <w:rPr>
          <w:rFonts w:ascii="Arial" w:hAnsi="Arial" w:cs="Arial"/>
          <w:i/>
          <w:iCs/>
        </w:rPr>
        <w:t>Human Resource Management Journal</w:t>
      </w:r>
      <w:r w:rsidRPr="001A2A1B">
        <w:rPr>
          <w:rFonts w:ascii="Arial" w:hAnsi="Arial" w:cs="Arial"/>
        </w:rPr>
        <w:t xml:space="preserve">, 27(1), pp. 22–38. Available at: </w:t>
      </w:r>
      <w:hyperlink r:id="rId12" w:history="1">
        <w:r w:rsidRPr="001A2A1B">
          <w:rPr>
            <w:rStyle w:val="Hyperlink"/>
            <w:rFonts w:ascii="Arial" w:hAnsi="Arial" w:cs="Arial"/>
          </w:rPr>
          <w:t>Human resource management and employee well</w:t>
        </w:r>
        <w:r w:rsidRPr="001A2A1B">
          <w:rPr>
            <w:rStyle w:val="Hyperlink"/>
            <w:rFonts w:ascii="Cambria Math" w:hAnsi="Cambria Math" w:cs="Cambria Math"/>
          </w:rPr>
          <w:t>‐</w:t>
        </w:r>
        <w:r w:rsidRPr="001A2A1B">
          <w:rPr>
            <w:rStyle w:val="Hyperlink"/>
            <w:rFonts w:ascii="Arial" w:hAnsi="Arial" w:cs="Arial"/>
          </w:rPr>
          <w:t>being: towards a new analytic framework</w:t>
        </w:r>
      </w:hyperlink>
      <w:r w:rsidRPr="001A2A1B">
        <w:rPr>
          <w:rFonts w:ascii="Arial" w:hAnsi="Arial" w:cs="Arial"/>
        </w:rPr>
        <w:t xml:space="preserve"> </w:t>
      </w:r>
      <w:r w:rsidRPr="001A2A1B">
        <w:rPr>
          <w:rFonts w:ascii="Arial" w:hAnsi="Arial" w:cs="Arial"/>
        </w:rPr>
        <w:t xml:space="preserve"> (Accessed: 12 October 2026).</w:t>
      </w:r>
    </w:p>
    <w:p w14:paraId="493CD2DD" w14:textId="2E3D3974" w:rsidR="00815F4A" w:rsidRPr="001A2A1B" w:rsidRDefault="00815F4A" w:rsidP="00922708">
      <w:pPr>
        <w:spacing w:line="360" w:lineRule="auto"/>
        <w:rPr>
          <w:rFonts w:ascii="Arial" w:hAnsi="Arial" w:cs="Arial"/>
        </w:rPr>
      </w:pPr>
      <w:r w:rsidRPr="001A2A1B">
        <w:rPr>
          <w:rFonts w:ascii="Arial" w:hAnsi="Arial" w:cs="Arial"/>
        </w:rPr>
        <w:t xml:space="preserve">Hunkenschroer, A.L. and Luetge, C. (2022) ‘Ethics of AI-enabled recruiting and selection: A review and research agenda’, </w:t>
      </w:r>
      <w:r w:rsidRPr="001A2A1B">
        <w:rPr>
          <w:rFonts w:ascii="Arial" w:hAnsi="Arial" w:cs="Arial"/>
          <w:i/>
          <w:iCs/>
        </w:rPr>
        <w:t>Journal of Business Ethics</w:t>
      </w:r>
      <w:r w:rsidRPr="001A2A1B">
        <w:rPr>
          <w:rFonts w:ascii="Arial" w:hAnsi="Arial" w:cs="Arial"/>
        </w:rPr>
        <w:t xml:space="preserve">, 178(4), pp. </w:t>
      </w:r>
      <w:r w:rsidRPr="001A2A1B">
        <w:rPr>
          <w:rFonts w:ascii="Arial" w:hAnsi="Arial" w:cs="Arial"/>
        </w:rPr>
        <w:lastRenderedPageBreak/>
        <w:t xml:space="preserve">977–1007. Available at: </w:t>
      </w:r>
      <w:hyperlink r:id="rId13" w:history="1">
        <w:r w:rsidRPr="001A2A1B">
          <w:rPr>
            <w:rStyle w:val="Hyperlink"/>
            <w:rFonts w:ascii="Arial" w:hAnsi="Arial" w:cs="Arial"/>
          </w:rPr>
          <w:t>Ethics of AI-Enabled Recruiting and Selection: A Review and Research Agenda | Journal of Business Ethics | Springer Nature Link</w:t>
        </w:r>
      </w:hyperlink>
      <w:r w:rsidRPr="001A2A1B">
        <w:rPr>
          <w:rFonts w:ascii="Arial" w:hAnsi="Arial" w:cs="Arial"/>
        </w:rPr>
        <w:t xml:space="preserve"> (Accessed: 12 October 2026).</w:t>
      </w:r>
    </w:p>
    <w:p w14:paraId="4BAA342A" w14:textId="6B88F638" w:rsidR="00815F4A" w:rsidRPr="001A2A1B" w:rsidRDefault="00815F4A" w:rsidP="00922708">
      <w:pPr>
        <w:spacing w:line="360" w:lineRule="auto"/>
        <w:rPr>
          <w:rFonts w:ascii="Arial" w:hAnsi="Arial" w:cs="Arial"/>
        </w:rPr>
      </w:pPr>
      <w:r w:rsidRPr="001A2A1B">
        <w:rPr>
          <w:rFonts w:ascii="Arial" w:hAnsi="Arial" w:cs="Arial"/>
        </w:rPr>
        <w:t xml:space="preserve">Parker, S.K. and Grote, G. (2022) ‘Automation, algorithms, and beyond: Why work design matters more than ever in a digital world’, </w:t>
      </w:r>
      <w:r w:rsidRPr="001A2A1B">
        <w:rPr>
          <w:rFonts w:ascii="Arial" w:hAnsi="Arial" w:cs="Arial"/>
          <w:i/>
          <w:iCs/>
        </w:rPr>
        <w:t>Applied Psychology</w:t>
      </w:r>
      <w:r w:rsidRPr="001A2A1B">
        <w:rPr>
          <w:rFonts w:ascii="Arial" w:hAnsi="Arial" w:cs="Arial"/>
        </w:rPr>
        <w:t xml:space="preserve">, 71(4), pp. 1171–1204. Available at: </w:t>
      </w:r>
      <w:hyperlink r:id="rId14" w:history="1">
        <w:r w:rsidRPr="001A2A1B">
          <w:rPr>
            <w:rStyle w:val="Hyperlink"/>
            <w:rFonts w:ascii="Arial" w:hAnsi="Arial" w:cs="Arial"/>
          </w:rPr>
          <w:t>Automation, Algorithms, and Beyond: Why Work Design Matters More Than Ever in a Digital World - Parker - 2022 - Applied Psychology - Wiley Online Library</w:t>
        </w:r>
      </w:hyperlink>
      <w:r w:rsidRPr="001A2A1B">
        <w:rPr>
          <w:rFonts w:ascii="Arial" w:hAnsi="Arial" w:cs="Arial"/>
        </w:rPr>
        <w:t xml:space="preserve"> </w:t>
      </w:r>
      <w:r w:rsidRPr="001A2A1B">
        <w:rPr>
          <w:rFonts w:ascii="Arial" w:hAnsi="Arial" w:cs="Arial"/>
        </w:rPr>
        <w:t xml:space="preserve"> (Accessed: 12 October 2026).</w:t>
      </w:r>
    </w:p>
    <w:p w14:paraId="33115344" w14:textId="21BFF7DF" w:rsidR="00BF30AA" w:rsidRPr="001A2A1B" w:rsidRDefault="00BF30AA" w:rsidP="00922708">
      <w:pPr>
        <w:spacing w:line="360" w:lineRule="auto"/>
        <w:rPr>
          <w:rFonts w:ascii="Arial" w:hAnsi="Arial" w:cs="Arial"/>
        </w:rPr>
      </w:pPr>
      <w:r w:rsidRPr="001A2A1B">
        <w:rPr>
          <w:rFonts w:ascii="Arial" w:hAnsi="Arial" w:cs="Arial"/>
        </w:rPr>
        <w:t xml:space="preserve">Schwaber, K. and Sutherland, J. (2020) </w:t>
      </w:r>
      <w:r w:rsidRPr="001A2A1B">
        <w:rPr>
          <w:rFonts w:ascii="Arial" w:hAnsi="Arial" w:cs="Arial"/>
          <w:i/>
          <w:iCs/>
        </w:rPr>
        <w:t>The Scrum Guide: The definitive guide to Scrum: The rules of the game</w:t>
      </w:r>
      <w:r w:rsidRPr="001A2A1B">
        <w:rPr>
          <w:rFonts w:ascii="Arial" w:hAnsi="Arial" w:cs="Arial"/>
        </w:rPr>
        <w:t xml:space="preserve">. Available at: </w:t>
      </w:r>
      <w:hyperlink r:id="rId15" w:history="1">
        <w:r w:rsidRPr="001A2A1B">
          <w:rPr>
            <w:rStyle w:val="Hyperlink"/>
            <w:rFonts w:ascii="Arial" w:hAnsi="Arial" w:cs="Arial"/>
          </w:rPr>
          <w:t>2020-Scrum-Guide-US.pdf</w:t>
        </w:r>
      </w:hyperlink>
      <w:r w:rsidRPr="001A2A1B">
        <w:rPr>
          <w:rFonts w:ascii="Arial" w:hAnsi="Arial" w:cs="Arial"/>
        </w:rPr>
        <w:t xml:space="preserve"> (Accessed: 2 October 2026).</w:t>
      </w:r>
    </w:p>
    <w:p w14:paraId="23A2FC07" w14:textId="7FD846EF" w:rsidR="00E8562B" w:rsidRPr="001A2A1B" w:rsidRDefault="00E8562B" w:rsidP="00E8562B">
      <w:pPr>
        <w:spacing w:line="360" w:lineRule="auto"/>
        <w:rPr>
          <w:rFonts w:ascii="Arial" w:hAnsi="Arial" w:cs="Arial"/>
        </w:rPr>
      </w:pPr>
      <w:r w:rsidRPr="001A2A1B">
        <w:rPr>
          <w:rFonts w:ascii="Arial" w:hAnsi="Arial" w:cs="Arial"/>
        </w:rPr>
        <w:t xml:space="preserve">Senge, P. M. (2010). </w:t>
      </w:r>
      <w:r w:rsidRPr="001A2A1B">
        <w:rPr>
          <w:rFonts w:ascii="Arial" w:hAnsi="Arial" w:cs="Arial"/>
          <w:i/>
          <w:iCs/>
        </w:rPr>
        <w:t>The fifth discipline : the art and practice of the learning organization</w:t>
      </w:r>
      <w:r w:rsidRPr="001A2A1B">
        <w:rPr>
          <w:rFonts w:ascii="Arial" w:hAnsi="Arial" w:cs="Arial"/>
        </w:rPr>
        <w:t xml:space="preserve"> (Revised and updated edition.). Random House Business. </w:t>
      </w:r>
      <w:hyperlink r:id="rId16" w:history="1">
        <w:r w:rsidRPr="001A2A1B">
          <w:rPr>
            <w:rStyle w:val="Hyperlink"/>
            <w:rFonts w:ascii="Arial" w:hAnsi="Arial" w:cs="Arial"/>
          </w:rPr>
          <w:t>https://ezproxy.uwtsd.ac.uk/login?url</w:t>
        </w:r>
        <w:r w:rsidRPr="001A2A1B">
          <w:rPr>
            <w:rStyle w:val="Hyperlink"/>
            <w:rFonts w:ascii="Arial" w:hAnsi="Arial" w:cs="Arial"/>
          </w:rPr>
          <w:t>=</w:t>
        </w:r>
        <w:r w:rsidRPr="001A2A1B">
          <w:rPr>
            <w:rStyle w:val="Hyperlink"/>
            <w:rFonts w:ascii="Arial" w:hAnsi="Arial" w:cs="Arial"/>
          </w:rPr>
          <w:t>https://www.vlebooks.com/product/openreader?id=TrinityStD&amp;accId=8886856&amp;isbn=9781407060002&amp;uid=^u</w:t>
        </w:r>
      </w:hyperlink>
      <w:r w:rsidRPr="001A2A1B">
        <w:rPr>
          <w:rFonts w:ascii="Arial" w:hAnsi="Arial" w:cs="Arial"/>
        </w:rPr>
        <w:t>. (</w:t>
      </w:r>
      <w:r w:rsidR="00A14DCB">
        <w:rPr>
          <w:rFonts w:ascii="Arial" w:hAnsi="Arial" w:cs="Arial"/>
        </w:rPr>
        <w:t>A</w:t>
      </w:r>
      <w:r w:rsidRPr="001A2A1B">
        <w:rPr>
          <w:rFonts w:ascii="Arial" w:hAnsi="Arial" w:cs="Arial"/>
        </w:rPr>
        <w:t>ccessed: 12 October)</w:t>
      </w:r>
    </w:p>
    <w:p w14:paraId="0183F339" w14:textId="0B43992E" w:rsidR="000A54FC" w:rsidRPr="001A2A1B" w:rsidRDefault="000A54FC" w:rsidP="00922708">
      <w:pPr>
        <w:spacing w:line="360" w:lineRule="auto"/>
        <w:rPr>
          <w:rFonts w:ascii="Arial" w:hAnsi="Arial" w:cs="Arial"/>
        </w:rPr>
      </w:pPr>
      <w:r w:rsidRPr="001A2A1B">
        <w:rPr>
          <w:rFonts w:ascii="Arial" w:hAnsi="Arial" w:cs="Arial"/>
        </w:rPr>
        <w:t xml:space="preserve">Serrador, P. and Pinto, J.K. (2015) ‘Does Agile work?—A quantitative analysis of agile project success’, </w:t>
      </w:r>
      <w:r w:rsidRPr="001A2A1B">
        <w:rPr>
          <w:rFonts w:ascii="Arial" w:hAnsi="Arial" w:cs="Arial"/>
          <w:i/>
          <w:iCs/>
        </w:rPr>
        <w:t>International Journal of Project Management</w:t>
      </w:r>
      <w:r w:rsidRPr="001A2A1B">
        <w:rPr>
          <w:rFonts w:ascii="Arial" w:hAnsi="Arial" w:cs="Arial"/>
        </w:rPr>
        <w:t xml:space="preserve">, 33(5), pp. 1040–1051. Available at: </w:t>
      </w:r>
      <w:hyperlink r:id="rId17" w:history="1">
        <w:r w:rsidRPr="001A2A1B">
          <w:rPr>
            <w:rStyle w:val="Hyperlink"/>
            <w:rFonts w:ascii="Arial" w:hAnsi="Arial" w:cs="Arial"/>
          </w:rPr>
          <w:t>Does Agile work? — A quantitative analysis of agile project success - ScienceDirect</w:t>
        </w:r>
      </w:hyperlink>
      <w:r w:rsidR="001D1FCC" w:rsidRPr="001A2A1B">
        <w:rPr>
          <w:rFonts w:ascii="Arial" w:hAnsi="Arial" w:cs="Arial"/>
        </w:rPr>
        <w:t>. (Accessed: 1 October 2026).</w:t>
      </w:r>
    </w:p>
    <w:p w14:paraId="727BFEDD" w14:textId="0530000F" w:rsidR="001E3631" w:rsidRPr="001A2A1B" w:rsidRDefault="001E3631" w:rsidP="00922708">
      <w:pPr>
        <w:spacing w:line="360" w:lineRule="auto"/>
        <w:rPr>
          <w:rFonts w:ascii="Arial" w:hAnsi="Arial" w:cs="Arial"/>
        </w:rPr>
      </w:pPr>
      <w:r w:rsidRPr="001A2A1B">
        <w:rPr>
          <w:rFonts w:ascii="Arial" w:hAnsi="Arial" w:cs="Arial"/>
        </w:rPr>
        <w:t xml:space="preserve">Tambe, P., Cappelli, P. and Yakubovich, V. (2019) ‘Artificial intelligence in human resources management: Challenges and a path forward’, </w:t>
      </w:r>
      <w:r w:rsidRPr="001A2A1B">
        <w:rPr>
          <w:rFonts w:ascii="Arial" w:hAnsi="Arial" w:cs="Arial"/>
          <w:i/>
          <w:iCs/>
        </w:rPr>
        <w:t>California Management Review</w:t>
      </w:r>
      <w:r w:rsidRPr="001A2A1B">
        <w:rPr>
          <w:rFonts w:ascii="Arial" w:hAnsi="Arial" w:cs="Arial"/>
        </w:rPr>
        <w:t xml:space="preserve">, 61(4), pp. 15–42. Available at: </w:t>
      </w:r>
      <w:hyperlink r:id="rId18" w:history="1">
        <w:r w:rsidRPr="001A2A1B">
          <w:rPr>
            <w:rStyle w:val="Hyperlink"/>
            <w:rFonts w:ascii="Arial" w:hAnsi="Arial" w:cs="Arial"/>
          </w:rPr>
          <w:t xml:space="preserve">Artificial Intelligence in Human Resources Management: Challenges and a Path </w:t>
        </w:r>
        <w:r w:rsidRPr="001A2A1B">
          <w:rPr>
            <w:rStyle w:val="Hyperlink"/>
            <w:rFonts w:ascii="Arial" w:hAnsi="Arial" w:cs="Arial"/>
          </w:rPr>
          <w:t>F</w:t>
        </w:r>
        <w:r w:rsidRPr="001A2A1B">
          <w:rPr>
            <w:rStyle w:val="Hyperlink"/>
            <w:rFonts w:ascii="Arial" w:hAnsi="Arial" w:cs="Arial"/>
          </w:rPr>
          <w:t>o</w:t>
        </w:r>
        <w:r w:rsidRPr="001A2A1B">
          <w:rPr>
            <w:rStyle w:val="Hyperlink"/>
            <w:rFonts w:ascii="Arial" w:hAnsi="Arial" w:cs="Arial"/>
          </w:rPr>
          <w:t>rward</w:t>
        </w:r>
      </w:hyperlink>
      <w:r w:rsidRPr="001A2A1B">
        <w:rPr>
          <w:rFonts w:ascii="Arial" w:hAnsi="Arial" w:cs="Arial"/>
        </w:rPr>
        <w:t xml:space="preserve"> </w:t>
      </w:r>
      <w:r w:rsidRPr="001A2A1B">
        <w:rPr>
          <w:rFonts w:ascii="Arial" w:hAnsi="Arial" w:cs="Arial"/>
        </w:rPr>
        <w:t>(Accessed: 12 October 2026).</w:t>
      </w:r>
    </w:p>
    <w:p w14:paraId="31EA1C33" w14:textId="7DD1EA4F" w:rsidR="00C11584" w:rsidRPr="001A2A1B" w:rsidRDefault="00C11584" w:rsidP="00922708">
      <w:pPr>
        <w:spacing w:line="360" w:lineRule="auto"/>
        <w:rPr>
          <w:rFonts w:ascii="Arial" w:hAnsi="Arial" w:cs="Arial"/>
        </w:rPr>
      </w:pPr>
      <w:r w:rsidRPr="001A2A1B">
        <w:rPr>
          <w:rFonts w:ascii="Arial" w:hAnsi="Arial" w:cs="Arial"/>
        </w:rPr>
        <w:t xml:space="preserve">Taylor, F.W. (1911) </w:t>
      </w:r>
      <w:r w:rsidRPr="001A2A1B">
        <w:rPr>
          <w:rFonts w:ascii="Arial" w:hAnsi="Arial" w:cs="Arial"/>
          <w:i/>
          <w:iCs/>
        </w:rPr>
        <w:t>The principles of scientific management</w:t>
      </w:r>
      <w:r w:rsidRPr="001A2A1B">
        <w:rPr>
          <w:rFonts w:ascii="Arial" w:hAnsi="Arial" w:cs="Arial"/>
        </w:rPr>
        <w:t xml:space="preserve">. New York: Harper &amp; Brothers. Available at: </w:t>
      </w:r>
      <w:hyperlink r:id="rId19" w:history="1">
        <w:r w:rsidRPr="001A2A1B">
          <w:rPr>
            <w:rStyle w:val="Hyperlink"/>
            <w:rFonts w:ascii="Arial" w:hAnsi="Arial" w:cs="Arial"/>
          </w:rPr>
          <w:t>The Project Gutenberg eBook of The Principles of Scientific Management, by Frederick Winslow Taylor</w:t>
        </w:r>
      </w:hyperlink>
      <w:r w:rsidRPr="001A2A1B">
        <w:rPr>
          <w:rFonts w:ascii="Arial" w:hAnsi="Arial" w:cs="Arial"/>
        </w:rPr>
        <w:t xml:space="preserve"> (Accessed: 1 October 2026). </w:t>
      </w:r>
      <w:r w:rsidR="00F65B94" w:rsidRPr="001A2A1B">
        <w:rPr>
          <w:rFonts w:ascii="Arial" w:hAnsi="Arial" w:cs="Arial"/>
        </w:rPr>
        <w:t xml:space="preserve"> </w:t>
      </w:r>
    </w:p>
    <w:p w14:paraId="3FF76860" w14:textId="43D6D0DF" w:rsidR="00C11584" w:rsidRPr="001A2A1B" w:rsidRDefault="001D1FCC" w:rsidP="00922708">
      <w:pPr>
        <w:spacing w:line="360" w:lineRule="auto"/>
        <w:rPr>
          <w:rFonts w:ascii="Arial" w:hAnsi="Arial" w:cs="Arial"/>
        </w:rPr>
      </w:pPr>
      <w:r w:rsidRPr="001A2A1B">
        <w:rPr>
          <w:rFonts w:ascii="Arial" w:hAnsi="Arial" w:cs="Arial"/>
        </w:rPr>
        <w:t xml:space="preserve">Yang, L., Holtz, D., Jaffe, S., Suri, S., Sinha, S., Weston, J., Joyce, C., Shah, N., Sherman, K., Hecht, B. and Teevan, J. (2022) ‘The effects of remote work on collaboration among information workers’, </w:t>
      </w:r>
      <w:r w:rsidRPr="001A2A1B">
        <w:rPr>
          <w:rFonts w:ascii="Arial" w:hAnsi="Arial" w:cs="Arial"/>
          <w:i/>
          <w:iCs/>
        </w:rPr>
        <w:t>Nature Human Behaviour</w:t>
      </w:r>
      <w:r w:rsidRPr="001A2A1B">
        <w:rPr>
          <w:rFonts w:ascii="Arial" w:hAnsi="Arial" w:cs="Arial"/>
        </w:rPr>
        <w:t>, 6(1), pp. 43–</w:t>
      </w:r>
      <w:r w:rsidRPr="001A2A1B">
        <w:rPr>
          <w:rFonts w:ascii="Arial" w:hAnsi="Arial" w:cs="Arial"/>
        </w:rPr>
        <w:lastRenderedPageBreak/>
        <w:t xml:space="preserve">54. Available at: </w:t>
      </w:r>
      <w:hyperlink r:id="rId20" w:history="1">
        <w:r w:rsidRPr="001A2A1B">
          <w:rPr>
            <w:rStyle w:val="Hyperlink"/>
            <w:rFonts w:ascii="Arial" w:hAnsi="Arial" w:cs="Arial"/>
          </w:rPr>
          <w:t>The effects of remote work on collaboration among information workers | Nature Human Behaviour</w:t>
        </w:r>
      </w:hyperlink>
      <w:r w:rsidRPr="001A2A1B">
        <w:rPr>
          <w:rFonts w:ascii="Arial" w:hAnsi="Arial" w:cs="Arial"/>
        </w:rPr>
        <w:t>. (Accessed: 2 October 2026).</w:t>
      </w:r>
    </w:p>
    <w:sectPr w:rsidR="00C11584" w:rsidRPr="001A2A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62F"/>
    <w:rsid w:val="00012A30"/>
    <w:rsid w:val="00084D53"/>
    <w:rsid w:val="000A54FC"/>
    <w:rsid w:val="00153901"/>
    <w:rsid w:val="001A2A1B"/>
    <w:rsid w:val="001D1FCC"/>
    <w:rsid w:val="001E3631"/>
    <w:rsid w:val="00210A9F"/>
    <w:rsid w:val="00287B24"/>
    <w:rsid w:val="002D0C22"/>
    <w:rsid w:val="002E109A"/>
    <w:rsid w:val="002E5991"/>
    <w:rsid w:val="00302757"/>
    <w:rsid w:val="00325D6D"/>
    <w:rsid w:val="00364E74"/>
    <w:rsid w:val="003E5A77"/>
    <w:rsid w:val="0046162F"/>
    <w:rsid w:val="0047659B"/>
    <w:rsid w:val="004957B1"/>
    <w:rsid w:val="00495900"/>
    <w:rsid w:val="004A0681"/>
    <w:rsid w:val="004A34F3"/>
    <w:rsid w:val="004D3A8F"/>
    <w:rsid w:val="004E3683"/>
    <w:rsid w:val="00595E9B"/>
    <w:rsid w:val="005C3B9B"/>
    <w:rsid w:val="00613C5B"/>
    <w:rsid w:val="00650237"/>
    <w:rsid w:val="00671396"/>
    <w:rsid w:val="0070119C"/>
    <w:rsid w:val="00784B73"/>
    <w:rsid w:val="00797FE4"/>
    <w:rsid w:val="00802F98"/>
    <w:rsid w:val="00815F4A"/>
    <w:rsid w:val="00865ACE"/>
    <w:rsid w:val="00866468"/>
    <w:rsid w:val="00871DAC"/>
    <w:rsid w:val="008A5F8D"/>
    <w:rsid w:val="008C3CF2"/>
    <w:rsid w:val="008C51C4"/>
    <w:rsid w:val="00922708"/>
    <w:rsid w:val="009434B0"/>
    <w:rsid w:val="009B69EB"/>
    <w:rsid w:val="009C3B11"/>
    <w:rsid w:val="009E7057"/>
    <w:rsid w:val="009E7968"/>
    <w:rsid w:val="009E7E1A"/>
    <w:rsid w:val="009F2E0D"/>
    <w:rsid w:val="009F46E1"/>
    <w:rsid w:val="00A14DCB"/>
    <w:rsid w:val="00A15FB4"/>
    <w:rsid w:val="00A37A31"/>
    <w:rsid w:val="00AB143D"/>
    <w:rsid w:val="00AB7C46"/>
    <w:rsid w:val="00AE62B8"/>
    <w:rsid w:val="00AF1485"/>
    <w:rsid w:val="00AF26F3"/>
    <w:rsid w:val="00B606C7"/>
    <w:rsid w:val="00B71C29"/>
    <w:rsid w:val="00B72DF7"/>
    <w:rsid w:val="00BF30AA"/>
    <w:rsid w:val="00C11584"/>
    <w:rsid w:val="00C901D6"/>
    <w:rsid w:val="00CF1DAB"/>
    <w:rsid w:val="00D03CF3"/>
    <w:rsid w:val="00D20B95"/>
    <w:rsid w:val="00D6065C"/>
    <w:rsid w:val="00DD0493"/>
    <w:rsid w:val="00E005E4"/>
    <w:rsid w:val="00E76FF7"/>
    <w:rsid w:val="00E8562B"/>
    <w:rsid w:val="00EA52D2"/>
    <w:rsid w:val="00EB7069"/>
    <w:rsid w:val="00ED0A3E"/>
    <w:rsid w:val="00ED457F"/>
    <w:rsid w:val="00F46CA6"/>
    <w:rsid w:val="00F65B94"/>
    <w:rsid w:val="00F7429E"/>
    <w:rsid w:val="00F83586"/>
    <w:rsid w:val="00F96C3C"/>
    <w:rsid w:val="00FA3336"/>
    <w:rsid w:val="00FA4BBA"/>
    <w:rsid w:val="00FE3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2A462"/>
  <w15:chartTrackingRefBased/>
  <w15:docId w15:val="{47EAC924-7322-438D-86A9-E774D508C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6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16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16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16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16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16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16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16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16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16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16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16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16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16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16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16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162F"/>
    <w:rPr>
      <w:rFonts w:eastAsiaTheme="majorEastAsia" w:cstheme="majorBidi"/>
      <w:color w:val="272727" w:themeColor="text1" w:themeTint="D8"/>
    </w:rPr>
  </w:style>
  <w:style w:type="paragraph" w:styleId="Title">
    <w:name w:val="Title"/>
    <w:basedOn w:val="Normal"/>
    <w:next w:val="Normal"/>
    <w:link w:val="TitleChar"/>
    <w:uiPriority w:val="10"/>
    <w:qFormat/>
    <w:rsid w:val="004616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6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16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16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162F"/>
    <w:pPr>
      <w:spacing w:before="160"/>
      <w:jc w:val="center"/>
    </w:pPr>
    <w:rPr>
      <w:i/>
      <w:iCs/>
      <w:color w:val="404040" w:themeColor="text1" w:themeTint="BF"/>
    </w:rPr>
  </w:style>
  <w:style w:type="character" w:customStyle="1" w:styleId="QuoteChar">
    <w:name w:val="Quote Char"/>
    <w:basedOn w:val="DefaultParagraphFont"/>
    <w:link w:val="Quote"/>
    <w:uiPriority w:val="29"/>
    <w:rsid w:val="0046162F"/>
    <w:rPr>
      <w:i/>
      <w:iCs/>
      <w:color w:val="404040" w:themeColor="text1" w:themeTint="BF"/>
    </w:rPr>
  </w:style>
  <w:style w:type="paragraph" w:styleId="ListParagraph">
    <w:name w:val="List Paragraph"/>
    <w:basedOn w:val="Normal"/>
    <w:uiPriority w:val="34"/>
    <w:qFormat/>
    <w:rsid w:val="0046162F"/>
    <w:pPr>
      <w:ind w:left="720"/>
      <w:contextualSpacing/>
    </w:pPr>
  </w:style>
  <w:style w:type="character" w:styleId="IntenseEmphasis">
    <w:name w:val="Intense Emphasis"/>
    <w:basedOn w:val="DefaultParagraphFont"/>
    <w:uiPriority w:val="21"/>
    <w:qFormat/>
    <w:rsid w:val="0046162F"/>
    <w:rPr>
      <w:i/>
      <w:iCs/>
      <w:color w:val="0F4761" w:themeColor="accent1" w:themeShade="BF"/>
    </w:rPr>
  </w:style>
  <w:style w:type="paragraph" w:styleId="IntenseQuote">
    <w:name w:val="Intense Quote"/>
    <w:basedOn w:val="Normal"/>
    <w:next w:val="Normal"/>
    <w:link w:val="IntenseQuoteChar"/>
    <w:uiPriority w:val="30"/>
    <w:qFormat/>
    <w:rsid w:val="004616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162F"/>
    <w:rPr>
      <w:i/>
      <w:iCs/>
      <w:color w:val="0F4761" w:themeColor="accent1" w:themeShade="BF"/>
    </w:rPr>
  </w:style>
  <w:style w:type="character" w:styleId="IntenseReference">
    <w:name w:val="Intense Reference"/>
    <w:basedOn w:val="DefaultParagraphFont"/>
    <w:uiPriority w:val="32"/>
    <w:qFormat/>
    <w:rsid w:val="0046162F"/>
    <w:rPr>
      <w:b/>
      <w:bCs/>
      <w:smallCaps/>
      <w:color w:val="0F4761" w:themeColor="accent1" w:themeShade="BF"/>
      <w:spacing w:val="5"/>
    </w:rPr>
  </w:style>
  <w:style w:type="character" w:styleId="Hyperlink">
    <w:name w:val="Hyperlink"/>
    <w:basedOn w:val="DefaultParagraphFont"/>
    <w:uiPriority w:val="99"/>
    <w:unhideWhenUsed/>
    <w:rsid w:val="00C11584"/>
    <w:rPr>
      <w:color w:val="467886" w:themeColor="hyperlink"/>
      <w:u w:val="single"/>
    </w:rPr>
  </w:style>
  <w:style w:type="character" w:styleId="UnresolvedMention">
    <w:name w:val="Unresolved Mention"/>
    <w:basedOn w:val="DefaultParagraphFont"/>
    <w:uiPriority w:val="99"/>
    <w:semiHidden/>
    <w:unhideWhenUsed/>
    <w:rsid w:val="00C11584"/>
    <w:rPr>
      <w:color w:val="605E5C"/>
      <w:shd w:val="clear" w:color="auto" w:fill="E1DFDD"/>
    </w:rPr>
  </w:style>
  <w:style w:type="character" w:styleId="FollowedHyperlink">
    <w:name w:val="FollowedHyperlink"/>
    <w:basedOn w:val="DefaultParagraphFont"/>
    <w:uiPriority w:val="99"/>
    <w:semiHidden/>
    <w:unhideWhenUsed/>
    <w:rsid w:val="00650237"/>
    <w:rPr>
      <w:color w:val="96607D" w:themeColor="followedHyperlink"/>
      <w:u w:val="single"/>
    </w:rPr>
  </w:style>
  <w:style w:type="paragraph" w:styleId="TOCHeading">
    <w:name w:val="TOC Heading"/>
    <w:basedOn w:val="Heading1"/>
    <w:next w:val="Normal"/>
    <w:uiPriority w:val="39"/>
    <w:unhideWhenUsed/>
    <w:qFormat/>
    <w:rsid w:val="00FA333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A3336"/>
    <w:pPr>
      <w:spacing w:after="100"/>
    </w:pPr>
  </w:style>
  <w:style w:type="paragraph" w:styleId="TOC2">
    <w:name w:val="toc 2"/>
    <w:basedOn w:val="Normal"/>
    <w:next w:val="Normal"/>
    <w:autoRedefine/>
    <w:uiPriority w:val="39"/>
    <w:unhideWhenUsed/>
    <w:rsid w:val="00FA333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63085390_High-involvement_work_processes_work_intensification_and_employee_well-being" TargetMode="External"/><Relationship Id="rId13" Type="http://schemas.openxmlformats.org/officeDocument/2006/relationships/hyperlink" Target="https://link.springer.com/article/10.1007/s10551-022-05049-6" TargetMode="External"/><Relationship Id="rId18" Type="http://schemas.openxmlformats.org/officeDocument/2006/relationships/hyperlink" Target="https://journals.sagepub.com/doi/epub/10.1177/0008125619867910"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onlinelibrary.wiley.com/doi/full/10.1111/j.1748-8583.2008.00082.x?saml_referrer" TargetMode="External"/><Relationship Id="rId12" Type="http://schemas.openxmlformats.org/officeDocument/2006/relationships/hyperlink" Target="https://onlinelibrary.wiley.com/doi/epdf/10.1111/1748-8583.12139?saml_referrer" TargetMode="External"/><Relationship Id="rId17" Type="http://schemas.openxmlformats.org/officeDocument/2006/relationships/hyperlink" Target="https://www.sciencedirect.com/science/article/pii/S0263786315000071" TargetMode="External"/><Relationship Id="rId2" Type="http://schemas.openxmlformats.org/officeDocument/2006/relationships/settings" Target="settings.xml"/><Relationship Id="rId16" Type="http://schemas.openxmlformats.org/officeDocument/2006/relationships/hyperlink" Target="https://ezproxy.uwtsd.ac.uk/login?url=https://www.vlebooks.com/product/openreader?id=TrinityStD&amp;accId=8886856&amp;isbn=9781407060002&amp;uid=%5eu" TargetMode="External"/><Relationship Id="rId20" Type="http://schemas.openxmlformats.org/officeDocument/2006/relationships/hyperlink" Target="https://www.nature.com/articles/s41562-021-01196-4" TargetMode="External"/><Relationship Id="rId1" Type="http://schemas.openxmlformats.org/officeDocument/2006/relationships/styles" Target="styles.xml"/><Relationship Id="rId6" Type="http://schemas.openxmlformats.org/officeDocument/2006/relationships/hyperlink" Target="https://pmc.ncbi.nlm.nih.gov/articles/PMC11208135/?" TargetMode="External"/><Relationship Id="rId11" Type="http://schemas.openxmlformats.org/officeDocument/2006/relationships/hyperlink" Target="https://www.sciencedirect.com/science/article/pii/S1053482209000461?via%3Dihub" TargetMode="External"/><Relationship Id="rId5" Type="http://schemas.openxmlformats.org/officeDocument/2006/relationships/image" Target="cid:image001.png@01D0EA4A.2BD679A0" TargetMode="External"/><Relationship Id="rId15" Type="http://schemas.openxmlformats.org/officeDocument/2006/relationships/hyperlink" Target="https://scrumguides.org/docs/scrumguide/v2020/2020-Scrum-Guide-US.pdf?" TargetMode="External"/><Relationship Id="rId10" Type="http://schemas.openxmlformats.org/officeDocument/2006/relationships/hyperlink" Target="https://www.sciencedirect.com/science/article/pii/S0003687000000090?via%3Dihub" TargetMode="External"/><Relationship Id="rId19" Type="http://schemas.openxmlformats.org/officeDocument/2006/relationships/hyperlink" Target="https://www.gutenberg.org/cache/epub/6435/pg6435-images.html" TargetMode="External"/><Relationship Id="rId4" Type="http://schemas.openxmlformats.org/officeDocument/2006/relationships/image" Target="media/image1.png"/><Relationship Id="rId9" Type="http://schemas.openxmlformats.org/officeDocument/2006/relationships/hyperlink" Target="https://www.cipd.org/uk/knowledge/factsheets/turnover-retention-factsheet/" TargetMode="External"/><Relationship Id="rId14" Type="http://schemas.openxmlformats.org/officeDocument/2006/relationships/hyperlink" Target="https://iaap-journals.onlinelibrary.wiley.com/doi/10.1111/apps.1224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6633</TotalTime>
  <Pages>15</Pages>
  <Words>4086</Words>
  <Characters>23295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Juwayriyah bibi</dc:creator>
  <cp:keywords/>
  <dc:description/>
  <cp:lastModifiedBy>Juwayriyah bibi</cp:lastModifiedBy>
  <cp:revision>71</cp:revision>
  <dcterms:created xsi:type="dcterms:W3CDTF">2026-10-01T13:29:00Z</dcterms:created>
  <dcterms:modified xsi:type="dcterms:W3CDTF">2026-10-14T21:54:00Z</dcterms:modified>
</cp:coreProperties>
</file>