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B226B3" w14:textId="50757C8F" w:rsidR="001249E4" w:rsidRDefault="00A5054E" w:rsidP="00830E86">
      <w:pPr>
        <w:spacing w:line="360" w:lineRule="auto"/>
        <w:rPr>
          <w:rFonts w:ascii="Arial" w:hAnsi="Arial" w:cs="Arial"/>
          <w:sz w:val="22"/>
          <w:szCs w:val="22"/>
          <w:u w:val="single"/>
        </w:rPr>
      </w:pPr>
      <w:r>
        <w:rPr>
          <w:noProof/>
          <w:color w:val="6FA3C7"/>
        </w:rPr>
        <mc:AlternateContent>
          <mc:Choice Requires="wps">
            <w:drawing>
              <wp:anchor distT="0" distB="0" distL="114300" distR="114300" simplePos="0" relativeHeight="251677184" behindDoc="0" locked="0" layoutInCell="1" allowOverlap="1" wp14:anchorId="7C1BC0D5" wp14:editId="0A8EE5A0">
                <wp:simplePos x="0" y="0"/>
                <wp:positionH relativeFrom="page">
                  <wp:align>left</wp:align>
                </wp:positionH>
                <wp:positionV relativeFrom="paragraph">
                  <wp:posOffset>-917827</wp:posOffset>
                </wp:positionV>
                <wp:extent cx="7781365" cy="420130"/>
                <wp:effectExtent l="0" t="0" r="10160" b="18415"/>
                <wp:wrapNone/>
                <wp:docPr id="1425560132" name="Rectangle 11"/>
                <wp:cNvGraphicFramePr/>
                <a:graphic xmlns:a="http://schemas.openxmlformats.org/drawingml/2006/main">
                  <a:graphicData uri="http://schemas.microsoft.com/office/word/2010/wordprocessingShape">
                    <wps:wsp>
                      <wps:cNvSpPr/>
                      <wps:spPr>
                        <a:xfrm>
                          <a:off x="0" y="0"/>
                          <a:ext cx="7781365" cy="420130"/>
                        </a:xfrm>
                        <a:prstGeom prst="rect">
                          <a:avLst/>
                        </a:prstGeom>
                        <a:ln>
                          <a:solidFill>
                            <a:srgbClr val="6FA3C7"/>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4485612" id="Rectangle 11" o:spid="_x0000_s1026" style="position:absolute;margin-left:0;margin-top:-72.25pt;width:612.7pt;height:33.1pt;z-index:251677184;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" fillcolor="#156082 [3204]" strokecolor="#6fa3c7" strokeweight="1pt">
                <w10:wrap anchorx="page"/>
              </v:rect>
            </w:pict>
          </mc:Fallback>
        </mc:AlternateContent>
      </w:r>
    </w:p>
    <w:sdt>
      <w:sdtPr>
        <w:rPr>
          <w:rFonts w:eastAsiaTheme="minorHAnsi"/>
          <w:color w:val="156082" w:themeColor="accent1"/>
          <w:kern w:val="2"/>
          <w:sz w:val="24"/>
          <w:szCs w:val="24"/>
          <w14:ligatures w14:val="standardContextual"/>
        </w:rPr>
        <w:id w:val="33395314"/>
        <w:docPartObj>
          <w:docPartGallery w:val="Cover Pages"/>
          <w:docPartUnique/>
        </w:docPartObj>
      </w:sdtPr>
      <w:sdtEndPr>
        <w:rPr>
          <w:rFonts w:ascii="Arial" w:eastAsiaTheme="minorEastAsia" w:hAnsi="Arial" w:cs="Arial"/>
          <w:color w:val="auto"/>
          <w:kern w:val="0"/>
          <w:sz w:val="28"/>
          <w:szCs w:val="28"/>
          <w:u w:val="single"/>
          <w14:ligatures w14:val="none"/>
        </w:rPr>
      </w:sdtEndPr>
      <w:sdtContent>
        <w:p w14:paraId="1DF43169" w14:textId="46422098" w:rsidR="00830E86" w:rsidRPr="009F1734" w:rsidRDefault="00CB09FF" w:rsidP="00830E86">
          <w:pPr>
            <w:pStyle w:val="NoSpacing"/>
            <w:spacing w:before="1540" w:after="240"/>
            <w:jc w:val="center"/>
            <w:rPr>
              <w:color w:val="6FA3C7"/>
            </w:rPr>
          </w:pPr>
          <w:r>
            <w:rPr>
              <w:noProof/>
              <w:color w:val="6FA3C7"/>
            </w:rPr>
            <mc:AlternateContent>
              <mc:Choice Requires="wps">
                <w:drawing>
                  <wp:anchor distT="0" distB="0" distL="114300" distR="114300" simplePos="0" relativeHeight="251661824" behindDoc="0" locked="0" layoutInCell="1" allowOverlap="1" wp14:anchorId="3E533C10" wp14:editId="71E94FE4">
                    <wp:simplePos x="0" y="0"/>
                    <wp:positionH relativeFrom="page">
                      <wp:align>right</wp:align>
                    </wp:positionH>
                    <wp:positionV relativeFrom="paragraph">
                      <wp:posOffset>3723421</wp:posOffset>
                    </wp:positionV>
                    <wp:extent cx="10126528" cy="388620"/>
                    <wp:effectExtent l="0" t="7937" r="19367" b="19368"/>
                    <wp:wrapNone/>
                    <wp:docPr id="1592158337" name="Rectangle 11"/>
                    <wp:cNvGraphicFramePr/>
                    <a:graphic xmlns:a="http://schemas.openxmlformats.org/drawingml/2006/main">
                      <a:graphicData uri="http://schemas.microsoft.com/office/word/2010/wordprocessingShape">
                        <wps:wsp>
                          <wps:cNvSpPr/>
                          <wps:spPr>
                            <a:xfrm rot="16200000">
                              <a:off x="0" y="0"/>
                              <a:ext cx="10126528" cy="3886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B134A0" id="Rectangle 11" o:spid="_x0000_s1026" style="position:absolute;margin-left:746.15pt;margin-top:293.2pt;width:797.35pt;height:30.6pt;rotation:-90;z-index:25166182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" fillcolor="#156082 [3204]" strokecolor="#030e13 [484]" strokeweight="1pt">
                    <w10:wrap anchorx="page"/>
                  </v:rect>
                </w:pict>
              </mc:Fallback>
            </mc:AlternateContent>
          </w:r>
          <w:r w:rsidR="00F4529D">
            <w:rPr>
              <w:noProof/>
              <w:color w:val="6FA3C7"/>
            </w:rPr>
            <mc:AlternateContent>
              <mc:Choice Requires="wps">
                <w:drawing>
                  <wp:anchor distT="0" distB="0" distL="114300" distR="114300" simplePos="0" relativeHeight="251651584" behindDoc="0" locked="0" layoutInCell="1" allowOverlap="1" wp14:anchorId="5AE089A1" wp14:editId="212078C8">
                    <wp:simplePos x="0" y="0"/>
                    <wp:positionH relativeFrom="page">
                      <wp:posOffset>-4861287</wp:posOffset>
                    </wp:positionH>
                    <wp:positionV relativeFrom="paragraph">
                      <wp:posOffset>3704146</wp:posOffset>
                    </wp:positionV>
                    <wp:extent cx="10155891" cy="397568"/>
                    <wp:effectExtent l="59373" t="54927" r="57467" b="57468"/>
                    <wp:wrapNone/>
                    <wp:docPr id="310072391" name="Rectangle 11"/>
                    <wp:cNvGraphicFramePr/>
                    <a:graphic xmlns:a="http://schemas.openxmlformats.org/drawingml/2006/main">
                      <a:graphicData uri="http://schemas.microsoft.com/office/word/2010/wordprocessingShape">
                        <wps:wsp>
                          <wps:cNvSpPr/>
                          <wps:spPr>
                            <a:xfrm rot="16200000">
                              <a:off x="0" y="0"/>
                              <a:ext cx="10155891" cy="397568"/>
                            </a:xfrm>
                            <a:prstGeom prst="rect">
                              <a:avLst/>
                            </a:prstGeom>
                            <a:scene3d>
                              <a:camera prst="orthographicFront"/>
                              <a:lightRig rig="threePt" dir="t"/>
                            </a:scene3d>
                            <a:sp3d>
                              <a:bevelT w="0"/>
                            </a:sp3d>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99BBF7" id="Rectangle 11" o:spid="_x0000_s1026" style="position:absolute;margin-left:-382.8pt;margin-top:291.65pt;width:799.7pt;height:31.3pt;rotation:-90;z-index:2516515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" fillcolor="#156082 [3204]" strokecolor="#030e13 [484]" strokeweight="1pt">
                    <w10:wrap anchorx="page"/>
                  </v:rect>
                </w:pict>
              </mc:Fallback>
            </mc:AlternateContent>
          </w:r>
          <w:r w:rsidR="00830E86" w:rsidRPr="009F1734">
            <w:rPr>
              <w:noProof/>
              <w:color w:val="6FA3C7"/>
            </w:rPr>
            <w:drawing>
              <wp:inline distT="0" distB="0" distL="0" distR="0" wp14:anchorId="539B47FB" wp14:editId="0725385C">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4"/>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imes New Roman" w:hAnsi="Arial" w:cs="Arial"/>
              <w:color w:val="6B9DC3"/>
              <w:sz w:val="24"/>
              <w:szCs w:val="24"/>
              <w:lang w:val="en-GB"/>
            </w:rPr>
            <w:alias w:val="Title"/>
            <w:tag w:val=""/>
            <w:id w:val="1735040861"/>
            <w:placeholder>
              <w:docPart w:val="0F706BF5CC0240A88F40D758477D3B81"/>
            </w:placeholder>
            <w:dataBinding w:prefixMappings="xmlns:ns0='http://purl.org/dc/elements/1.1/' xmlns:ns1='http://schemas.openxmlformats.org/package/2006/metadata/core-properties' " w:xpath="/ns1:coreProperties[1]/ns0:title[1]" w:storeItemID="{6C3C8BC8-F283-45AE-878A-BAB7291924A1}"/>
            <w:text/>
          </w:sdtPr>
          <w:sdtContent>
            <w:p w14:paraId="3C184623" w14:textId="02146A41" w:rsidR="00830E86" w:rsidRPr="009F1734" w:rsidRDefault="00A5054E" w:rsidP="00830E86">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6FA3C7"/>
                  <w:sz w:val="80"/>
                  <w:szCs w:val="80"/>
                </w:rPr>
              </w:pPr>
              <w:r w:rsidRPr="00A5054E">
                <w:rPr>
                  <w:rFonts w:ascii="Arial" w:eastAsia="Times New Roman" w:hAnsi="Arial" w:cs="Arial"/>
                  <w:color w:val="6B9DC3"/>
                  <w:sz w:val="24"/>
                  <w:szCs w:val="24"/>
                  <w:lang w:val="en-GB"/>
                </w:rPr>
                <w:t>A critical report on the effectiveness of development initiatives and the impact of the Sustainable Development Goals (SDGs) on the health and wellbeing of citizens</w:t>
              </w:r>
            </w:p>
          </w:sdtContent>
        </w:sdt>
        <w:p w14:paraId="0A478103" w14:textId="1C031060" w:rsidR="00830E86" w:rsidRPr="005308C8" w:rsidRDefault="00830E86" w:rsidP="00830E86">
          <w:pPr>
            <w:pStyle w:val="NoSpacing"/>
            <w:spacing w:before="480"/>
            <w:jc w:val="center"/>
            <w:rPr>
              <w:color w:val="156082" w:themeColor="accent1"/>
            </w:rPr>
          </w:pPr>
          <w:r>
            <w:rPr>
              <w:noProof/>
              <w:color w:val="156082" w:themeColor="accent1"/>
            </w:rPr>
            <w:drawing>
              <wp:inline distT="0" distB="0" distL="0" distR="0" wp14:anchorId="39EFE289" wp14:editId="2D8ED849">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Pr>
              <w:noProof/>
            </w:rPr>
            <mc:AlternateContent>
              <mc:Choice Requires="wps">
                <w:drawing>
                  <wp:anchor distT="0" distB="0" distL="114300" distR="114300" simplePos="0" relativeHeight="251668992" behindDoc="0" locked="0" layoutInCell="1" allowOverlap="1" wp14:anchorId="1EF9CB90" wp14:editId="700318FE">
                    <wp:simplePos x="0" y="0"/>
                    <wp:positionH relativeFrom="margin">
                      <wp:align>left</wp:align>
                    </wp:positionH>
                    <wp:positionV relativeFrom="paragraph">
                      <wp:posOffset>273461</wp:posOffset>
                    </wp:positionV>
                    <wp:extent cx="1828800" cy="1828800"/>
                    <wp:effectExtent l="0" t="0" r="0" b="2540"/>
                    <wp:wrapSquare wrapText="bothSides"/>
                    <wp:docPr id="190617502"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3F13AE3B" w14:textId="77777777" w:rsidR="00830E86" w:rsidRPr="00AF55CC" w:rsidRDefault="00830E86" w:rsidP="00830E86">
                                <w:pPr>
                                  <w:spacing w:after="0" w:line="360" w:lineRule="auto"/>
                                  <w:jc w:val="center"/>
                                  <w:rPr>
                                    <w:color w:val="6FA3C7"/>
                                  </w:rPr>
                                </w:pPr>
                              </w:p>
                              <w:p w14:paraId="749DF91C" w14:textId="77777777" w:rsidR="008F7745" w:rsidRPr="00AF55CC" w:rsidRDefault="008F7745" w:rsidP="008F7745">
                                <w:pPr>
                                  <w:spacing w:after="0" w:line="360" w:lineRule="auto"/>
                                  <w:jc w:val="center"/>
                                  <w:rPr>
                                    <w:rFonts w:ascii="Arial" w:hAnsi="Arial" w:cs="Arial"/>
                                    <w:color w:val="6FA3C7"/>
                                    <w:sz w:val="44"/>
                                    <w:szCs w:val="44"/>
                                  </w:rPr>
                                </w:pPr>
                                <w:r w:rsidRPr="00AF55CC">
                                  <w:rPr>
                                    <w:rFonts w:ascii="Arial" w:hAnsi="Arial" w:cs="Arial"/>
                                    <w:color w:val="6FA3C7"/>
                                    <w:sz w:val="44"/>
                                    <w:szCs w:val="44"/>
                                  </w:rPr>
                                  <w:t>Muzhgan Nassiri</w:t>
                                </w:r>
                              </w:p>
                              <w:p w14:paraId="6B6A9324" w14:textId="77777777" w:rsidR="008F7745" w:rsidRPr="00AF55CC" w:rsidRDefault="008F7745" w:rsidP="008F7745">
                                <w:pPr>
                                  <w:spacing w:after="0" w:line="360" w:lineRule="auto"/>
                                  <w:jc w:val="center"/>
                                  <w:rPr>
                                    <w:rFonts w:ascii="Arial" w:hAnsi="Arial" w:cs="Arial"/>
                                    <w:color w:val="6FA3C7"/>
                                    <w:sz w:val="44"/>
                                    <w:szCs w:val="44"/>
                                  </w:rPr>
                                </w:pPr>
                                <w:r w:rsidRPr="00AF55CC">
                                  <w:rPr>
                                    <w:rFonts w:ascii="Arial" w:hAnsi="Arial" w:cs="Arial"/>
                                    <w:color w:val="6FA3C7"/>
                                    <w:sz w:val="44"/>
                                    <w:szCs w:val="44"/>
                                  </w:rPr>
                                  <w:t>Student number: 2239091</w:t>
                                </w:r>
                              </w:p>
                              <w:p w14:paraId="729BC289" w14:textId="77777777" w:rsidR="008F7745" w:rsidRPr="00AF55CC" w:rsidRDefault="008F7745" w:rsidP="008F7745">
                                <w:pPr>
                                  <w:spacing w:after="0" w:line="360" w:lineRule="auto"/>
                                  <w:jc w:val="center"/>
                                  <w:rPr>
                                    <w:rFonts w:ascii="Arial" w:hAnsi="Arial" w:cs="Arial"/>
                                    <w:color w:val="6FA3C7"/>
                                    <w:sz w:val="44"/>
                                    <w:szCs w:val="44"/>
                                  </w:rPr>
                                </w:pPr>
                                <w:r w:rsidRPr="00B33D5C">
                                  <w:rPr>
                                    <w:rFonts w:ascii="Arial" w:hAnsi="Arial" w:cs="Arial"/>
                                    <w:color w:val="6FA3C7"/>
                                    <w:sz w:val="44"/>
                                    <w:szCs w:val="44"/>
                                  </w:rPr>
                                  <w:t>BMHP6030</w:t>
                                </w:r>
                                <w:r>
                                  <w:rPr>
                                    <w:rFonts w:ascii="Arial" w:hAnsi="Arial" w:cs="Arial"/>
                                    <w:color w:val="6FA3C7"/>
                                    <w:sz w:val="44"/>
                                    <w:szCs w:val="44"/>
                                  </w:rPr>
                                  <w:t>_BIRM</w:t>
                                </w:r>
                              </w:p>
                              <w:p w14:paraId="5C8308B7" w14:textId="77777777" w:rsidR="008F7745" w:rsidRDefault="008F7745" w:rsidP="008F7745">
                                <w:pPr>
                                  <w:spacing w:after="0" w:line="360" w:lineRule="auto"/>
                                  <w:jc w:val="center"/>
                                  <w:rPr>
                                    <w:rFonts w:ascii="Arial" w:hAnsi="Arial" w:cs="Arial"/>
                                    <w:color w:val="6FA3C7"/>
                                    <w:sz w:val="44"/>
                                    <w:szCs w:val="44"/>
                                  </w:rPr>
                                </w:pPr>
                                <w:r w:rsidRPr="00021200">
                                  <w:rPr>
                                    <w:rFonts w:ascii="Arial" w:hAnsi="Arial" w:cs="Arial"/>
                                    <w:color w:val="6FA3C7"/>
                                    <w:sz w:val="44"/>
                                    <w:szCs w:val="44"/>
                                  </w:rPr>
                                  <w:t>Health, Wellbeing and Sustainable Development</w:t>
                                </w:r>
                              </w:p>
                              <w:p w14:paraId="29F23391" w14:textId="77777777" w:rsidR="008F7745" w:rsidRPr="00AF55CC" w:rsidRDefault="008F7745" w:rsidP="008F7745">
                                <w:pPr>
                                  <w:spacing w:after="0" w:line="360" w:lineRule="auto"/>
                                  <w:jc w:val="center"/>
                                  <w:rPr>
                                    <w:rFonts w:ascii="Arial" w:hAnsi="Arial" w:cs="Arial"/>
                                    <w:color w:val="6FA3C7"/>
                                    <w:sz w:val="44"/>
                                    <w:szCs w:val="44"/>
                                  </w:rPr>
                                </w:pPr>
                                <w:r w:rsidRPr="00AF55CC">
                                  <w:rPr>
                                    <w:rFonts w:ascii="Arial" w:hAnsi="Arial" w:cs="Arial"/>
                                    <w:color w:val="6FA3C7"/>
                                    <w:sz w:val="44"/>
                                    <w:szCs w:val="44"/>
                                  </w:rPr>
                                  <w:t xml:space="preserve">Component </w:t>
                                </w:r>
                                <w:r>
                                  <w:rPr>
                                    <w:rFonts w:ascii="Arial" w:hAnsi="Arial" w:cs="Arial"/>
                                    <w:color w:val="6FA3C7"/>
                                    <w:sz w:val="44"/>
                                    <w:szCs w:val="44"/>
                                  </w:rPr>
                                  <w:t>2: Written Report</w:t>
                                </w:r>
                              </w:p>
                              <w:p w14:paraId="621A1713" w14:textId="4BB10868" w:rsidR="00830E86" w:rsidRPr="00AF55CC" w:rsidRDefault="008F7745" w:rsidP="008F7745">
                                <w:pPr>
                                  <w:spacing w:after="0" w:line="360" w:lineRule="auto"/>
                                  <w:jc w:val="center"/>
                                  <w:rPr>
                                    <w:rFonts w:ascii="Arial" w:hAnsi="Arial" w:cs="Arial"/>
                                    <w:color w:val="6FA3C7"/>
                                    <w:sz w:val="44"/>
                                    <w:szCs w:val="44"/>
                                  </w:rPr>
                                </w:pPr>
                                <w:r w:rsidRPr="00AF55CC">
                                  <w:rPr>
                                    <w:rFonts w:ascii="Arial" w:hAnsi="Arial" w:cs="Arial"/>
                                    <w:color w:val="6FA3C7"/>
                                    <w:sz w:val="44"/>
                                    <w:szCs w:val="44"/>
                                  </w:rPr>
                                  <w:t xml:space="preserve">Lecturer: </w:t>
                                </w:r>
                                <w:r w:rsidRPr="008626DD">
                                  <w:rPr>
                                    <w:rFonts w:ascii="Arial" w:hAnsi="Arial" w:cs="Arial"/>
                                    <w:color w:val="6FA3C7"/>
                                    <w:sz w:val="44"/>
                                    <w:szCs w:val="44"/>
                                  </w:rPr>
                                  <w:t xml:space="preserve">Tomy </w:t>
                                </w:r>
                                <w:proofErr w:type="spellStart"/>
                                <w:r w:rsidRPr="008626DD">
                                  <w:rPr>
                                    <w:rFonts w:ascii="Arial" w:hAnsi="Arial" w:cs="Arial"/>
                                    <w:color w:val="6FA3C7"/>
                                    <w:sz w:val="44"/>
                                    <w:szCs w:val="44"/>
                                  </w:rPr>
                                  <w:t>Adattu</w:t>
                                </w:r>
                                <w:proofErr w:type="spellEnd"/>
                                <w:r w:rsidRPr="008626DD">
                                  <w:rPr>
                                    <w:rFonts w:ascii="Arial" w:hAnsi="Arial" w:cs="Arial"/>
                                    <w:color w:val="6FA3C7"/>
                                    <w:sz w:val="44"/>
                                    <w:szCs w:val="44"/>
                                  </w:rPr>
                                  <w:t xml:space="preserve"> Chacko</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V relativeFrom="margin">
                      <wp14:pctHeight>0</wp14:pctHeight>
                    </wp14:sizeRelV>
                  </wp:anchor>
                </w:drawing>
              </mc:Choice>
              <mc:Fallback>
                <w:pict>
                  <v:shapetype w14:anchorId="1EF9CB90" id="_x0000_t202" coordsize="21600,21600" o:spt="202" path="m,l,21600r21600,l21600,xe">
                    <v:stroke joinstyle="miter"/>
                    <v:path gradientshapeok="t" o:connecttype="rect"/>
                  </v:shapetype>
                  <v:shape id="Text Box 1" o:spid="_x0000_s1026" type="#_x0000_t202" style="position:absolute;left:0;text-align:left;margin-left:0;margin-top:21.55pt;width:2in;height:2in;z-index:251668992;visibility:visible;mso-wrap-style:non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" filled="f" stroked="f" strokeweight=".5pt">
                    <v:textbox style="mso-fit-shape-to-text:t">
                      <w:txbxContent>
                        <w:p w14:paraId="3F13AE3B" w14:textId="77777777" w:rsidR="00830E86" w:rsidRPr="00AF55CC" w:rsidRDefault="00830E86" w:rsidP="00830E86">
                          <w:pPr>
                            <w:spacing w:after="0" w:line="360" w:lineRule="auto"/>
                            <w:jc w:val="center"/>
                            <w:rPr>
                              <w:color w:val="6FA3C7"/>
                            </w:rPr>
                          </w:pPr>
                        </w:p>
                        <w:p w14:paraId="749DF91C" w14:textId="77777777" w:rsidR="008F7745" w:rsidRPr="00AF55CC" w:rsidRDefault="008F7745" w:rsidP="008F7745">
                          <w:pPr>
                            <w:spacing w:after="0" w:line="360" w:lineRule="auto"/>
                            <w:jc w:val="center"/>
                            <w:rPr>
                              <w:rFonts w:ascii="Arial" w:hAnsi="Arial" w:cs="Arial"/>
                              <w:color w:val="6FA3C7"/>
                              <w:sz w:val="44"/>
                              <w:szCs w:val="44"/>
                            </w:rPr>
                          </w:pPr>
                          <w:r w:rsidRPr="00AF55CC">
                            <w:rPr>
                              <w:rFonts w:ascii="Arial" w:hAnsi="Arial" w:cs="Arial"/>
                              <w:color w:val="6FA3C7"/>
                              <w:sz w:val="44"/>
                              <w:szCs w:val="44"/>
                            </w:rPr>
                            <w:t>Muzhgan Nassiri</w:t>
                          </w:r>
                        </w:p>
                        <w:p w14:paraId="6B6A9324" w14:textId="77777777" w:rsidR="008F7745" w:rsidRPr="00AF55CC" w:rsidRDefault="008F7745" w:rsidP="008F7745">
                          <w:pPr>
                            <w:spacing w:after="0" w:line="360" w:lineRule="auto"/>
                            <w:jc w:val="center"/>
                            <w:rPr>
                              <w:rFonts w:ascii="Arial" w:hAnsi="Arial" w:cs="Arial"/>
                              <w:color w:val="6FA3C7"/>
                              <w:sz w:val="44"/>
                              <w:szCs w:val="44"/>
                            </w:rPr>
                          </w:pPr>
                          <w:r w:rsidRPr="00AF55CC">
                            <w:rPr>
                              <w:rFonts w:ascii="Arial" w:hAnsi="Arial" w:cs="Arial"/>
                              <w:color w:val="6FA3C7"/>
                              <w:sz w:val="44"/>
                              <w:szCs w:val="44"/>
                            </w:rPr>
                            <w:t>Student number: 2239091</w:t>
                          </w:r>
                        </w:p>
                        <w:p w14:paraId="729BC289" w14:textId="77777777" w:rsidR="008F7745" w:rsidRPr="00AF55CC" w:rsidRDefault="008F7745" w:rsidP="008F7745">
                          <w:pPr>
                            <w:spacing w:after="0" w:line="360" w:lineRule="auto"/>
                            <w:jc w:val="center"/>
                            <w:rPr>
                              <w:rFonts w:ascii="Arial" w:hAnsi="Arial" w:cs="Arial"/>
                              <w:color w:val="6FA3C7"/>
                              <w:sz w:val="44"/>
                              <w:szCs w:val="44"/>
                            </w:rPr>
                          </w:pPr>
                          <w:r w:rsidRPr="00B33D5C">
                            <w:rPr>
                              <w:rFonts w:ascii="Arial" w:hAnsi="Arial" w:cs="Arial"/>
                              <w:color w:val="6FA3C7"/>
                              <w:sz w:val="44"/>
                              <w:szCs w:val="44"/>
                            </w:rPr>
                            <w:t>BMHP6030</w:t>
                          </w:r>
                          <w:r>
                            <w:rPr>
                              <w:rFonts w:ascii="Arial" w:hAnsi="Arial" w:cs="Arial"/>
                              <w:color w:val="6FA3C7"/>
                              <w:sz w:val="44"/>
                              <w:szCs w:val="44"/>
                            </w:rPr>
                            <w:t>_BIRM</w:t>
                          </w:r>
                        </w:p>
                        <w:p w14:paraId="5C8308B7" w14:textId="77777777" w:rsidR="008F7745" w:rsidRDefault="008F7745" w:rsidP="008F7745">
                          <w:pPr>
                            <w:spacing w:after="0" w:line="360" w:lineRule="auto"/>
                            <w:jc w:val="center"/>
                            <w:rPr>
                              <w:rFonts w:ascii="Arial" w:hAnsi="Arial" w:cs="Arial"/>
                              <w:color w:val="6FA3C7"/>
                              <w:sz w:val="44"/>
                              <w:szCs w:val="44"/>
                            </w:rPr>
                          </w:pPr>
                          <w:r w:rsidRPr="00021200">
                            <w:rPr>
                              <w:rFonts w:ascii="Arial" w:hAnsi="Arial" w:cs="Arial"/>
                              <w:color w:val="6FA3C7"/>
                              <w:sz w:val="44"/>
                              <w:szCs w:val="44"/>
                            </w:rPr>
                            <w:t>Health, Wellbeing and Sustainable Development</w:t>
                          </w:r>
                        </w:p>
                        <w:p w14:paraId="29F23391" w14:textId="77777777" w:rsidR="008F7745" w:rsidRPr="00AF55CC" w:rsidRDefault="008F7745" w:rsidP="008F7745">
                          <w:pPr>
                            <w:spacing w:after="0" w:line="360" w:lineRule="auto"/>
                            <w:jc w:val="center"/>
                            <w:rPr>
                              <w:rFonts w:ascii="Arial" w:hAnsi="Arial" w:cs="Arial"/>
                              <w:color w:val="6FA3C7"/>
                              <w:sz w:val="44"/>
                              <w:szCs w:val="44"/>
                            </w:rPr>
                          </w:pPr>
                          <w:r w:rsidRPr="00AF55CC">
                            <w:rPr>
                              <w:rFonts w:ascii="Arial" w:hAnsi="Arial" w:cs="Arial"/>
                              <w:color w:val="6FA3C7"/>
                              <w:sz w:val="44"/>
                              <w:szCs w:val="44"/>
                            </w:rPr>
                            <w:t xml:space="preserve">Component </w:t>
                          </w:r>
                          <w:r>
                            <w:rPr>
                              <w:rFonts w:ascii="Arial" w:hAnsi="Arial" w:cs="Arial"/>
                              <w:color w:val="6FA3C7"/>
                              <w:sz w:val="44"/>
                              <w:szCs w:val="44"/>
                            </w:rPr>
                            <w:t>2: Written Report</w:t>
                          </w:r>
                        </w:p>
                        <w:p w14:paraId="621A1713" w14:textId="4BB10868" w:rsidR="00830E86" w:rsidRPr="00AF55CC" w:rsidRDefault="008F7745" w:rsidP="008F7745">
                          <w:pPr>
                            <w:spacing w:after="0" w:line="360" w:lineRule="auto"/>
                            <w:jc w:val="center"/>
                            <w:rPr>
                              <w:rFonts w:ascii="Arial" w:hAnsi="Arial" w:cs="Arial"/>
                              <w:color w:val="6FA3C7"/>
                              <w:sz w:val="44"/>
                              <w:szCs w:val="44"/>
                            </w:rPr>
                          </w:pPr>
                          <w:r w:rsidRPr="00AF55CC">
                            <w:rPr>
                              <w:rFonts w:ascii="Arial" w:hAnsi="Arial" w:cs="Arial"/>
                              <w:color w:val="6FA3C7"/>
                              <w:sz w:val="44"/>
                              <w:szCs w:val="44"/>
                            </w:rPr>
                            <w:t xml:space="preserve">Lecturer: </w:t>
                          </w:r>
                          <w:r w:rsidRPr="008626DD">
                            <w:rPr>
                              <w:rFonts w:ascii="Arial" w:hAnsi="Arial" w:cs="Arial"/>
                              <w:color w:val="6FA3C7"/>
                              <w:sz w:val="44"/>
                              <w:szCs w:val="44"/>
                            </w:rPr>
                            <w:t xml:space="preserve">Tomy </w:t>
                          </w:r>
                          <w:proofErr w:type="spellStart"/>
                          <w:r w:rsidRPr="008626DD">
                            <w:rPr>
                              <w:rFonts w:ascii="Arial" w:hAnsi="Arial" w:cs="Arial"/>
                              <w:color w:val="6FA3C7"/>
                              <w:sz w:val="44"/>
                              <w:szCs w:val="44"/>
                            </w:rPr>
                            <w:t>Adattu</w:t>
                          </w:r>
                          <w:proofErr w:type="spellEnd"/>
                          <w:r w:rsidRPr="008626DD">
                            <w:rPr>
                              <w:rFonts w:ascii="Arial" w:hAnsi="Arial" w:cs="Arial"/>
                              <w:color w:val="6FA3C7"/>
                              <w:sz w:val="44"/>
                              <w:szCs w:val="44"/>
                            </w:rPr>
                            <w:t xml:space="preserve"> Chacko</w:t>
                          </w:r>
                        </w:p>
                      </w:txbxContent>
                    </v:textbox>
                    <w10:wrap type="square" anchorx="margin"/>
                  </v:shape>
                </w:pict>
              </mc:Fallback>
            </mc:AlternateContent>
          </w:r>
        </w:p>
      </w:sdtContent>
    </w:sdt>
    <w:p w14:paraId="742D10D3" w14:textId="0ADFEA42" w:rsidR="00830E86" w:rsidRDefault="00830E86" w:rsidP="00830E86">
      <w:pPr>
        <w:pStyle w:val="p1"/>
        <w:spacing w:line="360" w:lineRule="auto"/>
        <w:jc w:val="center"/>
        <w:rPr>
          <w:rFonts w:ascii="Arial" w:hAnsi="Arial" w:cs="Arial"/>
          <w:b/>
          <w:bCs/>
          <w:sz w:val="22"/>
          <w:szCs w:val="22"/>
          <w:u w:val="single"/>
          <w:lang w:val="en-GB"/>
        </w:rPr>
      </w:pPr>
    </w:p>
    <w:p w14:paraId="3CE4261D" w14:textId="77777777" w:rsidR="00A5054E" w:rsidRDefault="00A5054E" w:rsidP="00A5054E">
      <w:pPr>
        <w:pStyle w:val="p1"/>
        <w:spacing w:line="360" w:lineRule="auto"/>
        <w:jc w:val="center"/>
        <w:rPr>
          <w:rFonts w:ascii="Arial" w:hAnsi="Arial" w:cs="Arial"/>
          <w:sz w:val="22"/>
          <w:szCs w:val="22"/>
          <w:u w:val="single"/>
        </w:rPr>
      </w:pPr>
      <w:r>
        <w:rPr>
          <w:noProof/>
          <w:color w:val="6FA3C7"/>
        </w:rPr>
        <mc:AlternateContent>
          <mc:Choice Requires="wps">
            <w:drawing>
              <wp:anchor distT="0" distB="0" distL="114300" distR="114300" simplePos="0" relativeHeight="251641344" behindDoc="0" locked="0" layoutInCell="1" allowOverlap="1" wp14:anchorId="131EFCF8" wp14:editId="4CD3CE88">
                <wp:simplePos x="0" y="0"/>
                <wp:positionH relativeFrom="page">
                  <wp:align>left</wp:align>
                </wp:positionH>
                <wp:positionV relativeFrom="paragraph">
                  <wp:posOffset>1281102</wp:posOffset>
                </wp:positionV>
                <wp:extent cx="7758430" cy="453390"/>
                <wp:effectExtent l="0" t="0" r="13970" b="22860"/>
                <wp:wrapNone/>
                <wp:docPr id="626637147" name="Rectangle 11"/>
                <wp:cNvGraphicFramePr/>
                <a:graphic xmlns:a="http://schemas.openxmlformats.org/drawingml/2006/main">
                  <a:graphicData uri="http://schemas.microsoft.com/office/word/2010/wordprocessingShape">
                    <wps:wsp>
                      <wps:cNvSpPr/>
                      <wps:spPr>
                        <a:xfrm flipV="1">
                          <a:off x="0" y="0"/>
                          <a:ext cx="7758430" cy="45339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4A11AC" id="Rectangle 11" o:spid="_x0000_s1026" style="position:absolute;margin-left:0;margin-top:100.85pt;width:610.9pt;height:35.7pt;flip:y;z-index:25164134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" fillcolor="#156082 [3204]" strokecolor="#030e13 [484]" strokeweight="1pt">
                <w10:wrap anchorx="page"/>
              </v:rect>
            </w:pict>
          </mc:Fallback>
        </mc:AlternateContent>
      </w:r>
    </w:p>
    <w:p w14:paraId="0839D769" w14:textId="3A828990" w:rsidR="005B64EF" w:rsidRPr="00A5054E" w:rsidRDefault="005B64EF" w:rsidP="00A5054E">
      <w:pPr>
        <w:pStyle w:val="p1"/>
        <w:spacing w:line="360" w:lineRule="auto"/>
        <w:jc w:val="center"/>
        <w:rPr>
          <w:rFonts w:ascii="Arial" w:hAnsi="Arial" w:cs="Arial"/>
          <w:b/>
          <w:bCs/>
          <w:sz w:val="22"/>
          <w:szCs w:val="22"/>
          <w:u w:val="single"/>
          <w:lang w:val="en-GB"/>
        </w:rPr>
      </w:pPr>
      <w:r>
        <w:rPr>
          <w:rFonts w:ascii="Arial" w:hAnsi="Arial" w:cs="Arial"/>
          <w:sz w:val="22"/>
          <w:szCs w:val="22"/>
          <w:u w:val="single"/>
        </w:rPr>
        <w:lastRenderedPageBreak/>
        <w:t xml:space="preserve">A critical report on the effectiveness of development initiatives and </w:t>
      </w:r>
      <w:r w:rsidR="00994B37">
        <w:rPr>
          <w:rFonts w:ascii="Arial" w:hAnsi="Arial" w:cs="Arial"/>
          <w:sz w:val="22"/>
          <w:szCs w:val="22"/>
          <w:u w:val="single"/>
        </w:rPr>
        <w:t xml:space="preserve">the </w:t>
      </w:r>
      <w:r>
        <w:rPr>
          <w:rFonts w:ascii="Arial" w:hAnsi="Arial" w:cs="Arial"/>
          <w:sz w:val="22"/>
          <w:szCs w:val="22"/>
          <w:u w:val="single"/>
        </w:rPr>
        <w:t xml:space="preserve">impact of the Sustainable Development </w:t>
      </w:r>
      <w:r w:rsidR="00E12A81">
        <w:rPr>
          <w:rFonts w:ascii="Arial" w:hAnsi="Arial" w:cs="Arial"/>
          <w:sz w:val="22"/>
          <w:szCs w:val="22"/>
          <w:u w:val="single"/>
        </w:rPr>
        <w:t xml:space="preserve">Goals </w:t>
      </w:r>
      <w:r>
        <w:rPr>
          <w:rFonts w:ascii="Arial" w:hAnsi="Arial" w:cs="Arial"/>
          <w:sz w:val="22"/>
          <w:szCs w:val="22"/>
          <w:u w:val="single"/>
        </w:rPr>
        <w:t>(SDG</w:t>
      </w:r>
      <w:r w:rsidR="00DA347F">
        <w:rPr>
          <w:rFonts w:ascii="Arial" w:hAnsi="Arial" w:cs="Arial"/>
          <w:sz w:val="22"/>
          <w:szCs w:val="22"/>
          <w:u w:val="single"/>
        </w:rPr>
        <w:t>s</w:t>
      </w:r>
      <w:r>
        <w:rPr>
          <w:rFonts w:ascii="Arial" w:hAnsi="Arial" w:cs="Arial"/>
          <w:sz w:val="22"/>
          <w:szCs w:val="22"/>
          <w:u w:val="single"/>
        </w:rPr>
        <w:t xml:space="preserve">) </w:t>
      </w:r>
      <w:r w:rsidR="00994B37">
        <w:rPr>
          <w:rFonts w:ascii="Arial" w:hAnsi="Arial" w:cs="Arial"/>
          <w:sz w:val="22"/>
          <w:szCs w:val="22"/>
          <w:u w:val="single"/>
        </w:rPr>
        <w:t>on</w:t>
      </w:r>
      <w:r>
        <w:rPr>
          <w:rFonts w:ascii="Arial" w:hAnsi="Arial" w:cs="Arial"/>
          <w:sz w:val="22"/>
          <w:szCs w:val="22"/>
          <w:u w:val="single"/>
        </w:rPr>
        <w:t xml:space="preserve"> the health and wellbeing of citizens</w:t>
      </w:r>
    </w:p>
    <w:p w14:paraId="74068D0D" w14:textId="67FBAF1C" w:rsidR="002F2FDE" w:rsidRDefault="00982369" w:rsidP="00064AD2">
      <w:pPr>
        <w:spacing w:line="360" w:lineRule="auto"/>
        <w:rPr>
          <w:rFonts w:ascii="Arial" w:hAnsi="Arial" w:cs="Arial"/>
          <w:sz w:val="22"/>
          <w:szCs w:val="22"/>
          <w:u w:val="single"/>
        </w:rPr>
      </w:pPr>
      <w:r w:rsidRPr="00064AD2">
        <w:rPr>
          <w:rFonts w:ascii="Arial" w:hAnsi="Arial" w:cs="Arial"/>
          <w:sz w:val="22"/>
          <w:szCs w:val="22"/>
          <w:u w:val="single"/>
        </w:rPr>
        <w:t>Introduction</w:t>
      </w:r>
    </w:p>
    <w:p w14:paraId="267FD311" w14:textId="77777777" w:rsidR="0098373F" w:rsidRDefault="0009141E" w:rsidP="00064AD2">
      <w:pPr>
        <w:spacing w:line="360" w:lineRule="auto"/>
        <w:rPr>
          <w:rFonts w:ascii="Arial" w:hAnsi="Arial" w:cs="Arial"/>
          <w:sz w:val="22"/>
          <w:szCs w:val="22"/>
          <w:u w:val="single"/>
        </w:rPr>
      </w:pPr>
      <w:r w:rsidRPr="00064AD2">
        <w:rPr>
          <w:rFonts w:ascii="Arial" w:hAnsi="Arial" w:cs="Arial"/>
          <w:sz w:val="22"/>
          <w:szCs w:val="22"/>
          <w:lang w:val="en-GB"/>
        </w:rPr>
        <w:t xml:space="preserve">This report critically evaluates global and UK-level initiatives relating to SDG 3 and SDG 10. It applies theoretical frameworks, including the Social Determinants of Health model, the Social Ecological Model and proportionate universalism to assess policy effectiveness. </w:t>
      </w:r>
    </w:p>
    <w:p w14:paraId="044D9587" w14:textId="29907907" w:rsidR="00982369" w:rsidRPr="00453516" w:rsidRDefault="00982369" w:rsidP="00064AD2">
      <w:pPr>
        <w:spacing w:line="360" w:lineRule="auto"/>
        <w:rPr>
          <w:rFonts w:ascii="Arial" w:hAnsi="Arial" w:cs="Arial"/>
          <w:sz w:val="22"/>
          <w:szCs w:val="22"/>
          <w:u w:val="single"/>
        </w:rPr>
      </w:pPr>
      <w:r w:rsidRPr="00064AD2">
        <w:rPr>
          <w:rFonts w:ascii="Arial" w:hAnsi="Arial" w:cs="Arial"/>
          <w:sz w:val="22"/>
          <w:szCs w:val="22"/>
        </w:rPr>
        <w:t>The Sustainable Development Goals, adopted in 2015 by the United Nations</w:t>
      </w:r>
      <w:r w:rsidR="00335CB7" w:rsidRPr="00064AD2">
        <w:rPr>
          <w:rFonts w:ascii="Arial" w:hAnsi="Arial" w:cs="Arial"/>
          <w:sz w:val="22"/>
          <w:szCs w:val="22"/>
        </w:rPr>
        <w:t xml:space="preserve"> (UN)</w:t>
      </w:r>
      <w:r w:rsidRPr="00064AD2">
        <w:rPr>
          <w:rFonts w:ascii="Arial" w:hAnsi="Arial" w:cs="Arial"/>
          <w:sz w:val="22"/>
          <w:szCs w:val="22"/>
        </w:rPr>
        <w:t>, represent an integrated global framework to address social, economic and environmental determinants of development by 2030</w:t>
      </w:r>
      <w:r w:rsidR="00FA1E16" w:rsidRPr="00064AD2">
        <w:rPr>
          <w:rFonts w:ascii="Arial" w:hAnsi="Arial" w:cs="Arial"/>
          <w:sz w:val="22"/>
          <w:szCs w:val="22"/>
        </w:rPr>
        <w:t xml:space="preserve">. It provides a model for peace and prosperity for humans and the planet, with its aims extending into the future </w:t>
      </w:r>
      <w:r w:rsidR="00335CB7" w:rsidRPr="00064AD2">
        <w:rPr>
          <w:rFonts w:ascii="Arial" w:hAnsi="Arial" w:cs="Arial"/>
          <w:sz w:val="22"/>
          <w:szCs w:val="22"/>
        </w:rPr>
        <w:t>(UN, 2025). Among them, SDG 3 aims to “ensure healthy lives and promote well-being for all at all ages”, while SDG 10 seeks to “reduce inequality within and among countries”. Despite being presented as distinct goals, they are structurally interconnected. Health outcomes are not</w:t>
      </w:r>
      <w:r w:rsidR="00532F50">
        <w:rPr>
          <w:rFonts w:ascii="Arial" w:hAnsi="Arial" w:cs="Arial"/>
          <w:sz w:val="22"/>
          <w:szCs w:val="22"/>
        </w:rPr>
        <w:t xml:space="preserve"> solely determined by healthcare systems but are deeply influenced by income distribution, education, housing, social inclusion,</w:t>
      </w:r>
      <w:r w:rsidR="00335CB7" w:rsidRPr="00064AD2">
        <w:rPr>
          <w:rFonts w:ascii="Arial" w:hAnsi="Arial" w:cs="Arial"/>
          <w:sz w:val="22"/>
          <w:szCs w:val="22"/>
        </w:rPr>
        <w:t xml:space="preserve"> and employment security (The Health Foundation, 2022).</w:t>
      </w:r>
    </w:p>
    <w:p w14:paraId="2444D9AE" w14:textId="5A48ECDA" w:rsidR="00937AC0" w:rsidRDefault="00335CB7" w:rsidP="00064AD2">
      <w:pPr>
        <w:spacing w:line="360" w:lineRule="auto"/>
        <w:rPr>
          <w:rFonts w:ascii="Arial" w:hAnsi="Arial" w:cs="Arial"/>
          <w:sz w:val="22"/>
          <w:szCs w:val="22"/>
        </w:rPr>
      </w:pPr>
      <w:r w:rsidRPr="00064AD2">
        <w:rPr>
          <w:rFonts w:ascii="Arial" w:hAnsi="Arial" w:cs="Arial"/>
          <w:sz w:val="22"/>
          <w:szCs w:val="22"/>
        </w:rPr>
        <w:t xml:space="preserve">In the United Kingdom, universal healthcare provision through the NHS </w:t>
      </w:r>
      <w:r w:rsidR="008366B7">
        <w:rPr>
          <w:rFonts w:ascii="Arial" w:hAnsi="Arial" w:cs="Arial"/>
          <w:sz w:val="22"/>
          <w:szCs w:val="22"/>
        </w:rPr>
        <w:t>aligns strongly</w:t>
      </w:r>
      <w:r w:rsidRPr="00064AD2">
        <w:rPr>
          <w:rFonts w:ascii="Arial" w:hAnsi="Arial" w:cs="Arial"/>
          <w:sz w:val="22"/>
          <w:szCs w:val="22"/>
        </w:rPr>
        <w:t xml:space="preserve"> with SDG 3 targets, particularly Universal Health Coverage (UHC). However, persistent health inequalities</w:t>
      </w:r>
      <w:r w:rsidR="00025562" w:rsidRPr="00064AD2">
        <w:rPr>
          <w:rFonts w:ascii="Arial" w:hAnsi="Arial" w:cs="Arial"/>
          <w:sz w:val="22"/>
          <w:szCs w:val="22"/>
        </w:rPr>
        <w:t xml:space="preserve"> </w:t>
      </w:r>
      <w:r w:rsidRPr="00064AD2">
        <w:rPr>
          <w:rFonts w:ascii="Arial" w:hAnsi="Arial" w:cs="Arial"/>
          <w:sz w:val="22"/>
          <w:szCs w:val="22"/>
        </w:rPr>
        <w:t xml:space="preserve">- indicated by regional life expectancy gaps, ethnic disparities in maternal mortality and </w:t>
      </w:r>
      <w:r w:rsidR="00025562" w:rsidRPr="00064AD2">
        <w:rPr>
          <w:rFonts w:ascii="Arial" w:hAnsi="Arial" w:cs="Arial"/>
          <w:sz w:val="22"/>
          <w:szCs w:val="22"/>
        </w:rPr>
        <w:t>economic inequalities (WHO, 202</w:t>
      </w:r>
      <w:r w:rsidR="003376D9">
        <w:rPr>
          <w:rFonts w:ascii="Arial" w:hAnsi="Arial" w:cs="Arial"/>
          <w:sz w:val="22"/>
          <w:szCs w:val="22"/>
        </w:rPr>
        <w:t>5</w:t>
      </w:r>
      <w:r w:rsidR="00025562" w:rsidRPr="00064AD2">
        <w:rPr>
          <w:rFonts w:ascii="Arial" w:hAnsi="Arial" w:cs="Arial"/>
          <w:sz w:val="22"/>
          <w:szCs w:val="22"/>
        </w:rPr>
        <w:t xml:space="preserve">) </w:t>
      </w:r>
      <w:r w:rsidR="00F6520D" w:rsidRPr="00064AD2">
        <w:rPr>
          <w:rFonts w:ascii="Arial" w:hAnsi="Arial" w:cs="Arial"/>
          <w:sz w:val="22"/>
          <w:szCs w:val="22"/>
        </w:rPr>
        <w:t>- indicate that</w:t>
      </w:r>
      <w:r w:rsidR="00025562" w:rsidRPr="00064AD2">
        <w:rPr>
          <w:rFonts w:ascii="Arial" w:hAnsi="Arial" w:cs="Arial"/>
          <w:sz w:val="22"/>
          <w:szCs w:val="22"/>
        </w:rPr>
        <w:t xml:space="preserve"> </w:t>
      </w:r>
      <w:r w:rsidR="00F6520D" w:rsidRPr="00064AD2">
        <w:rPr>
          <w:rFonts w:ascii="Arial" w:hAnsi="Arial" w:cs="Arial"/>
          <w:sz w:val="22"/>
          <w:szCs w:val="22"/>
        </w:rPr>
        <w:t>progress towards SDG 3 is constrained by limited advancement under SDG 10.</w:t>
      </w:r>
    </w:p>
    <w:p w14:paraId="778DA015" w14:textId="76F3B6E2" w:rsidR="007E3024" w:rsidRPr="007E3024" w:rsidRDefault="00937AC0" w:rsidP="00064AD2">
      <w:pPr>
        <w:spacing w:line="360" w:lineRule="auto"/>
        <w:rPr>
          <w:rFonts w:ascii="Arial" w:hAnsi="Arial" w:cs="Arial"/>
          <w:sz w:val="22"/>
          <w:szCs w:val="22"/>
        </w:rPr>
      </w:pPr>
      <w:r>
        <w:rPr>
          <w:rFonts w:ascii="Arial" w:hAnsi="Arial" w:cs="Arial"/>
          <w:sz w:val="22"/>
          <w:szCs w:val="22"/>
        </w:rPr>
        <w:t xml:space="preserve">It is important to consider the main concepts of health, well-being and sustainability to effectively develop initiatives to improve these in the general population. Health can </w:t>
      </w:r>
      <w:bookmarkStart w:id="0" w:name="_Int_LUTTHPdm"/>
      <w:r>
        <w:rPr>
          <w:rFonts w:ascii="Arial" w:hAnsi="Arial" w:cs="Arial"/>
          <w:sz w:val="22"/>
          <w:szCs w:val="22"/>
        </w:rPr>
        <w:t>be defined</w:t>
      </w:r>
      <w:bookmarkEnd w:id="0"/>
      <w:r>
        <w:rPr>
          <w:rFonts w:ascii="Arial" w:hAnsi="Arial" w:cs="Arial"/>
          <w:sz w:val="22"/>
          <w:szCs w:val="22"/>
        </w:rPr>
        <w:t xml:space="preserve"> as the absence of disease and as being in a state of mental, physical, and social wellbeing </w:t>
      </w:r>
      <w:r w:rsidRPr="00B07E6C">
        <w:rPr>
          <w:rFonts w:ascii="Arial" w:hAnsi="Arial" w:cs="Arial"/>
          <w:sz w:val="22"/>
          <w:szCs w:val="22"/>
        </w:rPr>
        <w:t>(WHO, 1948)</w:t>
      </w:r>
      <w:r>
        <w:rPr>
          <w:rFonts w:ascii="Arial" w:hAnsi="Arial" w:cs="Arial"/>
          <w:sz w:val="22"/>
          <w:szCs w:val="22"/>
        </w:rPr>
        <w:t xml:space="preserve">. According to the United Nations (2025), sustainability is </w:t>
      </w:r>
      <w:r w:rsidRPr="004930A4">
        <w:rPr>
          <w:rFonts w:ascii="Arial" w:hAnsi="Arial" w:cs="Arial"/>
          <w:sz w:val="22"/>
          <w:szCs w:val="22"/>
        </w:rPr>
        <w:t>“meeting the needs of the present without compromising the ability of future generations to meet their own needs.”</w:t>
      </w:r>
      <w:r>
        <w:rPr>
          <w:rFonts w:ascii="Arial" w:hAnsi="Arial" w:cs="Arial"/>
          <w:sz w:val="22"/>
          <w:szCs w:val="22"/>
        </w:rPr>
        <w:t xml:space="preserve"> Additionally, well-being can be described as holistic in nature </w:t>
      </w:r>
      <w:r w:rsidRPr="004C1D78">
        <w:rPr>
          <w:rFonts w:ascii="Arial" w:hAnsi="Arial" w:cs="Arial"/>
          <w:sz w:val="22"/>
          <w:szCs w:val="22"/>
        </w:rPr>
        <w:t>(Hogg Foundation for Mental Health, 2018)</w:t>
      </w:r>
      <w:r w:rsidRPr="00607DBE">
        <w:rPr>
          <w:rFonts w:ascii="Arial" w:hAnsi="Arial" w:cs="Arial"/>
          <w:sz w:val="22"/>
          <w:szCs w:val="22"/>
        </w:rPr>
        <w:t xml:space="preserve">, </w:t>
      </w:r>
      <w:r>
        <w:rPr>
          <w:rFonts w:ascii="Arial" w:hAnsi="Arial" w:cs="Arial"/>
          <w:sz w:val="22"/>
          <w:szCs w:val="22"/>
        </w:rPr>
        <w:t xml:space="preserve">and involves physical, </w:t>
      </w:r>
      <w:bookmarkStart w:id="1" w:name="_Int_KniJrHNK"/>
      <w:r>
        <w:rPr>
          <w:rFonts w:ascii="Arial" w:hAnsi="Arial" w:cs="Arial"/>
          <w:sz w:val="22"/>
          <w:szCs w:val="22"/>
        </w:rPr>
        <w:t>mental</w:t>
      </w:r>
      <w:bookmarkEnd w:id="1"/>
      <w:r>
        <w:rPr>
          <w:rFonts w:ascii="Arial" w:hAnsi="Arial" w:cs="Arial"/>
          <w:sz w:val="22"/>
          <w:szCs w:val="22"/>
        </w:rPr>
        <w:t xml:space="preserve"> and emotional health </w:t>
      </w:r>
      <w:r w:rsidRPr="00607DBE">
        <w:rPr>
          <w:rFonts w:ascii="Arial" w:hAnsi="Arial" w:cs="Arial"/>
          <w:sz w:val="22"/>
          <w:szCs w:val="22"/>
        </w:rPr>
        <w:t>(</w:t>
      </w:r>
      <w:proofErr w:type="spellStart"/>
      <w:r w:rsidRPr="00607DBE">
        <w:rPr>
          <w:rFonts w:ascii="Arial" w:hAnsi="Arial" w:cs="Arial"/>
          <w:sz w:val="22"/>
          <w:szCs w:val="22"/>
        </w:rPr>
        <w:t>HealthLinkBC</w:t>
      </w:r>
      <w:proofErr w:type="spellEnd"/>
      <w:r w:rsidRPr="00607DBE">
        <w:rPr>
          <w:rFonts w:ascii="Arial" w:hAnsi="Arial" w:cs="Arial"/>
          <w:sz w:val="22"/>
          <w:szCs w:val="22"/>
        </w:rPr>
        <w:t>, 2022)</w:t>
      </w:r>
      <w:r>
        <w:rPr>
          <w:rFonts w:ascii="Arial" w:hAnsi="Arial" w:cs="Arial"/>
          <w:sz w:val="22"/>
          <w:szCs w:val="22"/>
        </w:rPr>
        <w:t xml:space="preserve">. </w:t>
      </w:r>
    </w:p>
    <w:p w14:paraId="168E3FE9" w14:textId="79859A17" w:rsidR="00025562" w:rsidRPr="00064AD2" w:rsidRDefault="00025562" w:rsidP="00064AD2">
      <w:pPr>
        <w:spacing w:line="360" w:lineRule="auto"/>
        <w:rPr>
          <w:rFonts w:ascii="Arial" w:hAnsi="Arial" w:cs="Arial"/>
          <w:sz w:val="22"/>
          <w:szCs w:val="22"/>
          <w:u w:val="single"/>
          <w:lang w:val="en-GB"/>
        </w:rPr>
      </w:pPr>
      <w:r w:rsidRPr="00064AD2">
        <w:rPr>
          <w:rFonts w:ascii="Arial" w:hAnsi="Arial" w:cs="Arial"/>
          <w:sz w:val="22"/>
          <w:szCs w:val="22"/>
          <w:u w:val="single"/>
          <w:lang w:val="en-GB"/>
        </w:rPr>
        <w:t>SDG 3- Good Health and Well-being</w:t>
      </w:r>
    </w:p>
    <w:p w14:paraId="13EAE617" w14:textId="77777777" w:rsidR="00025562" w:rsidRPr="00064AD2" w:rsidRDefault="00025562" w:rsidP="00064AD2">
      <w:pPr>
        <w:spacing w:line="360" w:lineRule="auto"/>
        <w:rPr>
          <w:rFonts w:ascii="Arial" w:hAnsi="Arial" w:cs="Arial"/>
          <w:sz w:val="22"/>
          <w:szCs w:val="22"/>
          <w:u w:val="single"/>
          <w:lang w:val="en-GB"/>
        </w:rPr>
      </w:pPr>
      <w:r w:rsidRPr="00064AD2">
        <w:rPr>
          <w:rFonts w:ascii="Arial" w:hAnsi="Arial" w:cs="Arial"/>
          <w:sz w:val="22"/>
          <w:szCs w:val="22"/>
          <w:u w:val="single"/>
          <w:lang w:val="en-GB"/>
        </w:rPr>
        <w:t>Global Progress and Structural Limitations</w:t>
      </w:r>
    </w:p>
    <w:p w14:paraId="14D4C39D" w14:textId="7BAD935B" w:rsidR="00025562" w:rsidRPr="00064AD2" w:rsidRDefault="00FD34A1" w:rsidP="00064AD2">
      <w:pPr>
        <w:spacing w:line="360" w:lineRule="auto"/>
        <w:rPr>
          <w:rFonts w:ascii="Arial" w:hAnsi="Arial" w:cs="Arial"/>
          <w:sz w:val="22"/>
          <w:szCs w:val="22"/>
          <w:lang w:val="en-GB"/>
        </w:rPr>
      </w:pPr>
      <w:r>
        <w:rPr>
          <w:rFonts w:ascii="Arial" w:hAnsi="Arial" w:cs="Arial"/>
          <w:sz w:val="22"/>
          <w:szCs w:val="22"/>
          <w:lang w:val="en-GB"/>
        </w:rPr>
        <w:t xml:space="preserve">SDG 3 includes thirteen targets, such as reducing maternal mortality, ending preventable child deaths, fighting communicable diseases, lowering premature mortality from non-communicable diseases (NCDs), strengthening mental health services, and achieving </w:t>
      </w:r>
      <w:r>
        <w:rPr>
          <w:rFonts w:ascii="Arial" w:hAnsi="Arial" w:cs="Arial"/>
          <w:sz w:val="22"/>
          <w:szCs w:val="22"/>
          <w:lang w:val="en-GB"/>
        </w:rPr>
        <w:lastRenderedPageBreak/>
        <w:t>Universal Health Coverage</w:t>
      </w:r>
      <w:r w:rsidR="00551FE2">
        <w:rPr>
          <w:rFonts w:ascii="Arial" w:hAnsi="Arial" w:cs="Arial"/>
          <w:sz w:val="22"/>
          <w:szCs w:val="22"/>
          <w:lang w:val="en-GB"/>
        </w:rPr>
        <w:t xml:space="preserve"> (UHC)</w:t>
      </w:r>
      <w:r>
        <w:rPr>
          <w:rFonts w:ascii="Arial" w:hAnsi="Arial" w:cs="Arial"/>
          <w:sz w:val="22"/>
          <w:szCs w:val="22"/>
          <w:lang w:val="en-GB"/>
        </w:rPr>
        <w:t xml:space="preserve">. The World Health Organisation </w:t>
      </w:r>
      <w:r w:rsidR="008366B7">
        <w:rPr>
          <w:rFonts w:ascii="Arial" w:hAnsi="Arial" w:cs="Arial"/>
          <w:sz w:val="22"/>
          <w:szCs w:val="22"/>
          <w:lang w:val="en-GB"/>
        </w:rPr>
        <w:t xml:space="preserve">defines UHC as access to quality services without financial hardship (WHO, 2025) and </w:t>
      </w:r>
      <w:r w:rsidR="000A67CC">
        <w:rPr>
          <w:rFonts w:ascii="Arial" w:hAnsi="Arial" w:cs="Arial"/>
          <w:sz w:val="22"/>
          <w:szCs w:val="22"/>
          <w:lang w:val="en-GB"/>
        </w:rPr>
        <w:t>considers it central to achieving</w:t>
      </w:r>
      <w:r w:rsidR="008366B7">
        <w:rPr>
          <w:rFonts w:ascii="Arial" w:hAnsi="Arial" w:cs="Arial"/>
          <w:sz w:val="22"/>
          <w:szCs w:val="22"/>
          <w:lang w:val="en-GB"/>
        </w:rPr>
        <w:t xml:space="preserve"> health equity</w:t>
      </w:r>
      <w:r>
        <w:rPr>
          <w:rFonts w:ascii="Arial" w:hAnsi="Arial" w:cs="Arial"/>
          <w:sz w:val="22"/>
          <w:szCs w:val="22"/>
          <w:lang w:val="en-GB"/>
        </w:rPr>
        <w:t>. Globally, notable progress was made between 2000 and 2015 in reducing child mortality and expanding antiretroviral treatment for HIV. However,</w:t>
      </w:r>
      <w:r w:rsidR="004121C7">
        <w:rPr>
          <w:rFonts w:ascii="Arial" w:hAnsi="Arial" w:cs="Arial"/>
          <w:sz w:val="22"/>
          <w:szCs w:val="22"/>
          <w:lang w:val="en-GB"/>
        </w:rPr>
        <w:t xml:space="preserve"> in recent years,</w:t>
      </w:r>
      <w:r>
        <w:rPr>
          <w:rFonts w:ascii="Arial" w:hAnsi="Arial" w:cs="Arial"/>
          <w:sz w:val="22"/>
          <w:szCs w:val="22"/>
          <w:lang w:val="en-GB"/>
        </w:rPr>
        <w:t xml:space="preserve"> progress has decelerated. The COVID-19 pandemic disrupted vital services, reversing vaccination coverage and widening global health disparities. Additionally, it revealed inequalities both between and within countries, with </w:t>
      </w:r>
      <w:r w:rsidR="00375F91">
        <w:rPr>
          <w:rFonts w:ascii="Arial" w:hAnsi="Arial" w:cs="Arial"/>
          <w:sz w:val="22"/>
          <w:szCs w:val="22"/>
          <w:lang w:val="en-GB"/>
        </w:rPr>
        <w:t>lower-income individuals</w:t>
      </w:r>
      <w:r>
        <w:rPr>
          <w:rFonts w:ascii="Arial" w:hAnsi="Arial" w:cs="Arial"/>
          <w:sz w:val="22"/>
          <w:szCs w:val="22"/>
          <w:lang w:val="en-GB"/>
        </w:rPr>
        <w:t xml:space="preserve"> less likely to have received a COVID-19 vaccine (WHO, 2023). This underscores the vulnerability of health systems when socioeconomic inequalities persist. A major limitation of </w:t>
      </w:r>
      <w:r w:rsidR="008366B7">
        <w:rPr>
          <w:rFonts w:ascii="Arial" w:hAnsi="Arial" w:cs="Arial"/>
          <w:sz w:val="22"/>
          <w:szCs w:val="22"/>
          <w:lang w:val="en-GB"/>
        </w:rPr>
        <w:t xml:space="preserve">the </w:t>
      </w:r>
      <w:r>
        <w:rPr>
          <w:rFonts w:ascii="Arial" w:hAnsi="Arial" w:cs="Arial"/>
          <w:sz w:val="22"/>
          <w:szCs w:val="22"/>
          <w:lang w:val="en-GB"/>
        </w:rPr>
        <w:t xml:space="preserve">worldwide </w:t>
      </w:r>
      <w:r w:rsidR="008366B7">
        <w:rPr>
          <w:rFonts w:ascii="Arial" w:hAnsi="Arial" w:cs="Arial"/>
          <w:sz w:val="22"/>
          <w:szCs w:val="22"/>
          <w:lang w:val="en-GB"/>
        </w:rPr>
        <w:t xml:space="preserve">implementation of SDG 3 </w:t>
      </w:r>
      <w:r>
        <w:rPr>
          <w:rFonts w:ascii="Arial" w:hAnsi="Arial" w:cs="Arial"/>
          <w:sz w:val="22"/>
          <w:szCs w:val="22"/>
          <w:lang w:val="en-GB"/>
        </w:rPr>
        <w:t xml:space="preserve">is its frequent focus on healthcare delivery rather than prevention. Many national strategies concentrate on hospital capacity and access to medicines, while underfunding social protection systems. This reflects a biomedical health model </w:t>
      </w:r>
      <w:r w:rsidR="008366B7">
        <w:rPr>
          <w:rFonts w:ascii="Arial" w:hAnsi="Arial" w:cs="Arial"/>
          <w:sz w:val="22"/>
          <w:szCs w:val="22"/>
          <w:lang w:val="en-GB"/>
        </w:rPr>
        <w:t xml:space="preserve">that focuses </w:t>
      </w:r>
      <w:r>
        <w:rPr>
          <w:rFonts w:ascii="Arial" w:hAnsi="Arial" w:cs="Arial"/>
          <w:sz w:val="22"/>
          <w:szCs w:val="22"/>
          <w:lang w:val="en-GB"/>
        </w:rPr>
        <w:t>on biological factors and views illness as an individual issue rather than a social outcome (Swannack, Appleby, 2019)</w:t>
      </w:r>
      <w:r w:rsidR="008366B7">
        <w:rPr>
          <w:rFonts w:ascii="Arial" w:hAnsi="Arial" w:cs="Arial"/>
          <w:sz w:val="22"/>
          <w:szCs w:val="22"/>
          <w:lang w:val="en-GB"/>
        </w:rPr>
        <w:t>.</w:t>
      </w:r>
    </w:p>
    <w:p w14:paraId="41612059" w14:textId="77777777" w:rsidR="00025562" w:rsidRPr="00064AD2" w:rsidRDefault="00025562" w:rsidP="00064AD2">
      <w:pPr>
        <w:spacing w:line="360" w:lineRule="auto"/>
        <w:rPr>
          <w:rFonts w:ascii="Arial" w:hAnsi="Arial" w:cs="Arial"/>
          <w:sz w:val="22"/>
          <w:szCs w:val="22"/>
          <w:u w:val="single"/>
          <w:lang w:val="en-GB"/>
        </w:rPr>
      </w:pPr>
      <w:r w:rsidRPr="00064AD2">
        <w:rPr>
          <w:rFonts w:ascii="Arial" w:hAnsi="Arial" w:cs="Arial"/>
          <w:sz w:val="22"/>
          <w:szCs w:val="22"/>
          <w:u w:val="single"/>
          <w:lang w:val="en-GB"/>
        </w:rPr>
        <w:t>The UK and Universal Health Coverage</w:t>
      </w:r>
    </w:p>
    <w:p w14:paraId="3E61B5DB" w14:textId="3552B1E4" w:rsidR="00C7283D" w:rsidRPr="00064AD2" w:rsidRDefault="0031091E" w:rsidP="00064AD2">
      <w:pPr>
        <w:spacing w:line="360" w:lineRule="auto"/>
        <w:rPr>
          <w:rFonts w:ascii="Arial" w:hAnsi="Arial" w:cs="Arial"/>
          <w:sz w:val="22"/>
          <w:szCs w:val="22"/>
          <w:lang w:val="en-GB"/>
        </w:rPr>
      </w:pPr>
      <w:r w:rsidRPr="00064AD2">
        <w:rPr>
          <w:rFonts w:ascii="Arial" w:hAnsi="Arial" w:cs="Arial"/>
          <w:sz w:val="22"/>
          <w:szCs w:val="22"/>
          <w:lang w:val="en-GB"/>
        </w:rPr>
        <w:t xml:space="preserve">The NHS aims to align with the UN-established SDGs, including </w:t>
      </w:r>
      <w:r w:rsidR="00FB34B5">
        <w:rPr>
          <w:rFonts w:ascii="Arial" w:hAnsi="Arial" w:cs="Arial"/>
          <w:sz w:val="22"/>
          <w:szCs w:val="22"/>
          <w:lang w:val="en-GB"/>
        </w:rPr>
        <w:t>U</w:t>
      </w:r>
      <w:r w:rsidR="008E71E3" w:rsidRPr="00064AD2">
        <w:rPr>
          <w:rFonts w:ascii="Arial" w:hAnsi="Arial" w:cs="Arial"/>
          <w:sz w:val="22"/>
          <w:szCs w:val="22"/>
          <w:lang w:val="en-GB"/>
        </w:rPr>
        <w:t xml:space="preserve">niversal </w:t>
      </w:r>
      <w:r w:rsidR="00FB34B5">
        <w:rPr>
          <w:rFonts w:ascii="Arial" w:hAnsi="Arial" w:cs="Arial"/>
          <w:sz w:val="22"/>
          <w:szCs w:val="22"/>
          <w:lang w:val="en-GB"/>
        </w:rPr>
        <w:t>H</w:t>
      </w:r>
      <w:r w:rsidR="008E71E3" w:rsidRPr="00064AD2">
        <w:rPr>
          <w:rFonts w:ascii="Arial" w:hAnsi="Arial" w:cs="Arial"/>
          <w:sz w:val="22"/>
          <w:szCs w:val="22"/>
          <w:lang w:val="en-GB"/>
        </w:rPr>
        <w:t xml:space="preserve">ealth </w:t>
      </w:r>
      <w:r w:rsidR="00FB34B5">
        <w:rPr>
          <w:rFonts w:ascii="Arial" w:hAnsi="Arial" w:cs="Arial"/>
          <w:sz w:val="22"/>
          <w:szCs w:val="22"/>
          <w:lang w:val="en-GB"/>
        </w:rPr>
        <w:t>C</w:t>
      </w:r>
      <w:r w:rsidR="008E71E3" w:rsidRPr="00064AD2">
        <w:rPr>
          <w:rFonts w:ascii="Arial" w:hAnsi="Arial" w:cs="Arial"/>
          <w:sz w:val="22"/>
          <w:szCs w:val="22"/>
          <w:lang w:val="en-GB"/>
        </w:rPr>
        <w:t xml:space="preserve">overage </w:t>
      </w:r>
      <w:r w:rsidRPr="00064AD2">
        <w:rPr>
          <w:rFonts w:ascii="Arial" w:hAnsi="Arial" w:cs="Arial"/>
          <w:sz w:val="22"/>
          <w:szCs w:val="22"/>
          <w:lang w:val="en-GB"/>
        </w:rPr>
        <w:t xml:space="preserve">(Patterson, 2021). Its core principles </w:t>
      </w:r>
      <w:r w:rsidR="00665C7B">
        <w:rPr>
          <w:rFonts w:ascii="Arial" w:hAnsi="Arial" w:cs="Arial"/>
          <w:sz w:val="22"/>
          <w:szCs w:val="22"/>
          <w:lang w:val="en-GB"/>
        </w:rPr>
        <w:t xml:space="preserve">- </w:t>
      </w:r>
      <w:r w:rsidRPr="00064AD2">
        <w:rPr>
          <w:rFonts w:ascii="Arial" w:hAnsi="Arial" w:cs="Arial"/>
          <w:sz w:val="22"/>
          <w:szCs w:val="22"/>
          <w:lang w:val="en-GB"/>
        </w:rPr>
        <w:t xml:space="preserve">universality, equity and free access at the point of use </w:t>
      </w:r>
      <w:r w:rsidR="00665C7B">
        <w:rPr>
          <w:rFonts w:ascii="Arial" w:hAnsi="Arial" w:cs="Arial"/>
          <w:sz w:val="22"/>
          <w:szCs w:val="22"/>
          <w:lang w:val="en-GB"/>
        </w:rPr>
        <w:t xml:space="preserve">- </w:t>
      </w:r>
      <w:r w:rsidRPr="00064AD2">
        <w:rPr>
          <w:rFonts w:ascii="Arial" w:hAnsi="Arial" w:cs="Arial"/>
          <w:sz w:val="22"/>
          <w:szCs w:val="22"/>
          <w:lang w:val="en-GB"/>
        </w:rPr>
        <w:t>closely reflect SDG 3. Preventive services such as immunisation programmes, cancer screening, and smoking cessation have helped improve population health indicators over the years.</w:t>
      </w:r>
    </w:p>
    <w:p w14:paraId="6A1FC5AE" w14:textId="0133325F" w:rsidR="00C7283D" w:rsidRPr="00064AD2" w:rsidRDefault="00C7283D" w:rsidP="00064AD2">
      <w:pPr>
        <w:spacing w:line="360" w:lineRule="auto"/>
        <w:rPr>
          <w:rFonts w:ascii="Arial" w:hAnsi="Arial" w:cs="Arial"/>
          <w:sz w:val="22"/>
          <w:szCs w:val="22"/>
          <w:lang w:val="en-GB"/>
        </w:rPr>
      </w:pPr>
      <w:r w:rsidRPr="00064AD2">
        <w:rPr>
          <w:rFonts w:ascii="Arial" w:hAnsi="Arial" w:cs="Arial"/>
          <w:sz w:val="22"/>
          <w:szCs w:val="22"/>
          <w:lang w:val="en-GB"/>
        </w:rPr>
        <w:t xml:space="preserve">However, universal access does not equate to universal outcomes. Data from the Institute of Health Equity demonstrates a clear social gradient in health. The Marmot Review (2010) and its 10-year update (2020) found that </w:t>
      </w:r>
      <w:r w:rsidR="008366B7">
        <w:rPr>
          <w:rFonts w:ascii="Arial" w:hAnsi="Arial" w:cs="Arial"/>
          <w:sz w:val="22"/>
          <w:szCs w:val="22"/>
          <w:lang w:val="en-GB"/>
        </w:rPr>
        <w:t xml:space="preserve">improvements in life expectancy </w:t>
      </w:r>
      <w:r w:rsidRPr="00064AD2">
        <w:rPr>
          <w:rFonts w:ascii="Arial" w:hAnsi="Arial" w:cs="Arial"/>
          <w:sz w:val="22"/>
          <w:szCs w:val="22"/>
          <w:lang w:val="en-GB"/>
        </w:rPr>
        <w:t xml:space="preserve">stalled after 2010 and declined in the most deprived areas. Healthy life expectancy gaps between the richest and poorest communities widened. This stagnation coincided with austerity measures introduced after 2010, which reduced local authority budgets and public health funding. Public health grants in England fell </w:t>
      </w:r>
      <w:proofErr w:type="gramStart"/>
      <w:r w:rsidRPr="00064AD2">
        <w:rPr>
          <w:rFonts w:ascii="Arial" w:hAnsi="Arial" w:cs="Arial"/>
          <w:sz w:val="22"/>
          <w:szCs w:val="22"/>
          <w:lang w:val="en-GB"/>
        </w:rPr>
        <w:t>substantially in</w:t>
      </w:r>
      <w:proofErr w:type="gramEnd"/>
      <w:r w:rsidRPr="00064AD2">
        <w:rPr>
          <w:rFonts w:ascii="Arial" w:hAnsi="Arial" w:cs="Arial"/>
          <w:sz w:val="22"/>
          <w:szCs w:val="22"/>
          <w:lang w:val="en-GB"/>
        </w:rPr>
        <w:t xml:space="preserve"> real terms between 2015 and 2021 (</w:t>
      </w:r>
      <w:r w:rsidR="0017606C" w:rsidRPr="001D0FD9">
        <w:rPr>
          <w:rFonts w:ascii="Arial" w:hAnsi="Arial" w:cs="Arial"/>
          <w:sz w:val="22"/>
          <w:szCs w:val="22"/>
          <w:lang w:val="en-GB"/>
        </w:rPr>
        <w:t>Buck</w:t>
      </w:r>
      <w:r w:rsidR="0017606C">
        <w:rPr>
          <w:rFonts w:ascii="Arial" w:hAnsi="Arial" w:cs="Arial"/>
          <w:sz w:val="22"/>
          <w:szCs w:val="22"/>
          <w:lang w:val="en-GB"/>
        </w:rPr>
        <w:t xml:space="preserve">, </w:t>
      </w:r>
      <w:r w:rsidR="0017606C" w:rsidRPr="001D0FD9">
        <w:rPr>
          <w:rFonts w:ascii="Arial" w:hAnsi="Arial" w:cs="Arial"/>
          <w:sz w:val="22"/>
          <w:szCs w:val="22"/>
          <w:lang w:val="en-GB"/>
        </w:rPr>
        <w:t>Jefferies</w:t>
      </w:r>
      <w:r w:rsidR="0017606C">
        <w:rPr>
          <w:rFonts w:ascii="Arial" w:hAnsi="Arial" w:cs="Arial"/>
          <w:sz w:val="22"/>
          <w:szCs w:val="22"/>
          <w:lang w:val="en-GB"/>
        </w:rPr>
        <w:t>, 2026</w:t>
      </w:r>
      <w:r w:rsidRPr="00064AD2">
        <w:rPr>
          <w:rFonts w:ascii="Arial" w:hAnsi="Arial" w:cs="Arial"/>
          <w:sz w:val="22"/>
          <w:szCs w:val="22"/>
          <w:lang w:val="en-GB"/>
        </w:rPr>
        <w:t>). Cuts disproportionately affected deprived regions, undermining early intervention services such as youth support, addiction treatment and community mental health programmes.</w:t>
      </w:r>
    </w:p>
    <w:p w14:paraId="68E5E2B5" w14:textId="5E13D536" w:rsidR="00025562" w:rsidRPr="00064AD2" w:rsidRDefault="00025562" w:rsidP="00064AD2">
      <w:pPr>
        <w:spacing w:line="360" w:lineRule="auto"/>
        <w:rPr>
          <w:rFonts w:ascii="Arial" w:hAnsi="Arial" w:cs="Arial"/>
          <w:sz w:val="22"/>
          <w:szCs w:val="22"/>
          <w:u w:val="single"/>
          <w:lang w:val="en-GB"/>
        </w:rPr>
      </w:pPr>
      <w:r w:rsidRPr="00064AD2">
        <w:rPr>
          <w:rFonts w:ascii="Arial" w:hAnsi="Arial" w:cs="Arial"/>
          <w:sz w:val="22"/>
          <w:szCs w:val="22"/>
          <w:u w:val="single"/>
          <w:lang w:val="en-GB"/>
        </w:rPr>
        <w:t>Mental Health and Preventive Care</w:t>
      </w:r>
    </w:p>
    <w:p w14:paraId="03B008D3" w14:textId="14321F1D" w:rsidR="001E17BF" w:rsidRPr="00064AD2" w:rsidRDefault="0031091E" w:rsidP="00064AD2">
      <w:pPr>
        <w:spacing w:line="360" w:lineRule="auto"/>
        <w:rPr>
          <w:rFonts w:ascii="Arial" w:hAnsi="Arial" w:cs="Arial"/>
          <w:sz w:val="22"/>
          <w:szCs w:val="22"/>
        </w:rPr>
      </w:pPr>
      <w:r w:rsidRPr="00064AD2">
        <w:rPr>
          <w:rFonts w:ascii="Arial" w:hAnsi="Arial" w:cs="Arial"/>
          <w:sz w:val="22"/>
          <w:szCs w:val="22"/>
        </w:rPr>
        <w:t xml:space="preserve">Mental health is explicitly recognised within Sustainable Development Goal (SDG) 3, particularly Target 3.4, which commits countries to reduce premature mortality from non-communicable diseases and promote mental health and well-being by 2030 (United Nations, 2015). This inclusion reflects the growing global recognition that mental health is essential to </w:t>
      </w:r>
      <w:r w:rsidRPr="00064AD2">
        <w:rPr>
          <w:rFonts w:ascii="Arial" w:hAnsi="Arial" w:cs="Arial"/>
          <w:sz w:val="22"/>
          <w:szCs w:val="22"/>
        </w:rPr>
        <w:lastRenderedPageBreak/>
        <w:t>overall health and sustainable development. In the UK, national policy initiatives such as Improving Access to Psychological Therapies (IAPT) were introduced to expand access to evidence-based talking therapies for common mental health conditions, particularly anxiety and depression (NHS England, 2019). The programme significantly increased the number of people entering treatment each year and became a central part of community mental health services. However, despite expansion efforts under the NHS Long Term Plan, demand for mental health services continues to surpass supply. Reports from the Care Quality Commission (CQC) highlight persistent long waiting times and service pressures across community and crisis care pathways (CQC, 2025). Similarly, NHS Providers (2023) report growing waiting lists and capacity challenges within mental health trusts. Workforce shortages remain a structural constraint, with high vacancies and recruitment difficulties limiting the system’s ability to meet rising needs (</w:t>
      </w:r>
      <w:r w:rsidR="00961942" w:rsidRPr="0031091E">
        <w:rPr>
          <w:rFonts w:ascii="Arial" w:hAnsi="Arial" w:cs="Arial"/>
          <w:sz w:val="22"/>
          <w:szCs w:val="22"/>
          <w:lang w:val="en-GB"/>
        </w:rPr>
        <w:t>Warren</w:t>
      </w:r>
      <w:r w:rsidRPr="00064AD2">
        <w:rPr>
          <w:rFonts w:ascii="Arial" w:hAnsi="Arial" w:cs="Arial"/>
          <w:sz w:val="22"/>
          <w:szCs w:val="22"/>
        </w:rPr>
        <w:t>, 2022). These ongoing pressures suggest that although policy alignment with SDG 3 is clear, significant systemic reform and sustained investment are necessary to ensure equitable and timely access to mental health care.</w:t>
      </w:r>
    </w:p>
    <w:p w14:paraId="75EDC8EC" w14:textId="7E9F1699" w:rsidR="00025562" w:rsidRPr="00064AD2" w:rsidRDefault="00025562" w:rsidP="00064AD2">
      <w:pPr>
        <w:spacing w:line="360" w:lineRule="auto"/>
        <w:rPr>
          <w:rFonts w:ascii="Arial" w:hAnsi="Arial" w:cs="Arial"/>
          <w:sz w:val="22"/>
          <w:szCs w:val="22"/>
          <w:u w:val="single"/>
          <w:lang w:val="en-GB"/>
        </w:rPr>
      </w:pPr>
      <w:r w:rsidRPr="00064AD2">
        <w:rPr>
          <w:rFonts w:ascii="Arial" w:hAnsi="Arial" w:cs="Arial"/>
          <w:sz w:val="22"/>
          <w:szCs w:val="22"/>
          <w:u w:val="single"/>
          <w:lang w:val="en-GB"/>
        </w:rPr>
        <w:t>COVID-19 as a Stress Test</w:t>
      </w:r>
    </w:p>
    <w:p w14:paraId="0FA7B92F" w14:textId="77777777" w:rsidR="00417F75" w:rsidRDefault="0072220A" w:rsidP="00064AD2">
      <w:pPr>
        <w:spacing w:line="360" w:lineRule="auto"/>
        <w:rPr>
          <w:rFonts w:ascii="Arial" w:hAnsi="Arial" w:cs="Arial"/>
          <w:sz w:val="22"/>
          <w:szCs w:val="22"/>
          <w:lang w:val="en-GB"/>
        </w:rPr>
      </w:pPr>
      <w:r>
        <w:rPr>
          <w:rFonts w:ascii="Arial" w:hAnsi="Arial" w:cs="Arial"/>
          <w:sz w:val="22"/>
          <w:szCs w:val="22"/>
          <w:lang w:val="en-GB"/>
        </w:rPr>
        <w:t>The COVID-19 pandemic highlighted how social and economic inequalities impact health outcomes, especially in the UK</w:t>
      </w:r>
      <w:r w:rsidR="00486C61">
        <w:rPr>
          <w:rFonts w:ascii="Arial" w:hAnsi="Arial" w:cs="Arial"/>
          <w:sz w:val="22"/>
          <w:szCs w:val="22"/>
          <w:lang w:val="en-GB"/>
        </w:rPr>
        <w:t>,</w:t>
      </w:r>
      <w:r>
        <w:rPr>
          <w:rFonts w:ascii="Arial" w:hAnsi="Arial" w:cs="Arial"/>
          <w:sz w:val="22"/>
          <w:szCs w:val="22"/>
          <w:lang w:val="en-GB"/>
        </w:rPr>
        <w:t xml:space="preserve"> where mortality was higher among deprived and ethnic minority groups (Public Health England, 2020). Disparities reflected structural vulnerabilities</w:t>
      </w:r>
      <w:r w:rsidR="00486C61">
        <w:rPr>
          <w:rFonts w:ascii="Arial" w:hAnsi="Arial" w:cs="Arial"/>
          <w:sz w:val="22"/>
          <w:szCs w:val="22"/>
          <w:lang w:val="en-GB"/>
        </w:rPr>
        <w:t xml:space="preserve"> rather than</w:t>
      </w:r>
      <w:r>
        <w:rPr>
          <w:rFonts w:ascii="Arial" w:hAnsi="Arial" w:cs="Arial"/>
          <w:sz w:val="22"/>
          <w:szCs w:val="22"/>
          <w:lang w:val="en-GB"/>
        </w:rPr>
        <w:t xml:space="preserve"> biological differences. Disadvantaged groups often worked in frontline roles</w:t>
      </w:r>
      <w:r w:rsidR="00486C61">
        <w:rPr>
          <w:rFonts w:ascii="Arial" w:hAnsi="Arial" w:cs="Arial"/>
          <w:sz w:val="22"/>
          <w:szCs w:val="22"/>
          <w:lang w:val="en-GB"/>
        </w:rPr>
        <w:t xml:space="preserve">, increasing their risk of infection </w:t>
      </w:r>
      <w:r>
        <w:rPr>
          <w:rFonts w:ascii="Arial" w:hAnsi="Arial" w:cs="Arial"/>
          <w:sz w:val="22"/>
          <w:szCs w:val="22"/>
          <w:lang w:val="en-GB"/>
        </w:rPr>
        <w:t xml:space="preserve">(Bambra et al., 2020). </w:t>
      </w:r>
    </w:p>
    <w:p w14:paraId="381C056A" w14:textId="6E60B90A" w:rsidR="006A56C1" w:rsidRPr="00064AD2" w:rsidRDefault="0072220A" w:rsidP="00064AD2">
      <w:pPr>
        <w:spacing w:line="360" w:lineRule="auto"/>
        <w:rPr>
          <w:rFonts w:ascii="Arial" w:hAnsi="Arial" w:cs="Arial"/>
          <w:sz w:val="22"/>
          <w:szCs w:val="22"/>
          <w:lang w:val="en-GB"/>
        </w:rPr>
      </w:pPr>
      <w:r>
        <w:rPr>
          <w:rFonts w:ascii="Arial" w:hAnsi="Arial" w:cs="Arial"/>
          <w:sz w:val="22"/>
          <w:szCs w:val="22"/>
          <w:lang w:val="en-GB"/>
        </w:rPr>
        <w:t xml:space="preserve">The Social Determinants of Health framework by Dahlgren and Whitehead (1991) sees health as shaped by socioeconomic factors, not just individual </w:t>
      </w:r>
      <w:r w:rsidR="00486C61">
        <w:rPr>
          <w:rFonts w:ascii="Arial" w:hAnsi="Arial" w:cs="Arial"/>
          <w:sz w:val="22"/>
          <w:szCs w:val="22"/>
          <w:lang w:val="en-GB"/>
        </w:rPr>
        <w:t>behaviour</w:t>
      </w:r>
      <w:r>
        <w:rPr>
          <w:rFonts w:ascii="Arial" w:hAnsi="Arial" w:cs="Arial"/>
          <w:sz w:val="22"/>
          <w:szCs w:val="22"/>
          <w:lang w:val="en-GB"/>
        </w:rPr>
        <w:t>. COVID-19 shows that resilient health systems need strong infrastructure and ongoing efforts to reduce inequalities that put certain populations at greater risk.</w:t>
      </w:r>
    </w:p>
    <w:p w14:paraId="5A50571B" w14:textId="77777777" w:rsidR="006D3D1E" w:rsidRPr="006D3D1E" w:rsidRDefault="006D3D1E" w:rsidP="006D3D1E">
      <w:pPr>
        <w:spacing w:line="360" w:lineRule="auto"/>
        <w:rPr>
          <w:rFonts w:ascii="Arial" w:hAnsi="Arial" w:cs="Arial"/>
          <w:sz w:val="22"/>
          <w:szCs w:val="22"/>
          <w:u w:val="single"/>
          <w:lang w:val="en-GB"/>
        </w:rPr>
      </w:pPr>
      <w:r w:rsidRPr="006D3D1E">
        <w:rPr>
          <w:rFonts w:ascii="Arial" w:hAnsi="Arial" w:cs="Arial"/>
          <w:sz w:val="22"/>
          <w:szCs w:val="22"/>
          <w:u w:val="single"/>
          <w:lang w:val="en-GB"/>
        </w:rPr>
        <w:t>Theoretical Evaluation</w:t>
      </w:r>
    </w:p>
    <w:p w14:paraId="42ECA69F" w14:textId="74981E59" w:rsidR="00025562" w:rsidRPr="00064AD2" w:rsidRDefault="00AA1DE6" w:rsidP="006D3D1E">
      <w:pPr>
        <w:spacing w:line="360" w:lineRule="auto"/>
        <w:rPr>
          <w:rFonts w:ascii="Arial" w:hAnsi="Arial" w:cs="Arial"/>
          <w:sz w:val="22"/>
          <w:szCs w:val="22"/>
          <w:lang w:val="en-GB"/>
        </w:rPr>
      </w:pPr>
      <w:r>
        <w:rPr>
          <w:rFonts w:ascii="Arial" w:hAnsi="Arial" w:cs="Arial"/>
          <w:sz w:val="22"/>
          <w:szCs w:val="22"/>
          <w:lang w:val="en-GB"/>
        </w:rPr>
        <w:t xml:space="preserve">The Social Ecological Model highlights that health outcomes are influenced by factors at the individual, community, and structural levels (McLeroy et al., 1988). Nonetheless, UK public health policies tend to focus more on </w:t>
      </w:r>
      <w:r w:rsidR="00F62771">
        <w:rPr>
          <w:rFonts w:ascii="Arial" w:hAnsi="Arial" w:cs="Arial"/>
          <w:sz w:val="22"/>
          <w:szCs w:val="22"/>
          <w:lang w:val="en-GB"/>
        </w:rPr>
        <w:t>behavioural</w:t>
      </w:r>
      <w:r>
        <w:rPr>
          <w:rFonts w:ascii="Arial" w:hAnsi="Arial" w:cs="Arial"/>
          <w:sz w:val="22"/>
          <w:szCs w:val="22"/>
          <w:lang w:val="en-GB"/>
        </w:rPr>
        <w:t xml:space="preserve"> interventions, such as promoting healthier diets and increased physical activity, rather than addressing the root socioeconomic causes. This approach exemplifies “lifestyle drift” (Popay</w:t>
      </w:r>
      <w:r w:rsidR="00D550CC">
        <w:rPr>
          <w:rFonts w:ascii="Arial" w:hAnsi="Arial" w:cs="Arial"/>
          <w:sz w:val="22"/>
          <w:szCs w:val="22"/>
          <w:lang w:val="en-GB"/>
        </w:rPr>
        <w:t xml:space="preserve">, </w:t>
      </w:r>
      <w:r w:rsidR="00D550CC" w:rsidRPr="00F31D96">
        <w:rPr>
          <w:rFonts w:ascii="Arial" w:hAnsi="Arial" w:cs="Arial"/>
          <w:sz w:val="22"/>
          <w:szCs w:val="22"/>
          <w:lang w:val="en-GB"/>
        </w:rPr>
        <w:t>Whitehead,</w:t>
      </w:r>
      <w:r w:rsidR="00D550CC">
        <w:rPr>
          <w:rFonts w:ascii="Arial" w:hAnsi="Arial" w:cs="Arial"/>
          <w:sz w:val="22"/>
          <w:szCs w:val="22"/>
          <w:lang w:val="en-GB"/>
        </w:rPr>
        <w:t xml:space="preserve"> </w:t>
      </w:r>
      <w:r w:rsidR="00D550CC" w:rsidRPr="00F31D96">
        <w:rPr>
          <w:rFonts w:ascii="Arial" w:hAnsi="Arial" w:cs="Arial"/>
          <w:sz w:val="22"/>
          <w:szCs w:val="22"/>
          <w:lang w:val="en-GB"/>
        </w:rPr>
        <w:t>Hunter,</w:t>
      </w:r>
      <w:r>
        <w:rPr>
          <w:rFonts w:ascii="Arial" w:hAnsi="Arial" w:cs="Arial"/>
          <w:sz w:val="22"/>
          <w:szCs w:val="22"/>
          <w:lang w:val="en-GB"/>
        </w:rPr>
        <w:t xml:space="preserve"> 2010), </w:t>
      </w:r>
      <w:r w:rsidR="00F62771">
        <w:rPr>
          <w:rFonts w:ascii="Arial" w:hAnsi="Arial" w:cs="Arial"/>
          <w:sz w:val="22"/>
          <w:szCs w:val="22"/>
          <w:lang w:val="en-GB"/>
        </w:rPr>
        <w:t xml:space="preserve">in which policymakers recognise the structural origins of health inequalities but </w:t>
      </w:r>
      <w:proofErr w:type="gramStart"/>
      <w:r w:rsidR="00F62771">
        <w:rPr>
          <w:rFonts w:ascii="Arial" w:hAnsi="Arial" w:cs="Arial"/>
          <w:sz w:val="22"/>
          <w:szCs w:val="22"/>
          <w:lang w:val="en-GB"/>
        </w:rPr>
        <w:t>ultimately emphasise</w:t>
      </w:r>
      <w:proofErr w:type="gramEnd"/>
      <w:r w:rsidR="00F62771">
        <w:rPr>
          <w:rFonts w:ascii="Arial" w:hAnsi="Arial" w:cs="Arial"/>
          <w:sz w:val="22"/>
          <w:szCs w:val="22"/>
          <w:lang w:val="en-GB"/>
        </w:rPr>
        <w:t xml:space="preserve"> changing individual behaviours</w:t>
      </w:r>
      <w:r>
        <w:rPr>
          <w:rFonts w:ascii="Arial" w:hAnsi="Arial" w:cs="Arial"/>
          <w:sz w:val="22"/>
          <w:szCs w:val="22"/>
          <w:lang w:val="en-GB"/>
        </w:rPr>
        <w:t>. The idea of proportionate</w:t>
      </w:r>
      <w:r w:rsidR="00E5465C">
        <w:rPr>
          <w:rFonts w:ascii="Arial" w:hAnsi="Arial" w:cs="Arial"/>
          <w:sz w:val="22"/>
          <w:szCs w:val="22"/>
          <w:lang w:val="en-GB"/>
        </w:rPr>
        <w:t xml:space="preserve"> </w:t>
      </w:r>
      <w:r>
        <w:rPr>
          <w:rFonts w:ascii="Arial" w:hAnsi="Arial" w:cs="Arial"/>
          <w:sz w:val="22"/>
          <w:szCs w:val="22"/>
          <w:lang w:val="en-GB"/>
        </w:rPr>
        <w:t xml:space="preserve">universalism, introduced in the Marmot Review, suggests that universal services should be provided </w:t>
      </w:r>
      <w:r w:rsidR="00F62771">
        <w:rPr>
          <w:rFonts w:ascii="Arial" w:hAnsi="Arial" w:cs="Arial"/>
          <w:sz w:val="22"/>
          <w:szCs w:val="22"/>
          <w:lang w:val="en-GB"/>
        </w:rPr>
        <w:t>at varying intensities according to</w:t>
      </w:r>
      <w:r>
        <w:rPr>
          <w:rFonts w:ascii="Arial" w:hAnsi="Arial" w:cs="Arial"/>
          <w:sz w:val="22"/>
          <w:szCs w:val="22"/>
          <w:lang w:val="en-GB"/>
        </w:rPr>
        <w:t xml:space="preserve"> levels of disadvantage (Marmot, 2010). Although this concept is frequently </w:t>
      </w:r>
      <w:r>
        <w:rPr>
          <w:rFonts w:ascii="Arial" w:hAnsi="Arial" w:cs="Arial"/>
          <w:sz w:val="22"/>
          <w:szCs w:val="22"/>
          <w:lang w:val="en-GB"/>
        </w:rPr>
        <w:lastRenderedPageBreak/>
        <w:t>referenced in UK policy debates, its application has been irregular, partly due to cuts in public health funding and diminished capacity within local authorities.</w:t>
      </w:r>
    </w:p>
    <w:p w14:paraId="0BC0EE44" w14:textId="77777777" w:rsidR="00025562" w:rsidRPr="00064AD2" w:rsidRDefault="00025562" w:rsidP="00064AD2">
      <w:pPr>
        <w:spacing w:line="360" w:lineRule="auto"/>
        <w:rPr>
          <w:rFonts w:ascii="Arial" w:hAnsi="Arial" w:cs="Arial"/>
          <w:sz w:val="22"/>
          <w:szCs w:val="22"/>
          <w:u w:val="single"/>
          <w:lang w:val="en-GB"/>
        </w:rPr>
      </w:pPr>
      <w:r w:rsidRPr="00064AD2">
        <w:rPr>
          <w:rFonts w:ascii="Arial" w:hAnsi="Arial" w:cs="Arial"/>
          <w:sz w:val="22"/>
          <w:szCs w:val="22"/>
          <w:u w:val="single"/>
          <w:lang w:val="en-GB"/>
        </w:rPr>
        <w:t>Overall Assessment of SDG 3 in the UK</w:t>
      </w:r>
    </w:p>
    <w:p w14:paraId="03816BA4" w14:textId="135E69D3" w:rsidR="00025562" w:rsidRPr="00064AD2" w:rsidRDefault="008F0CCE" w:rsidP="00064AD2">
      <w:pPr>
        <w:spacing w:line="360" w:lineRule="auto"/>
        <w:rPr>
          <w:rFonts w:ascii="Arial" w:hAnsi="Arial" w:cs="Arial"/>
          <w:sz w:val="22"/>
          <w:szCs w:val="22"/>
          <w:u w:val="single"/>
          <w:lang w:val="en-GB"/>
        </w:rPr>
      </w:pPr>
      <w:r>
        <w:rPr>
          <w:rFonts w:ascii="Arial" w:hAnsi="Arial" w:cs="Arial"/>
          <w:sz w:val="22"/>
          <w:szCs w:val="22"/>
        </w:rPr>
        <w:t xml:space="preserve">Progress towards Sustainable Development Goal 3 in the United Kingdom reflects several institutional strengths, including the universal structure of the National Health Service (NHS), comprehensive national health data systems, and increasing policy recognition of mental health as a public health priority. These features support relatively strong healthcare access compared with many countries. </w:t>
      </w:r>
      <w:r w:rsidR="00CE7190">
        <w:rPr>
          <w:rFonts w:ascii="Arial" w:hAnsi="Arial" w:cs="Arial"/>
          <w:sz w:val="22"/>
          <w:szCs w:val="22"/>
        </w:rPr>
        <w:t>However</w:t>
      </w:r>
      <w:r>
        <w:rPr>
          <w:rFonts w:ascii="Arial" w:hAnsi="Arial" w:cs="Arial"/>
          <w:sz w:val="22"/>
          <w:szCs w:val="22"/>
        </w:rPr>
        <w:t>, significant challenges persist. Public health experts highlight ongoing underinvestment in prevention</w:t>
      </w:r>
      <w:r w:rsidR="004E1DD5">
        <w:rPr>
          <w:rFonts w:ascii="Arial" w:hAnsi="Arial" w:cs="Arial"/>
          <w:sz w:val="22"/>
          <w:szCs w:val="22"/>
        </w:rPr>
        <w:t xml:space="preserve"> </w:t>
      </w:r>
      <w:r>
        <w:rPr>
          <w:rFonts w:ascii="Arial" w:hAnsi="Arial" w:cs="Arial"/>
          <w:sz w:val="22"/>
          <w:szCs w:val="22"/>
        </w:rPr>
        <w:t>between health and social care services and widening socioeconomic health inequalities across regions and population groups. Evidence from the Marmot Review indicates that improvements in population health cannot be achieved solely through healthcare provision. Therefore, sustainable progress towards SDG 3 relies on structural actions to reduce inequality, which closely aligns with the objectives of Sustainable Development Goal 10.</w:t>
      </w:r>
    </w:p>
    <w:p w14:paraId="54160FA2" w14:textId="77777777" w:rsidR="009F5929" w:rsidRPr="009F5929" w:rsidRDefault="009F5929" w:rsidP="00064AD2">
      <w:pPr>
        <w:spacing w:line="360" w:lineRule="auto"/>
        <w:rPr>
          <w:rFonts w:ascii="Arial" w:hAnsi="Arial" w:cs="Arial"/>
          <w:sz w:val="22"/>
          <w:szCs w:val="22"/>
          <w:u w:val="single"/>
          <w:lang w:val="en-GB"/>
        </w:rPr>
      </w:pPr>
      <w:r w:rsidRPr="009F5929">
        <w:rPr>
          <w:rFonts w:ascii="Arial" w:hAnsi="Arial" w:cs="Arial"/>
          <w:sz w:val="22"/>
          <w:szCs w:val="22"/>
          <w:u w:val="single"/>
          <w:lang w:val="en-GB"/>
        </w:rPr>
        <w:t>Section 2: SDG 10 – Reduced Inequalities</w:t>
      </w:r>
    </w:p>
    <w:p w14:paraId="6D6289F3" w14:textId="77777777" w:rsidR="009F5929" w:rsidRPr="009F5929" w:rsidRDefault="009F5929" w:rsidP="00064AD2">
      <w:pPr>
        <w:spacing w:line="360" w:lineRule="auto"/>
        <w:rPr>
          <w:rFonts w:ascii="Arial" w:hAnsi="Arial" w:cs="Arial"/>
          <w:b/>
          <w:bCs/>
          <w:sz w:val="22"/>
          <w:szCs w:val="22"/>
          <w:lang w:val="en-GB"/>
        </w:rPr>
      </w:pPr>
      <w:r w:rsidRPr="009F5929">
        <w:rPr>
          <w:rFonts w:ascii="Arial" w:hAnsi="Arial" w:cs="Arial"/>
          <w:sz w:val="22"/>
          <w:szCs w:val="22"/>
          <w:u w:val="single"/>
          <w:lang w:val="en-GB"/>
        </w:rPr>
        <w:t>Structural Inequality and Health</w:t>
      </w:r>
    </w:p>
    <w:p w14:paraId="470F0BFB" w14:textId="46484315" w:rsidR="001D6E2C" w:rsidRDefault="001D6E2C" w:rsidP="00064AD2">
      <w:pPr>
        <w:spacing w:line="360" w:lineRule="auto"/>
        <w:rPr>
          <w:rFonts w:ascii="Arial" w:hAnsi="Arial" w:cs="Arial"/>
          <w:sz w:val="22"/>
          <w:szCs w:val="22"/>
          <w:lang w:val="en-GB"/>
        </w:rPr>
      </w:pPr>
      <w:r>
        <w:rPr>
          <w:rFonts w:ascii="Arial" w:hAnsi="Arial" w:cs="Arial"/>
          <w:sz w:val="22"/>
          <w:szCs w:val="22"/>
          <w:lang w:val="en-GB"/>
        </w:rPr>
        <w:t xml:space="preserve">SDG 10 aims to diminish income inequality, promote social inclusion, and ensure equal opportunity. Income inequality is widely acknowledged as a crucial determinant of population health, with research indicating that societies </w:t>
      </w:r>
      <w:r w:rsidR="000D0773">
        <w:rPr>
          <w:rFonts w:ascii="Arial" w:hAnsi="Arial" w:cs="Arial"/>
          <w:sz w:val="22"/>
          <w:szCs w:val="22"/>
          <w:lang w:val="en-GB"/>
        </w:rPr>
        <w:t>with greater income disparities experience poorer health outcomes across multiple indicators</w:t>
      </w:r>
      <w:r>
        <w:rPr>
          <w:rFonts w:ascii="Arial" w:hAnsi="Arial" w:cs="Arial"/>
          <w:sz w:val="22"/>
          <w:szCs w:val="22"/>
          <w:lang w:val="en-GB"/>
        </w:rPr>
        <w:t xml:space="preserve">. Elevated levels of inequality are correlated with increased incidences of chronic illnesses, mental health issues, and violence, as well as reduced life expectancy. Significantly, these effects </w:t>
      </w:r>
      <w:r w:rsidR="008366B7">
        <w:rPr>
          <w:rFonts w:ascii="Arial" w:hAnsi="Arial" w:cs="Arial"/>
          <w:sz w:val="22"/>
          <w:szCs w:val="22"/>
          <w:lang w:val="en-GB"/>
        </w:rPr>
        <w:t>extend beyond the most disadvantaged groups, affecting health outcomes across</w:t>
      </w:r>
      <w:r>
        <w:rPr>
          <w:rFonts w:ascii="Arial" w:hAnsi="Arial" w:cs="Arial"/>
          <w:sz w:val="22"/>
          <w:szCs w:val="22"/>
          <w:lang w:val="en-GB"/>
        </w:rPr>
        <w:t xml:space="preserve"> the entire social gradient.</w:t>
      </w:r>
    </w:p>
    <w:p w14:paraId="25916A10" w14:textId="43A36DF2" w:rsidR="009F5929" w:rsidRDefault="001D6E2C" w:rsidP="00064AD2">
      <w:pPr>
        <w:spacing w:line="360" w:lineRule="auto"/>
        <w:rPr>
          <w:rFonts w:ascii="Arial" w:hAnsi="Arial" w:cs="Arial"/>
          <w:sz w:val="22"/>
          <w:szCs w:val="22"/>
          <w:lang w:val="en-GB"/>
        </w:rPr>
      </w:pPr>
      <w:r>
        <w:rPr>
          <w:rFonts w:ascii="Arial" w:hAnsi="Arial" w:cs="Arial"/>
          <w:sz w:val="22"/>
          <w:szCs w:val="22"/>
          <w:lang w:val="en-GB"/>
        </w:rPr>
        <w:t>In the United Kingdom, regional disparities in health outcomes remain substantial. Post-industrial regions in the Northeast and Northwest exhibit lower life expectancy and higher unemployment rates compared to London and the Southeast (McCann, 20</w:t>
      </w:r>
      <w:r w:rsidR="009454F9">
        <w:rPr>
          <w:rFonts w:ascii="Arial" w:hAnsi="Arial" w:cs="Arial"/>
          <w:sz w:val="22"/>
          <w:szCs w:val="22"/>
          <w:lang w:val="en-GB"/>
        </w:rPr>
        <w:t>20</w:t>
      </w:r>
      <w:r>
        <w:rPr>
          <w:rFonts w:ascii="Arial" w:hAnsi="Arial" w:cs="Arial"/>
          <w:sz w:val="22"/>
          <w:szCs w:val="22"/>
          <w:lang w:val="en-GB"/>
        </w:rPr>
        <w:t>). These patterns reflect the enduring impacts of deindustrialisation and uneven economic development. Evidence from the Marmot Review update indicates that the gap in life expectancy between the most and least deprived areas has widened recently, illustrating limited progress in reducing structural inequalities (Marmot et al., 2020).</w:t>
      </w:r>
    </w:p>
    <w:p w14:paraId="69BCC3A8" w14:textId="77777777" w:rsidR="00E157F3" w:rsidRDefault="00E157F3" w:rsidP="00064AD2">
      <w:pPr>
        <w:spacing w:line="360" w:lineRule="auto"/>
        <w:rPr>
          <w:rFonts w:ascii="Arial" w:hAnsi="Arial" w:cs="Arial"/>
          <w:sz w:val="22"/>
          <w:szCs w:val="22"/>
          <w:lang w:val="en-GB"/>
        </w:rPr>
      </w:pPr>
    </w:p>
    <w:p w14:paraId="682C2CE5" w14:textId="77777777" w:rsidR="00084AE2" w:rsidRDefault="00084AE2" w:rsidP="00064AD2">
      <w:pPr>
        <w:spacing w:line="360" w:lineRule="auto"/>
        <w:rPr>
          <w:rFonts w:ascii="Arial" w:hAnsi="Arial" w:cs="Arial"/>
          <w:sz w:val="22"/>
          <w:szCs w:val="22"/>
          <w:lang w:val="en-GB"/>
        </w:rPr>
      </w:pPr>
    </w:p>
    <w:p w14:paraId="3C7CED5D" w14:textId="77777777" w:rsidR="00084AE2" w:rsidRPr="009F5929" w:rsidRDefault="00084AE2" w:rsidP="00064AD2">
      <w:pPr>
        <w:spacing w:line="360" w:lineRule="auto"/>
        <w:rPr>
          <w:rFonts w:ascii="Arial" w:hAnsi="Arial" w:cs="Arial"/>
          <w:sz w:val="22"/>
          <w:szCs w:val="22"/>
          <w:lang w:val="en-GB"/>
        </w:rPr>
      </w:pPr>
    </w:p>
    <w:p w14:paraId="569EABC5" w14:textId="77777777" w:rsidR="009F5929" w:rsidRPr="009F5929" w:rsidRDefault="009F5929" w:rsidP="00064AD2">
      <w:pPr>
        <w:spacing w:line="360" w:lineRule="auto"/>
        <w:rPr>
          <w:rFonts w:ascii="Arial" w:hAnsi="Arial" w:cs="Arial"/>
          <w:sz w:val="22"/>
          <w:szCs w:val="22"/>
          <w:u w:val="single"/>
          <w:lang w:val="en-GB"/>
        </w:rPr>
      </w:pPr>
      <w:r w:rsidRPr="009F5929">
        <w:rPr>
          <w:rFonts w:ascii="Arial" w:hAnsi="Arial" w:cs="Arial"/>
          <w:sz w:val="22"/>
          <w:szCs w:val="22"/>
          <w:u w:val="single"/>
          <w:lang w:val="en-GB"/>
        </w:rPr>
        <w:lastRenderedPageBreak/>
        <w:t>Ethnicity, Gender and Intersectionality</w:t>
      </w:r>
    </w:p>
    <w:p w14:paraId="03BB1BED" w14:textId="2C838A76" w:rsidR="009F5929" w:rsidRPr="009F5929" w:rsidRDefault="000B1A71" w:rsidP="00064AD2">
      <w:pPr>
        <w:spacing w:line="360" w:lineRule="auto"/>
        <w:rPr>
          <w:rFonts w:ascii="Arial" w:hAnsi="Arial" w:cs="Arial"/>
          <w:sz w:val="22"/>
          <w:szCs w:val="22"/>
          <w:lang w:val="en-GB"/>
        </w:rPr>
      </w:pPr>
      <w:r>
        <w:rPr>
          <w:rFonts w:ascii="Arial" w:hAnsi="Arial" w:cs="Arial"/>
          <w:sz w:val="22"/>
          <w:szCs w:val="22"/>
          <w:lang w:val="en-GB"/>
        </w:rPr>
        <w:t xml:space="preserve">Health inequalities are also shaped by ethnicity and gender. The MBRRACE-UK (2022) report found that Black women in the UK are </w:t>
      </w:r>
      <w:proofErr w:type="gramStart"/>
      <w:r>
        <w:rPr>
          <w:rFonts w:ascii="Arial" w:hAnsi="Arial" w:cs="Arial"/>
          <w:sz w:val="22"/>
          <w:szCs w:val="22"/>
          <w:lang w:val="en-GB"/>
        </w:rPr>
        <w:t>nearly four</w:t>
      </w:r>
      <w:proofErr w:type="gramEnd"/>
      <w:r>
        <w:rPr>
          <w:rFonts w:ascii="Arial" w:hAnsi="Arial" w:cs="Arial"/>
          <w:sz w:val="22"/>
          <w:szCs w:val="22"/>
          <w:lang w:val="en-GB"/>
        </w:rPr>
        <w:t xml:space="preserve"> times more likely to die during pregnancy or childbirth than White women, while Asian women are about twice as likely to face maternal mortality. Differences in healthcare access or clinical risk factors cannot fully explain these disparities. Instead, they mirror broader structural inequalities, including socioeconomic disadvantage, barriers to healthcare, and implicit bias within healthcare systems. Intersectionality theory shows how overlapping social identities can intensify disadvantage (Crenshaw, 1989). People may face multiple forms of discrimination at the same time, meaning policies tackling income inequality alone might not address all factors influencing health outcomes. For example, ethnic minority women may experience both racial and gender-based inequalities in employment, housing, and healthcare. Tackling these intersecting inequalities is therefore crucial for achieving SDG 10.</w:t>
      </w:r>
    </w:p>
    <w:p w14:paraId="3C2B00A8" w14:textId="77777777" w:rsidR="009F5929" w:rsidRPr="009F5929" w:rsidRDefault="009F5929" w:rsidP="00064AD2">
      <w:pPr>
        <w:spacing w:line="360" w:lineRule="auto"/>
        <w:rPr>
          <w:rFonts w:ascii="Arial" w:hAnsi="Arial" w:cs="Arial"/>
          <w:sz w:val="22"/>
          <w:szCs w:val="22"/>
          <w:u w:val="single"/>
          <w:lang w:val="en-GB"/>
        </w:rPr>
      </w:pPr>
      <w:r w:rsidRPr="009F5929">
        <w:rPr>
          <w:rFonts w:ascii="Arial" w:hAnsi="Arial" w:cs="Arial"/>
          <w:sz w:val="22"/>
          <w:szCs w:val="22"/>
          <w:u w:val="single"/>
          <w:lang w:val="en-GB"/>
        </w:rPr>
        <w:t>Welfare Policy and Social Protection</w:t>
      </w:r>
    </w:p>
    <w:p w14:paraId="16698FEF" w14:textId="1040692B" w:rsidR="009F5929" w:rsidRPr="009F5929" w:rsidRDefault="00BB1B4F" w:rsidP="00064AD2">
      <w:pPr>
        <w:spacing w:line="360" w:lineRule="auto"/>
        <w:rPr>
          <w:rFonts w:ascii="Arial" w:hAnsi="Arial" w:cs="Arial"/>
          <w:sz w:val="22"/>
          <w:szCs w:val="22"/>
          <w:lang w:val="en-GB"/>
        </w:rPr>
      </w:pPr>
      <w:r>
        <w:rPr>
          <w:rFonts w:ascii="Arial" w:hAnsi="Arial" w:cs="Arial"/>
          <w:sz w:val="22"/>
          <w:szCs w:val="22"/>
          <w:lang w:val="en-GB"/>
        </w:rPr>
        <w:t xml:space="preserve">Social protection systems are pivotal in alleviating the health consequences of economic inequality. In the United Kingdom, austerity measures implemented following the 2008 financial crisis </w:t>
      </w:r>
      <w:r w:rsidR="008366B7">
        <w:rPr>
          <w:rFonts w:ascii="Arial" w:hAnsi="Arial" w:cs="Arial"/>
          <w:sz w:val="22"/>
          <w:szCs w:val="22"/>
          <w:lang w:val="en-GB"/>
        </w:rPr>
        <w:t>led to reductions in</w:t>
      </w:r>
      <w:r>
        <w:rPr>
          <w:rFonts w:ascii="Arial" w:hAnsi="Arial" w:cs="Arial"/>
          <w:sz w:val="22"/>
          <w:szCs w:val="22"/>
          <w:lang w:val="en-GB"/>
        </w:rPr>
        <w:t xml:space="preserve"> welfare benefits and public services. Such reforms have been associated with heightened food insecurity and deteriorating mental health among vulnerable groups (</w:t>
      </w:r>
      <w:proofErr w:type="spellStart"/>
      <w:r>
        <w:rPr>
          <w:rFonts w:ascii="Arial" w:hAnsi="Arial" w:cs="Arial"/>
          <w:sz w:val="22"/>
          <w:szCs w:val="22"/>
          <w:lang w:val="en-GB"/>
        </w:rPr>
        <w:t>Loopstra</w:t>
      </w:r>
      <w:proofErr w:type="spellEnd"/>
      <w:r>
        <w:rPr>
          <w:rFonts w:ascii="Arial" w:hAnsi="Arial" w:cs="Arial"/>
          <w:sz w:val="22"/>
          <w:szCs w:val="22"/>
          <w:lang w:val="en-GB"/>
        </w:rPr>
        <w:t xml:space="preserve"> et al., 2016). The UK Government’s “Levelling Up” initiative strives to address regional disparities through economic investment and infrastructure development; however, it is contended that funding remains inadequate relative to the magnitude of these disparities (The Health Foundation, 2023). Without stronger redistributive policies or sustained investments in social protection, progress in reducing inequality is expected to remain restricted.</w:t>
      </w:r>
    </w:p>
    <w:p w14:paraId="6AC37473" w14:textId="77777777" w:rsidR="009F5929" w:rsidRPr="009F5929" w:rsidRDefault="009F5929" w:rsidP="00064AD2">
      <w:pPr>
        <w:spacing w:line="360" w:lineRule="auto"/>
        <w:rPr>
          <w:rFonts w:ascii="Arial" w:hAnsi="Arial" w:cs="Arial"/>
          <w:sz w:val="22"/>
          <w:szCs w:val="22"/>
          <w:u w:val="single"/>
          <w:lang w:val="en-GB"/>
        </w:rPr>
      </w:pPr>
      <w:r w:rsidRPr="009F5929">
        <w:rPr>
          <w:rFonts w:ascii="Arial" w:hAnsi="Arial" w:cs="Arial"/>
          <w:sz w:val="22"/>
          <w:szCs w:val="22"/>
          <w:u w:val="single"/>
          <w:lang w:val="en-GB"/>
        </w:rPr>
        <w:t>Education, Employment and Housing</w:t>
      </w:r>
    </w:p>
    <w:p w14:paraId="1455D067" w14:textId="1CA955AF" w:rsidR="009F5929" w:rsidRPr="009F5929" w:rsidRDefault="009F5929" w:rsidP="00064AD2">
      <w:pPr>
        <w:spacing w:line="360" w:lineRule="auto"/>
        <w:rPr>
          <w:rFonts w:ascii="Arial" w:hAnsi="Arial" w:cs="Arial"/>
          <w:sz w:val="22"/>
          <w:szCs w:val="22"/>
          <w:lang w:val="en-GB"/>
        </w:rPr>
      </w:pPr>
      <w:r w:rsidRPr="009F5929">
        <w:rPr>
          <w:rFonts w:ascii="Arial" w:hAnsi="Arial" w:cs="Arial"/>
          <w:sz w:val="22"/>
          <w:szCs w:val="22"/>
          <w:lang w:val="en-GB"/>
        </w:rPr>
        <w:t>Education, employment and housing are key social determinants of health and central to achieving SDG 10. Educational attainment is strongly associated with improved health outcomes, as higher levels of education increase access to stable employment and higher incomes (Marmot, 2010). However, reductions in further education funding and youth services risk perpetuating intergenerational disadvantage.</w:t>
      </w:r>
      <w:r w:rsidR="00531081" w:rsidRPr="00064AD2">
        <w:rPr>
          <w:rFonts w:ascii="Arial" w:hAnsi="Arial" w:cs="Arial"/>
          <w:sz w:val="22"/>
          <w:szCs w:val="22"/>
          <w:lang w:val="en-GB"/>
        </w:rPr>
        <w:t xml:space="preserve"> </w:t>
      </w:r>
      <w:r w:rsidR="00385C45" w:rsidRPr="00064AD2">
        <w:rPr>
          <w:rFonts w:ascii="Arial" w:hAnsi="Arial" w:cs="Arial"/>
          <w:sz w:val="22"/>
          <w:szCs w:val="22"/>
          <w:lang w:val="en-GB"/>
        </w:rPr>
        <w:t>Employment conditions also affect health. Precarious work, including temporary contracts and low-paid jobs, has been associated with increased stress and poorer mental health outcomes (Benach et al., 2014). These types of employment are more prevalent among lower-income groups, reinforcing existing inequalities.</w:t>
      </w:r>
      <w:r w:rsidR="00531081" w:rsidRPr="00064AD2">
        <w:rPr>
          <w:rFonts w:ascii="Arial" w:hAnsi="Arial" w:cs="Arial"/>
          <w:sz w:val="22"/>
          <w:szCs w:val="22"/>
          <w:lang w:val="en-GB"/>
        </w:rPr>
        <w:t xml:space="preserve"> </w:t>
      </w:r>
    </w:p>
    <w:p w14:paraId="3B28B78A" w14:textId="77777777" w:rsidR="009F5929" w:rsidRPr="009F5929" w:rsidRDefault="009F5929" w:rsidP="00064AD2">
      <w:pPr>
        <w:spacing w:line="360" w:lineRule="auto"/>
        <w:rPr>
          <w:rFonts w:ascii="Arial" w:hAnsi="Arial" w:cs="Arial"/>
          <w:sz w:val="22"/>
          <w:szCs w:val="22"/>
          <w:lang w:val="en-GB"/>
        </w:rPr>
      </w:pPr>
      <w:r w:rsidRPr="009F5929">
        <w:rPr>
          <w:rFonts w:ascii="Arial" w:hAnsi="Arial" w:cs="Arial"/>
          <w:sz w:val="22"/>
          <w:szCs w:val="22"/>
          <w:lang w:val="en-GB"/>
        </w:rPr>
        <w:lastRenderedPageBreak/>
        <w:t>Although these determinants are widely recognised, policy responses often remain fragmented. Economic, housing and health policies are frequently developed separately, limiting coordinated action. Greater cross-sector collaboration is therefore necessary to address the social determinants of health effectively.</w:t>
      </w:r>
    </w:p>
    <w:p w14:paraId="241604D9" w14:textId="77777777" w:rsidR="009F5929" w:rsidRPr="009F5929" w:rsidRDefault="009F5929" w:rsidP="00064AD2">
      <w:pPr>
        <w:spacing w:line="360" w:lineRule="auto"/>
        <w:rPr>
          <w:rFonts w:ascii="Arial" w:hAnsi="Arial" w:cs="Arial"/>
          <w:sz w:val="22"/>
          <w:szCs w:val="22"/>
          <w:u w:val="single"/>
          <w:lang w:val="en-GB"/>
        </w:rPr>
      </w:pPr>
      <w:r w:rsidRPr="009F5929">
        <w:rPr>
          <w:rFonts w:ascii="Arial" w:hAnsi="Arial" w:cs="Arial"/>
          <w:sz w:val="22"/>
          <w:szCs w:val="22"/>
          <w:u w:val="single"/>
          <w:lang w:val="en-GB"/>
        </w:rPr>
        <w:t>Theoretical Application</w:t>
      </w:r>
    </w:p>
    <w:p w14:paraId="44F60EA5" w14:textId="0C76D1FA" w:rsidR="009F5929" w:rsidRPr="009F5929" w:rsidRDefault="009F5929" w:rsidP="00064AD2">
      <w:pPr>
        <w:spacing w:line="360" w:lineRule="auto"/>
        <w:rPr>
          <w:rFonts w:ascii="Arial" w:hAnsi="Arial" w:cs="Arial"/>
          <w:sz w:val="22"/>
          <w:szCs w:val="22"/>
          <w:lang w:val="en-GB"/>
        </w:rPr>
      </w:pPr>
      <w:r w:rsidRPr="009F5929">
        <w:rPr>
          <w:rFonts w:ascii="Arial" w:hAnsi="Arial" w:cs="Arial"/>
          <w:sz w:val="22"/>
          <w:szCs w:val="22"/>
          <w:lang w:val="en-GB"/>
        </w:rPr>
        <w:t>The concept of the social gradient in health, developed in the Marmot Review, demonstrates that health improves at every step up the socioeconomic hierarchy (Marmot, 2010). This suggests that policies focusing solely on the most deprived groups may overlook broader inequalities affecting large segments of the population.</w:t>
      </w:r>
      <w:r w:rsidR="00385C45" w:rsidRPr="00064AD2">
        <w:rPr>
          <w:rFonts w:ascii="Arial" w:hAnsi="Arial" w:cs="Arial"/>
          <w:sz w:val="22"/>
          <w:szCs w:val="22"/>
          <w:lang w:val="en-GB"/>
        </w:rPr>
        <w:t xml:space="preserve"> </w:t>
      </w:r>
      <w:r w:rsidRPr="009F5929">
        <w:rPr>
          <w:rFonts w:ascii="Arial" w:hAnsi="Arial" w:cs="Arial"/>
          <w:sz w:val="22"/>
          <w:szCs w:val="22"/>
          <w:lang w:val="en-GB"/>
        </w:rPr>
        <w:t>Structural violence theory also provides insight into how systemic inequalities shape health outcomes. Farmer (2004) argues that political and economic systems can create conditions that systematically disadvantage certain populations, resulting in avoidable illness and suffering. In the UK, labour market insecurity, housing shortages and uneven regional development illustrate how structural factors influence vulnerability to poor health.</w:t>
      </w:r>
    </w:p>
    <w:p w14:paraId="2E9CA7AF" w14:textId="77777777" w:rsidR="009F5929" w:rsidRPr="009F5929" w:rsidRDefault="009F5929" w:rsidP="00064AD2">
      <w:pPr>
        <w:spacing w:line="360" w:lineRule="auto"/>
        <w:rPr>
          <w:rFonts w:ascii="Arial" w:hAnsi="Arial" w:cs="Arial"/>
          <w:sz w:val="22"/>
          <w:szCs w:val="22"/>
          <w:u w:val="single"/>
          <w:lang w:val="en-GB"/>
        </w:rPr>
      </w:pPr>
      <w:r w:rsidRPr="009F5929">
        <w:rPr>
          <w:rFonts w:ascii="Arial" w:hAnsi="Arial" w:cs="Arial"/>
          <w:sz w:val="22"/>
          <w:szCs w:val="22"/>
          <w:u w:val="single"/>
          <w:lang w:val="en-GB"/>
        </w:rPr>
        <w:t>Evaluation of UK Progress on SDG 10</w:t>
      </w:r>
    </w:p>
    <w:p w14:paraId="02BF7127" w14:textId="37E4D5EE" w:rsidR="00385C45" w:rsidRPr="009F5929" w:rsidRDefault="00EA344D" w:rsidP="00064AD2">
      <w:pPr>
        <w:spacing w:line="360" w:lineRule="auto"/>
        <w:rPr>
          <w:rFonts w:ascii="Arial" w:hAnsi="Arial" w:cs="Arial"/>
          <w:sz w:val="22"/>
          <w:szCs w:val="22"/>
          <w:lang w:val="en-GB"/>
        </w:rPr>
      </w:pPr>
      <w:r w:rsidRPr="00064AD2">
        <w:rPr>
          <w:rFonts w:ascii="Arial" w:hAnsi="Arial" w:cs="Arial"/>
          <w:sz w:val="22"/>
          <w:szCs w:val="22"/>
          <w:lang w:val="en-GB"/>
        </w:rPr>
        <w:t xml:space="preserve">Although there has been increased policy acknowledgement of inequality, progress towards SDG 10 remains limited. Income inequality in the UK stays </w:t>
      </w:r>
      <w:proofErr w:type="gramStart"/>
      <w:r w:rsidRPr="00064AD2">
        <w:rPr>
          <w:rFonts w:ascii="Arial" w:hAnsi="Arial" w:cs="Arial"/>
          <w:sz w:val="22"/>
          <w:szCs w:val="22"/>
          <w:lang w:val="en-GB"/>
        </w:rPr>
        <w:t>relatively high</w:t>
      </w:r>
      <w:proofErr w:type="gramEnd"/>
      <w:r w:rsidRPr="00064AD2">
        <w:rPr>
          <w:rFonts w:ascii="Arial" w:hAnsi="Arial" w:cs="Arial"/>
          <w:sz w:val="22"/>
          <w:szCs w:val="22"/>
          <w:lang w:val="en-GB"/>
        </w:rPr>
        <w:t xml:space="preserve"> compared to many Western European countries (OECD, 2019). Additionally, short-term political cycles often emphasise economic growth over long-term redistribution strategies. Without increased investment in social infrastructure </w:t>
      </w:r>
      <w:r w:rsidR="00531081" w:rsidRPr="00064AD2">
        <w:rPr>
          <w:rFonts w:ascii="Arial" w:hAnsi="Arial" w:cs="Arial"/>
          <w:sz w:val="22"/>
          <w:szCs w:val="22"/>
          <w:lang w:val="en-GB"/>
        </w:rPr>
        <w:t xml:space="preserve">- </w:t>
      </w:r>
      <w:r w:rsidRPr="00064AD2">
        <w:rPr>
          <w:rFonts w:ascii="Arial" w:hAnsi="Arial" w:cs="Arial"/>
          <w:sz w:val="22"/>
          <w:szCs w:val="22"/>
          <w:lang w:val="en-GB"/>
        </w:rPr>
        <w:t xml:space="preserve">including early years education, affordable housing and income security </w:t>
      </w:r>
      <w:r w:rsidR="00531081" w:rsidRPr="00064AD2">
        <w:rPr>
          <w:rFonts w:ascii="Arial" w:hAnsi="Arial" w:cs="Arial"/>
          <w:sz w:val="22"/>
          <w:szCs w:val="22"/>
          <w:lang w:val="en-GB"/>
        </w:rPr>
        <w:t xml:space="preserve">- </w:t>
      </w:r>
      <w:r w:rsidRPr="00064AD2">
        <w:rPr>
          <w:rFonts w:ascii="Arial" w:hAnsi="Arial" w:cs="Arial"/>
          <w:sz w:val="22"/>
          <w:szCs w:val="22"/>
          <w:lang w:val="en-GB"/>
        </w:rPr>
        <w:t xml:space="preserve">structural inequalities are likely to persist. As these inequalities continue to influence health outcomes, limited progress under SDG 10 </w:t>
      </w:r>
      <w:r w:rsidR="00A97FBE" w:rsidRPr="00064AD2">
        <w:rPr>
          <w:rFonts w:ascii="Arial" w:hAnsi="Arial" w:cs="Arial"/>
          <w:sz w:val="22"/>
          <w:szCs w:val="22"/>
          <w:lang w:val="en-GB"/>
        </w:rPr>
        <w:t>hampers</w:t>
      </w:r>
      <w:r w:rsidRPr="00064AD2">
        <w:rPr>
          <w:rFonts w:ascii="Arial" w:hAnsi="Arial" w:cs="Arial"/>
          <w:sz w:val="22"/>
          <w:szCs w:val="22"/>
          <w:lang w:val="en-GB"/>
        </w:rPr>
        <w:t xml:space="preserve"> the realisation of SDG 3.</w:t>
      </w:r>
    </w:p>
    <w:p w14:paraId="59F2D4A5" w14:textId="77777777" w:rsidR="009F5929" w:rsidRPr="009F5929" w:rsidRDefault="009F5929" w:rsidP="00064AD2">
      <w:pPr>
        <w:spacing w:line="360" w:lineRule="auto"/>
        <w:rPr>
          <w:rFonts w:ascii="Arial" w:hAnsi="Arial" w:cs="Arial"/>
          <w:sz w:val="22"/>
          <w:szCs w:val="22"/>
          <w:u w:val="single"/>
          <w:lang w:val="en-GB"/>
        </w:rPr>
      </w:pPr>
      <w:r w:rsidRPr="009F5929">
        <w:rPr>
          <w:rFonts w:ascii="Arial" w:hAnsi="Arial" w:cs="Arial"/>
          <w:sz w:val="22"/>
          <w:szCs w:val="22"/>
          <w:u w:val="single"/>
          <w:lang w:val="en-GB"/>
        </w:rPr>
        <w:t>Conclusion</w:t>
      </w:r>
    </w:p>
    <w:p w14:paraId="3B77E8F7" w14:textId="749C479A" w:rsidR="009F5929" w:rsidRPr="009F5929" w:rsidRDefault="00EA344D" w:rsidP="00064AD2">
      <w:pPr>
        <w:spacing w:line="360" w:lineRule="auto"/>
        <w:rPr>
          <w:rFonts w:ascii="Arial" w:hAnsi="Arial" w:cs="Arial"/>
          <w:sz w:val="22"/>
          <w:szCs w:val="22"/>
          <w:lang w:val="en-GB"/>
        </w:rPr>
      </w:pPr>
      <w:r w:rsidRPr="00064AD2">
        <w:rPr>
          <w:rFonts w:ascii="Arial" w:hAnsi="Arial" w:cs="Arial"/>
          <w:sz w:val="22"/>
          <w:szCs w:val="22"/>
          <w:lang w:val="en-GB"/>
        </w:rPr>
        <w:t xml:space="preserve">The relationship between SDG 3 and SDG 10 is fundamentally structural. Although the United Kingdom demonstrates a strong commitment to universal healthcare through the NHS, widening socioeconomic inequalities continue to undermine equitable health outcomes. Evidence from the Marmot Reviews and COVID-19 mortality data highlights that health inequalities are </w:t>
      </w:r>
      <w:proofErr w:type="gramStart"/>
      <w:r w:rsidRPr="00064AD2">
        <w:rPr>
          <w:rFonts w:ascii="Arial" w:hAnsi="Arial" w:cs="Arial"/>
          <w:sz w:val="22"/>
          <w:szCs w:val="22"/>
          <w:lang w:val="en-GB"/>
        </w:rPr>
        <w:t>largely socially</w:t>
      </w:r>
      <w:proofErr w:type="gramEnd"/>
      <w:r w:rsidRPr="00064AD2">
        <w:rPr>
          <w:rFonts w:ascii="Arial" w:hAnsi="Arial" w:cs="Arial"/>
          <w:sz w:val="22"/>
          <w:szCs w:val="22"/>
          <w:lang w:val="en-GB"/>
        </w:rPr>
        <w:t xml:space="preserve"> determined rather than solely caused by healthcare provision. Theoretical frameworks such as the Social Determinants of Health model, the Social Ecological Model, and proportionate universalism </w:t>
      </w:r>
      <w:r w:rsidR="008E71E3" w:rsidRPr="00064AD2">
        <w:rPr>
          <w:rFonts w:ascii="Arial" w:hAnsi="Arial" w:cs="Arial"/>
          <w:sz w:val="22"/>
          <w:szCs w:val="22"/>
          <w:lang w:val="en-GB"/>
        </w:rPr>
        <w:t>emphasise the need for multi-level interventions that address</w:t>
      </w:r>
      <w:r w:rsidRPr="00064AD2">
        <w:rPr>
          <w:rFonts w:ascii="Arial" w:hAnsi="Arial" w:cs="Arial"/>
          <w:sz w:val="22"/>
          <w:szCs w:val="22"/>
          <w:lang w:val="en-GB"/>
        </w:rPr>
        <w:t xml:space="preserve"> structural determinants. Healthcare services alone cannot compensate for inequalities created by labour markets, housing systems, and welfare policies. Achieving SDG 3 by 2030</w:t>
      </w:r>
      <w:r w:rsidR="00070B6E" w:rsidRPr="00064AD2">
        <w:rPr>
          <w:rFonts w:ascii="Arial" w:hAnsi="Arial" w:cs="Arial"/>
          <w:sz w:val="22"/>
          <w:szCs w:val="22"/>
          <w:lang w:val="en-GB"/>
        </w:rPr>
        <w:t>,</w:t>
      </w:r>
      <w:r w:rsidRPr="00064AD2">
        <w:rPr>
          <w:rFonts w:ascii="Arial" w:hAnsi="Arial" w:cs="Arial"/>
          <w:sz w:val="22"/>
          <w:szCs w:val="22"/>
          <w:lang w:val="en-GB"/>
        </w:rPr>
        <w:t xml:space="preserve"> therefore</w:t>
      </w:r>
      <w:r w:rsidR="00070B6E" w:rsidRPr="00064AD2">
        <w:rPr>
          <w:rFonts w:ascii="Arial" w:hAnsi="Arial" w:cs="Arial"/>
          <w:sz w:val="22"/>
          <w:szCs w:val="22"/>
          <w:lang w:val="en-GB"/>
        </w:rPr>
        <w:t>,</w:t>
      </w:r>
      <w:r w:rsidRPr="00064AD2">
        <w:rPr>
          <w:rFonts w:ascii="Arial" w:hAnsi="Arial" w:cs="Arial"/>
          <w:sz w:val="22"/>
          <w:szCs w:val="22"/>
          <w:lang w:val="en-GB"/>
        </w:rPr>
        <w:t xml:space="preserve"> requires meaningful progress under SDG 10 </w:t>
      </w:r>
      <w:r w:rsidRPr="00064AD2">
        <w:rPr>
          <w:rFonts w:ascii="Arial" w:hAnsi="Arial" w:cs="Arial"/>
          <w:sz w:val="22"/>
          <w:szCs w:val="22"/>
          <w:lang w:val="en-GB"/>
        </w:rPr>
        <w:lastRenderedPageBreak/>
        <w:t>through sustained redistribution, reinvestment in public health, and improved cross-sector policy integration. Without addressing the root causes of inequality, efforts to improve health outcomes will remain limited and unevenly distributed.</w:t>
      </w:r>
    </w:p>
    <w:p w14:paraId="77652F7A" w14:textId="77777777" w:rsidR="000A67CC" w:rsidRDefault="000A67CC" w:rsidP="00982369">
      <w:pPr>
        <w:spacing w:line="360" w:lineRule="auto"/>
        <w:rPr>
          <w:rFonts w:ascii="Arial" w:hAnsi="Arial" w:cs="Arial"/>
          <w:sz w:val="22"/>
          <w:szCs w:val="22"/>
        </w:rPr>
      </w:pPr>
    </w:p>
    <w:p w14:paraId="1883E830" w14:textId="77777777" w:rsidR="00BC7BC5" w:rsidRDefault="00BC7BC5" w:rsidP="00982369">
      <w:pPr>
        <w:spacing w:line="360" w:lineRule="auto"/>
        <w:rPr>
          <w:rFonts w:ascii="Arial" w:hAnsi="Arial" w:cs="Arial"/>
          <w:sz w:val="22"/>
          <w:szCs w:val="22"/>
          <w:u w:val="single"/>
        </w:rPr>
      </w:pPr>
    </w:p>
    <w:p w14:paraId="4D4D0EDE" w14:textId="77777777" w:rsidR="00A13616" w:rsidRDefault="00A13616" w:rsidP="001D0FD9">
      <w:pPr>
        <w:spacing w:line="360" w:lineRule="auto"/>
        <w:rPr>
          <w:rFonts w:ascii="Arial" w:hAnsi="Arial" w:cs="Arial"/>
          <w:sz w:val="22"/>
          <w:szCs w:val="22"/>
          <w:u w:val="single"/>
        </w:rPr>
      </w:pPr>
    </w:p>
    <w:p w14:paraId="5921FCFB" w14:textId="77777777" w:rsidR="00A13616" w:rsidRDefault="00A13616" w:rsidP="001D0FD9">
      <w:pPr>
        <w:spacing w:line="360" w:lineRule="auto"/>
        <w:rPr>
          <w:rFonts w:ascii="Arial" w:hAnsi="Arial" w:cs="Arial"/>
          <w:sz w:val="22"/>
          <w:szCs w:val="22"/>
          <w:u w:val="single"/>
        </w:rPr>
      </w:pPr>
    </w:p>
    <w:p w14:paraId="100A1764" w14:textId="77777777" w:rsidR="00A13616" w:rsidRDefault="00A13616" w:rsidP="001D0FD9">
      <w:pPr>
        <w:spacing w:line="360" w:lineRule="auto"/>
        <w:rPr>
          <w:rFonts w:ascii="Arial" w:hAnsi="Arial" w:cs="Arial"/>
          <w:sz w:val="22"/>
          <w:szCs w:val="22"/>
          <w:u w:val="single"/>
        </w:rPr>
      </w:pPr>
    </w:p>
    <w:p w14:paraId="448E4D56" w14:textId="77777777" w:rsidR="00A13616" w:rsidRDefault="00A13616" w:rsidP="001D0FD9">
      <w:pPr>
        <w:spacing w:line="360" w:lineRule="auto"/>
        <w:rPr>
          <w:rFonts w:ascii="Arial" w:hAnsi="Arial" w:cs="Arial"/>
          <w:sz w:val="22"/>
          <w:szCs w:val="22"/>
          <w:u w:val="single"/>
        </w:rPr>
      </w:pPr>
    </w:p>
    <w:p w14:paraId="194AA97A" w14:textId="77777777" w:rsidR="00A13616" w:rsidRDefault="00A13616" w:rsidP="001D0FD9">
      <w:pPr>
        <w:spacing w:line="360" w:lineRule="auto"/>
        <w:rPr>
          <w:rFonts w:ascii="Arial" w:hAnsi="Arial" w:cs="Arial"/>
          <w:sz w:val="22"/>
          <w:szCs w:val="22"/>
          <w:u w:val="single"/>
        </w:rPr>
      </w:pPr>
    </w:p>
    <w:p w14:paraId="245C5261" w14:textId="77777777" w:rsidR="00A13616" w:rsidRDefault="00A13616" w:rsidP="001D0FD9">
      <w:pPr>
        <w:spacing w:line="360" w:lineRule="auto"/>
        <w:rPr>
          <w:rFonts w:ascii="Arial" w:hAnsi="Arial" w:cs="Arial"/>
          <w:sz w:val="22"/>
          <w:szCs w:val="22"/>
          <w:u w:val="single"/>
        </w:rPr>
      </w:pPr>
    </w:p>
    <w:p w14:paraId="67762D0A" w14:textId="77777777" w:rsidR="00A13616" w:rsidRDefault="00A13616" w:rsidP="001D0FD9">
      <w:pPr>
        <w:spacing w:line="360" w:lineRule="auto"/>
        <w:rPr>
          <w:rFonts w:ascii="Arial" w:hAnsi="Arial" w:cs="Arial"/>
          <w:sz w:val="22"/>
          <w:szCs w:val="22"/>
          <w:u w:val="single"/>
        </w:rPr>
      </w:pPr>
    </w:p>
    <w:p w14:paraId="21CF3820" w14:textId="77777777" w:rsidR="00A13616" w:rsidRDefault="00A13616" w:rsidP="001D0FD9">
      <w:pPr>
        <w:spacing w:line="360" w:lineRule="auto"/>
        <w:rPr>
          <w:rFonts w:ascii="Arial" w:hAnsi="Arial" w:cs="Arial"/>
          <w:sz w:val="22"/>
          <w:szCs w:val="22"/>
          <w:u w:val="single"/>
        </w:rPr>
      </w:pPr>
    </w:p>
    <w:p w14:paraId="5E1F1AC4" w14:textId="77777777" w:rsidR="00A13616" w:rsidRDefault="00A13616" w:rsidP="001D0FD9">
      <w:pPr>
        <w:spacing w:line="360" w:lineRule="auto"/>
        <w:rPr>
          <w:rFonts w:ascii="Arial" w:hAnsi="Arial" w:cs="Arial"/>
          <w:sz w:val="22"/>
          <w:szCs w:val="22"/>
          <w:u w:val="single"/>
        </w:rPr>
      </w:pPr>
    </w:p>
    <w:p w14:paraId="0089D5E5" w14:textId="77777777" w:rsidR="00A13616" w:rsidRDefault="00A13616" w:rsidP="001D0FD9">
      <w:pPr>
        <w:spacing w:line="360" w:lineRule="auto"/>
        <w:rPr>
          <w:rFonts w:ascii="Arial" w:hAnsi="Arial" w:cs="Arial"/>
          <w:sz w:val="22"/>
          <w:szCs w:val="22"/>
          <w:u w:val="single"/>
        </w:rPr>
      </w:pPr>
    </w:p>
    <w:p w14:paraId="11460C09" w14:textId="77777777" w:rsidR="00A13616" w:rsidRDefault="00A13616" w:rsidP="001D0FD9">
      <w:pPr>
        <w:spacing w:line="360" w:lineRule="auto"/>
        <w:rPr>
          <w:rFonts w:ascii="Arial" w:hAnsi="Arial" w:cs="Arial"/>
          <w:sz w:val="22"/>
          <w:szCs w:val="22"/>
          <w:u w:val="single"/>
        </w:rPr>
      </w:pPr>
    </w:p>
    <w:p w14:paraId="4217BFD7" w14:textId="77777777" w:rsidR="00A13616" w:rsidRDefault="00A13616" w:rsidP="001D0FD9">
      <w:pPr>
        <w:spacing w:line="360" w:lineRule="auto"/>
        <w:rPr>
          <w:rFonts w:ascii="Arial" w:hAnsi="Arial" w:cs="Arial"/>
          <w:sz w:val="22"/>
          <w:szCs w:val="22"/>
          <w:u w:val="single"/>
        </w:rPr>
      </w:pPr>
    </w:p>
    <w:p w14:paraId="18FA96DF" w14:textId="77777777" w:rsidR="00A13616" w:rsidRDefault="00A13616" w:rsidP="001D0FD9">
      <w:pPr>
        <w:spacing w:line="360" w:lineRule="auto"/>
        <w:rPr>
          <w:rFonts w:ascii="Arial" w:hAnsi="Arial" w:cs="Arial"/>
          <w:sz w:val="22"/>
          <w:szCs w:val="22"/>
          <w:u w:val="single"/>
        </w:rPr>
      </w:pPr>
    </w:p>
    <w:p w14:paraId="5F082895" w14:textId="77777777" w:rsidR="00A13616" w:rsidRDefault="00A13616" w:rsidP="001D0FD9">
      <w:pPr>
        <w:spacing w:line="360" w:lineRule="auto"/>
        <w:rPr>
          <w:rFonts w:ascii="Arial" w:hAnsi="Arial" w:cs="Arial"/>
          <w:sz w:val="22"/>
          <w:szCs w:val="22"/>
          <w:u w:val="single"/>
        </w:rPr>
      </w:pPr>
    </w:p>
    <w:p w14:paraId="2EA46E15" w14:textId="77777777" w:rsidR="00A13616" w:rsidRDefault="00A13616" w:rsidP="001D0FD9">
      <w:pPr>
        <w:spacing w:line="360" w:lineRule="auto"/>
        <w:rPr>
          <w:rFonts w:ascii="Arial" w:hAnsi="Arial" w:cs="Arial"/>
          <w:sz w:val="22"/>
          <w:szCs w:val="22"/>
          <w:u w:val="single"/>
        </w:rPr>
      </w:pPr>
    </w:p>
    <w:p w14:paraId="618CA2A4" w14:textId="77777777" w:rsidR="00A13616" w:rsidRDefault="00A13616" w:rsidP="001D0FD9">
      <w:pPr>
        <w:spacing w:line="360" w:lineRule="auto"/>
        <w:rPr>
          <w:rFonts w:ascii="Arial" w:hAnsi="Arial" w:cs="Arial"/>
          <w:sz w:val="22"/>
          <w:szCs w:val="22"/>
          <w:u w:val="single"/>
        </w:rPr>
      </w:pPr>
    </w:p>
    <w:p w14:paraId="51C2C4B2" w14:textId="77777777" w:rsidR="00A13616" w:rsidRDefault="00A13616" w:rsidP="001D0FD9">
      <w:pPr>
        <w:spacing w:line="360" w:lineRule="auto"/>
        <w:rPr>
          <w:rFonts w:ascii="Arial" w:hAnsi="Arial" w:cs="Arial"/>
          <w:sz w:val="22"/>
          <w:szCs w:val="22"/>
          <w:u w:val="single"/>
        </w:rPr>
      </w:pPr>
    </w:p>
    <w:p w14:paraId="0D4ACC32" w14:textId="77777777" w:rsidR="00A13616" w:rsidRDefault="00A13616" w:rsidP="001D0FD9">
      <w:pPr>
        <w:spacing w:line="360" w:lineRule="auto"/>
        <w:rPr>
          <w:rFonts w:ascii="Arial" w:hAnsi="Arial" w:cs="Arial"/>
          <w:sz w:val="22"/>
          <w:szCs w:val="22"/>
          <w:u w:val="single"/>
        </w:rPr>
      </w:pPr>
    </w:p>
    <w:p w14:paraId="4EE9094C" w14:textId="77777777" w:rsidR="00A13616" w:rsidRDefault="00A13616" w:rsidP="001D0FD9">
      <w:pPr>
        <w:spacing w:line="360" w:lineRule="auto"/>
        <w:rPr>
          <w:rFonts w:ascii="Arial" w:hAnsi="Arial" w:cs="Arial"/>
          <w:sz w:val="22"/>
          <w:szCs w:val="22"/>
          <w:u w:val="single"/>
        </w:rPr>
      </w:pPr>
    </w:p>
    <w:p w14:paraId="46F5A0A7" w14:textId="77777777" w:rsidR="00A13616" w:rsidRDefault="00A13616" w:rsidP="001D0FD9">
      <w:pPr>
        <w:spacing w:line="360" w:lineRule="auto"/>
        <w:rPr>
          <w:rFonts w:ascii="Arial" w:hAnsi="Arial" w:cs="Arial"/>
          <w:sz w:val="22"/>
          <w:szCs w:val="22"/>
          <w:u w:val="single"/>
        </w:rPr>
      </w:pPr>
    </w:p>
    <w:p w14:paraId="03BE9CAE" w14:textId="77777777" w:rsidR="00A13616" w:rsidRDefault="00A13616" w:rsidP="001D0FD9">
      <w:pPr>
        <w:spacing w:line="360" w:lineRule="auto"/>
        <w:rPr>
          <w:rFonts w:ascii="Arial" w:hAnsi="Arial" w:cs="Arial"/>
          <w:sz w:val="22"/>
          <w:szCs w:val="22"/>
          <w:u w:val="single"/>
        </w:rPr>
      </w:pPr>
    </w:p>
    <w:p w14:paraId="57CF8974" w14:textId="5820F75D" w:rsidR="0040325D" w:rsidRPr="0040325D" w:rsidRDefault="00FA1E16" w:rsidP="001D0FD9">
      <w:pPr>
        <w:spacing w:line="360" w:lineRule="auto"/>
        <w:rPr>
          <w:rFonts w:ascii="Arial" w:hAnsi="Arial" w:cs="Arial"/>
          <w:sz w:val="22"/>
          <w:szCs w:val="22"/>
          <w:u w:val="single"/>
        </w:rPr>
      </w:pPr>
      <w:r w:rsidRPr="00FA1E16">
        <w:rPr>
          <w:rFonts w:ascii="Arial" w:hAnsi="Arial" w:cs="Arial"/>
          <w:sz w:val="22"/>
          <w:szCs w:val="22"/>
          <w:u w:val="single"/>
        </w:rPr>
        <w:lastRenderedPageBreak/>
        <w:t>Reference list</w:t>
      </w:r>
    </w:p>
    <w:p w14:paraId="6C535B82" w14:textId="77777777" w:rsidR="00DF3F3C" w:rsidRPr="00903909" w:rsidRDefault="00DF3F3C" w:rsidP="005D7077">
      <w:pPr>
        <w:spacing w:line="360" w:lineRule="auto"/>
        <w:ind w:left="720" w:hanging="720"/>
        <w:rPr>
          <w:rFonts w:ascii="Arial" w:hAnsi="Arial" w:cs="Arial"/>
          <w:sz w:val="22"/>
          <w:szCs w:val="22"/>
          <w:lang w:val="en-GB"/>
        </w:rPr>
      </w:pPr>
      <w:r w:rsidRPr="00903909">
        <w:rPr>
          <w:rFonts w:ascii="Arial" w:hAnsi="Arial" w:cs="Arial"/>
          <w:sz w:val="22"/>
          <w:szCs w:val="22"/>
          <w:lang w:val="en-GB"/>
        </w:rPr>
        <w:t xml:space="preserve">Bambra, C., </w:t>
      </w:r>
      <w:r>
        <w:rPr>
          <w:rFonts w:ascii="Arial" w:hAnsi="Arial" w:cs="Arial"/>
          <w:sz w:val="22"/>
          <w:szCs w:val="22"/>
          <w:lang w:val="en-GB"/>
        </w:rPr>
        <w:t xml:space="preserve">et al. </w:t>
      </w:r>
      <w:r w:rsidRPr="00903909">
        <w:rPr>
          <w:rFonts w:ascii="Arial" w:hAnsi="Arial" w:cs="Arial"/>
          <w:sz w:val="22"/>
          <w:szCs w:val="22"/>
          <w:lang w:val="en-GB"/>
        </w:rPr>
        <w:t xml:space="preserve">(2020) </w:t>
      </w:r>
      <w:r>
        <w:rPr>
          <w:rFonts w:ascii="Arial" w:hAnsi="Arial" w:cs="Arial"/>
          <w:sz w:val="22"/>
          <w:szCs w:val="22"/>
          <w:lang w:val="en-GB"/>
        </w:rPr>
        <w:t>‘</w:t>
      </w:r>
      <w:r w:rsidRPr="00903909">
        <w:rPr>
          <w:rFonts w:ascii="Arial" w:hAnsi="Arial" w:cs="Arial"/>
          <w:sz w:val="22"/>
          <w:szCs w:val="22"/>
          <w:lang w:val="en-GB"/>
        </w:rPr>
        <w:t>The COVID-19 pandemic and health inequalities</w:t>
      </w:r>
      <w:r>
        <w:rPr>
          <w:rFonts w:ascii="Arial" w:hAnsi="Arial" w:cs="Arial"/>
          <w:sz w:val="22"/>
          <w:szCs w:val="22"/>
          <w:lang w:val="en-GB"/>
        </w:rPr>
        <w:t>’,</w:t>
      </w:r>
      <w:r w:rsidRPr="00903909">
        <w:rPr>
          <w:rFonts w:ascii="Arial" w:hAnsi="Arial" w:cs="Arial"/>
          <w:sz w:val="22"/>
          <w:szCs w:val="22"/>
          <w:lang w:val="en-GB"/>
        </w:rPr>
        <w:t xml:space="preserve"> </w:t>
      </w:r>
      <w:r w:rsidRPr="00903909">
        <w:rPr>
          <w:rFonts w:ascii="Arial" w:hAnsi="Arial" w:cs="Arial"/>
          <w:i/>
          <w:iCs/>
          <w:sz w:val="22"/>
          <w:szCs w:val="22"/>
          <w:lang w:val="en-GB"/>
        </w:rPr>
        <w:t>Journal of Epidemiology and Community Health</w:t>
      </w:r>
      <w:r w:rsidRPr="00903909">
        <w:rPr>
          <w:rFonts w:ascii="Arial" w:hAnsi="Arial" w:cs="Arial"/>
          <w:sz w:val="22"/>
          <w:szCs w:val="22"/>
          <w:lang w:val="en-GB"/>
        </w:rPr>
        <w:t xml:space="preserve">, 74(11), pp.964–968. </w:t>
      </w:r>
    </w:p>
    <w:p w14:paraId="54EA8AE1" w14:textId="77777777" w:rsidR="00DF3F3C" w:rsidRPr="00C5255D" w:rsidRDefault="00DF3F3C" w:rsidP="005D7077">
      <w:pPr>
        <w:spacing w:line="360" w:lineRule="auto"/>
        <w:ind w:left="720" w:hanging="720"/>
        <w:rPr>
          <w:rFonts w:ascii="Arial" w:hAnsi="Arial" w:cs="Arial"/>
          <w:sz w:val="22"/>
          <w:szCs w:val="22"/>
          <w:lang w:val="en-GB"/>
        </w:rPr>
      </w:pPr>
      <w:r w:rsidRPr="00C5255D">
        <w:rPr>
          <w:rFonts w:ascii="Arial" w:hAnsi="Arial" w:cs="Arial"/>
          <w:sz w:val="22"/>
          <w:szCs w:val="22"/>
          <w:lang w:val="en-GB"/>
        </w:rPr>
        <w:t>Benach, J.</w:t>
      </w:r>
      <w:r>
        <w:rPr>
          <w:rFonts w:ascii="Arial" w:hAnsi="Arial" w:cs="Arial"/>
          <w:sz w:val="22"/>
          <w:szCs w:val="22"/>
          <w:lang w:val="en-GB"/>
        </w:rPr>
        <w:t>, et al.</w:t>
      </w:r>
      <w:r w:rsidRPr="00C5255D">
        <w:rPr>
          <w:rFonts w:ascii="Arial" w:hAnsi="Arial" w:cs="Arial"/>
          <w:sz w:val="22"/>
          <w:szCs w:val="22"/>
          <w:lang w:val="en-GB"/>
        </w:rPr>
        <w:t xml:space="preserve"> (2014) </w:t>
      </w:r>
      <w:r>
        <w:rPr>
          <w:rFonts w:ascii="Arial" w:hAnsi="Arial" w:cs="Arial"/>
          <w:sz w:val="22"/>
          <w:szCs w:val="22"/>
          <w:lang w:val="en-GB"/>
        </w:rPr>
        <w:t>‘</w:t>
      </w:r>
      <w:r w:rsidRPr="00C5255D">
        <w:rPr>
          <w:rFonts w:ascii="Arial" w:hAnsi="Arial" w:cs="Arial"/>
          <w:sz w:val="22"/>
          <w:szCs w:val="22"/>
          <w:lang w:val="en-GB"/>
        </w:rPr>
        <w:t>Precarious Employment: Understanding an Emerging Social Determinant of Health</w:t>
      </w:r>
      <w:r>
        <w:rPr>
          <w:rFonts w:ascii="Arial" w:hAnsi="Arial" w:cs="Arial"/>
          <w:sz w:val="22"/>
          <w:szCs w:val="22"/>
          <w:lang w:val="en-GB"/>
        </w:rPr>
        <w:t>’,</w:t>
      </w:r>
      <w:r w:rsidRPr="00C5255D">
        <w:rPr>
          <w:rFonts w:ascii="Arial" w:hAnsi="Arial" w:cs="Arial"/>
          <w:sz w:val="22"/>
          <w:szCs w:val="22"/>
          <w:lang w:val="en-GB"/>
        </w:rPr>
        <w:t xml:space="preserve"> </w:t>
      </w:r>
      <w:r w:rsidRPr="00C5255D">
        <w:rPr>
          <w:rFonts w:ascii="Arial" w:hAnsi="Arial" w:cs="Arial"/>
          <w:i/>
          <w:iCs/>
          <w:sz w:val="22"/>
          <w:szCs w:val="22"/>
          <w:lang w:val="en-GB"/>
        </w:rPr>
        <w:t>Annual Review of Public Health</w:t>
      </w:r>
      <w:r w:rsidRPr="00C5255D">
        <w:rPr>
          <w:rFonts w:ascii="Arial" w:hAnsi="Arial" w:cs="Arial"/>
          <w:sz w:val="22"/>
          <w:szCs w:val="22"/>
          <w:lang w:val="en-GB"/>
        </w:rPr>
        <w:t xml:space="preserve">, 35(1), pp.229–253. </w:t>
      </w:r>
    </w:p>
    <w:p w14:paraId="44DEAEEF" w14:textId="77777777" w:rsidR="00DF3F3C" w:rsidRPr="001D0FD9" w:rsidRDefault="00DF3F3C" w:rsidP="005D7077">
      <w:pPr>
        <w:spacing w:line="360" w:lineRule="auto"/>
        <w:ind w:left="720" w:hanging="720"/>
        <w:rPr>
          <w:rFonts w:ascii="Arial" w:hAnsi="Arial" w:cs="Arial"/>
          <w:sz w:val="22"/>
          <w:szCs w:val="22"/>
          <w:lang w:val="en-GB"/>
        </w:rPr>
      </w:pPr>
      <w:r w:rsidRPr="001D0FD9">
        <w:rPr>
          <w:rFonts w:ascii="Arial" w:hAnsi="Arial" w:cs="Arial"/>
          <w:sz w:val="22"/>
          <w:szCs w:val="22"/>
          <w:lang w:val="en-GB"/>
        </w:rPr>
        <w:t>Buck, D.</w:t>
      </w:r>
      <w:r>
        <w:rPr>
          <w:rFonts w:ascii="Arial" w:hAnsi="Arial" w:cs="Arial"/>
          <w:sz w:val="22"/>
          <w:szCs w:val="22"/>
          <w:lang w:val="en-GB"/>
        </w:rPr>
        <w:t xml:space="preserve">, </w:t>
      </w:r>
      <w:r w:rsidRPr="001D0FD9">
        <w:rPr>
          <w:rFonts w:ascii="Arial" w:hAnsi="Arial" w:cs="Arial"/>
          <w:sz w:val="22"/>
          <w:szCs w:val="22"/>
          <w:lang w:val="en-GB"/>
        </w:rPr>
        <w:t>Jefferies, D. (2026)</w:t>
      </w:r>
      <w:r>
        <w:rPr>
          <w:rFonts w:ascii="Arial" w:hAnsi="Arial" w:cs="Arial"/>
          <w:sz w:val="22"/>
          <w:szCs w:val="22"/>
          <w:lang w:val="en-GB"/>
        </w:rPr>
        <w:t xml:space="preserve"> </w:t>
      </w:r>
      <w:r w:rsidRPr="001D0FD9">
        <w:rPr>
          <w:rFonts w:ascii="Arial" w:hAnsi="Arial" w:cs="Arial"/>
          <w:i/>
          <w:iCs/>
          <w:sz w:val="22"/>
          <w:szCs w:val="22"/>
          <w:lang w:val="en-GB"/>
        </w:rPr>
        <w:t>Measuring a moving target: the complex story of public health and prevention spending in local government</w:t>
      </w:r>
      <w:r w:rsidRPr="001D0FD9">
        <w:rPr>
          <w:rFonts w:ascii="Arial" w:hAnsi="Arial" w:cs="Arial"/>
          <w:sz w:val="22"/>
          <w:szCs w:val="22"/>
          <w:lang w:val="en-GB"/>
        </w:rPr>
        <w:t xml:space="preserve">. Available at: </w:t>
      </w:r>
      <w:hyperlink r:id="rId13" w:history="1">
        <w:r w:rsidRPr="001D0FD9">
          <w:rPr>
            <w:rStyle w:val="Hyperlink"/>
            <w:rFonts w:ascii="Arial" w:hAnsi="Arial" w:cs="Arial"/>
            <w:sz w:val="22"/>
            <w:szCs w:val="22"/>
            <w:lang w:val="en-GB"/>
          </w:rPr>
          <w:t>https://www.kingsfund.org.uk/insight-and-analysis/blogs/public-health-prevention-spending-local-government</w:t>
        </w:r>
      </w:hyperlink>
      <w:r w:rsidRPr="001D0FD9">
        <w:rPr>
          <w:rFonts w:ascii="Arial" w:hAnsi="Arial" w:cs="Arial"/>
          <w:sz w:val="22"/>
          <w:szCs w:val="22"/>
          <w:lang w:val="en-GB"/>
        </w:rPr>
        <w:t>.</w:t>
      </w:r>
      <w:r>
        <w:rPr>
          <w:rFonts w:ascii="Arial" w:hAnsi="Arial" w:cs="Arial"/>
          <w:sz w:val="22"/>
          <w:szCs w:val="22"/>
          <w:lang w:val="en-GB"/>
        </w:rPr>
        <w:t xml:space="preserve"> (Accessed: 27</w:t>
      </w:r>
      <w:r w:rsidRPr="00F262FA">
        <w:rPr>
          <w:rFonts w:ascii="Arial" w:hAnsi="Arial" w:cs="Arial"/>
          <w:sz w:val="22"/>
          <w:szCs w:val="22"/>
          <w:vertAlign w:val="superscript"/>
          <w:lang w:val="en-GB"/>
        </w:rPr>
        <w:t>th</w:t>
      </w:r>
      <w:r>
        <w:rPr>
          <w:rFonts w:ascii="Arial" w:hAnsi="Arial" w:cs="Arial"/>
          <w:sz w:val="22"/>
          <w:szCs w:val="22"/>
          <w:lang w:val="en-GB"/>
        </w:rPr>
        <w:t xml:space="preserve"> February 2026).</w:t>
      </w:r>
    </w:p>
    <w:p w14:paraId="2DE9CE75" w14:textId="77777777" w:rsidR="00DF3F3C" w:rsidRPr="002E39D1" w:rsidRDefault="00DF3F3C" w:rsidP="005D7077">
      <w:pPr>
        <w:spacing w:line="360" w:lineRule="auto"/>
        <w:ind w:left="720" w:hanging="720"/>
        <w:rPr>
          <w:rFonts w:ascii="Arial" w:hAnsi="Arial" w:cs="Arial"/>
          <w:sz w:val="22"/>
          <w:szCs w:val="22"/>
          <w:lang w:val="en-GB"/>
        </w:rPr>
      </w:pPr>
      <w:r w:rsidRPr="002E39D1">
        <w:rPr>
          <w:rFonts w:ascii="Arial" w:hAnsi="Arial" w:cs="Arial"/>
          <w:sz w:val="22"/>
          <w:szCs w:val="22"/>
          <w:lang w:val="en-GB"/>
        </w:rPr>
        <w:t xml:space="preserve">Care Quality Commission (2025) </w:t>
      </w:r>
      <w:r w:rsidRPr="002E39D1">
        <w:rPr>
          <w:rFonts w:ascii="Arial" w:hAnsi="Arial" w:cs="Arial"/>
          <w:i/>
          <w:iCs/>
          <w:sz w:val="22"/>
          <w:szCs w:val="22"/>
          <w:lang w:val="en-GB"/>
        </w:rPr>
        <w:t>State of Care</w:t>
      </w:r>
      <w:r w:rsidRPr="002E39D1">
        <w:rPr>
          <w:rFonts w:ascii="Arial" w:hAnsi="Arial" w:cs="Arial"/>
          <w:sz w:val="22"/>
          <w:szCs w:val="22"/>
          <w:lang w:val="en-GB"/>
        </w:rPr>
        <w:t>.</w:t>
      </w:r>
      <w:r>
        <w:rPr>
          <w:rFonts w:ascii="Arial" w:hAnsi="Arial" w:cs="Arial"/>
          <w:sz w:val="22"/>
          <w:szCs w:val="22"/>
          <w:lang w:val="en-GB"/>
        </w:rPr>
        <w:t xml:space="preserve"> </w:t>
      </w:r>
      <w:r w:rsidRPr="002E39D1">
        <w:rPr>
          <w:rFonts w:ascii="Arial" w:hAnsi="Arial" w:cs="Arial"/>
          <w:sz w:val="22"/>
          <w:szCs w:val="22"/>
          <w:lang w:val="en-GB"/>
        </w:rPr>
        <w:t xml:space="preserve">Available at: </w:t>
      </w:r>
      <w:hyperlink r:id="rId14" w:history="1">
        <w:r w:rsidRPr="002E39D1">
          <w:rPr>
            <w:rStyle w:val="Hyperlink"/>
            <w:rFonts w:ascii="Arial" w:hAnsi="Arial" w:cs="Arial"/>
            <w:sz w:val="22"/>
            <w:szCs w:val="22"/>
            <w:lang w:val="en-GB"/>
          </w:rPr>
          <w:t>https://assets.publishing.service.gov.uk/media/68fa3b4fe200d653d8b63735/care-quality-commission-state-of-health-care-and-adult-social-care-England-2024-2025.pdf</w:t>
        </w:r>
      </w:hyperlink>
      <w:r w:rsidRPr="002E39D1">
        <w:rPr>
          <w:rFonts w:ascii="Arial" w:hAnsi="Arial" w:cs="Arial"/>
          <w:sz w:val="22"/>
          <w:szCs w:val="22"/>
          <w:lang w:val="en-GB"/>
        </w:rPr>
        <w:t>.</w:t>
      </w:r>
      <w:r>
        <w:rPr>
          <w:rFonts w:ascii="Arial" w:hAnsi="Arial" w:cs="Arial"/>
          <w:sz w:val="22"/>
          <w:szCs w:val="22"/>
          <w:lang w:val="en-GB"/>
        </w:rPr>
        <w:t xml:space="preserve"> (Accessed: 7</w:t>
      </w:r>
      <w:r w:rsidRPr="00762E32">
        <w:rPr>
          <w:rFonts w:ascii="Arial" w:hAnsi="Arial" w:cs="Arial"/>
          <w:sz w:val="22"/>
          <w:szCs w:val="22"/>
          <w:vertAlign w:val="superscript"/>
          <w:lang w:val="en-GB"/>
        </w:rPr>
        <w:t>th</w:t>
      </w:r>
      <w:r>
        <w:rPr>
          <w:rFonts w:ascii="Arial" w:hAnsi="Arial" w:cs="Arial"/>
          <w:sz w:val="22"/>
          <w:szCs w:val="22"/>
          <w:lang w:val="en-GB"/>
        </w:rPr>
        <w:t xml:space="preserve"> March 2026).</w:t>
      </w:r>
    </w:p>
    <w:p w14:paraId="7DA22ADA" w14:textId="77777777" w:rsidR="00DF3F3C" w:rsidRDefault="00DF3F3C" w:rsidP="005D7077">
      <w:pPr>
        <w:spacing w:line="360" w:lineRule="auto"/>
        <w:ind w:left="720" w:hanging="720"/>
        <w:rPr>
          <w:rFonts w:ascii="Arial" w:hAnsi="Arial" w:cs="Arial"/>
          <w:sz w:val="22"/>
          <w:szCs w:val="22"/>
          <w:lang w:val="en-GB"/>
        </w:rPr>
      </w:pPr>
      <w:r w:rsidRPr="00E61ACA">
        <w:rPr>
          <w:rFonts w:ascii="Arial" w:hAnsi="Arial" w:cs="Arial"/>
          <w:sz w:val="22"/>
          <w:szCs w:val="22"/>
          <w:lang w:val="en-GB"/>
        </w:rPr>
        <w:t xml:space="preserve">Crenshaw, K. (1989) </w:t>
      </w:r>
      <w:r>
        <w:rPr>
          <w:rFonts w:ascii="Arial" w:hAnsi="Arial" w:cs="Arial"/>
          <w:sz w:val="22"/>
          <w:szCs w:val="22"/>
          <w:lang w:val="en-GB"/>
        </w:rPr>
        <w:t>‘</w:t>
      </w:r>
      <w:r w:rsidRPr="00E61ACA">
        <w:rPr>
          <w:rFonts w:ascii="Arial" w:hAnsi="Arial" w:cs="Arial"/>
          <w:sz w:val="22"/>
          <w:szCs w:val="22"/>
          <w:lang w:val="en-GB"/>
        </w:rPr>
        <w:t xml:space="preserve">Demarginalizing the Intersection of Race and </w:t>
      </w:r>
      <w:r>
        <w:rPr>
          <w:rFonts w:ascii="Arial" w:hAnsi="Arial" w:cs="Arial"/>
          <w:sz w:val="22"/>
          <w:szCs w:val="22"/>
          <w:lang w:val="en-GB"/>
        </w:rPr>
        <w:t>Se</w:t>
      </w:r>
      <w:r w:rsidRPr="00E61ACA">
        <w:rPr>
          <w:rFonts w:ascii="Arial" w:hAnsi="Arial" w:cs="Arial"/>
          <w:sz w:val="22"/>
          <w:szCs w:val="22"/>
          <w:lang w:val="en-GB"/>
        </w:rPr>
        <w:t xml:space="preserve">x: </w:t>
      </w:r>
      <w:r>
        <w:rPr>
          <w:rFonts w:ascii="Arial" w:hAnsi="Arial" w:cs="Arial"/>
          <w:sz w:val="22"/>
          <w:szCs w:val="22"/>
          <w:lang w:val="en-GB"/>
        </w:rPr>
        <w:t xml:space="preserve">A </w:t>
      </w:r>
      <w:r w:rsidRPr="00E61ACA">
        <w:rPr>
          <w:rFonts w:ascii="Arial" w:hAnsi="Arial" w:cs="Arial"/>
          <w:sz w:val="22"/>
          <w:szCs w:val="22"/>
          <w:lang w:val="en-GB"/>
        </w:rPr>
        <w:t xml:space="preserve">Black Feminist Critique of Antidiscrimination </w:t>
      </w:r>
      <w:r>
        <w:rPr>
          <w:rFonts w:ascii="Arial" w:hAnsi="Arial" w:cs="Arial"/>
          <w:sz w:val="22"/>
          <w:szCs w:val="22"/>
          <w:lang w:val="en-GB"/>
        </w:rPr>
        <w:t>D</w:t>
      </w:r>
      <w:r w:rsidRPr="00E61ACA">
        <w:rPr>
          <w:rFonts w:ascii="Arial" w:hAnsi="Arial" w:cs="Arial"/>
          <w:sz w:val="22"/>
          <w:szCs w:val="22"/>
          <w:lang w:val="en-GB"/>
        </w:rPr>
        <w:t>octrine, Feminist Theory and Antiracist Politics</w:t>
      </w:r>
      <w:r>
        <w:rPr>
          <w:rFonts w:ascii="Arial" w:hAnsi="Arial" w:cs="Arial"/>
          <w:sz w:val="22"/>
          <w:szCs w:val="22"/>
          <w:lang w:val="en-GB"/>
        </w:rPr>
        <w:t>’,</w:t>
      </w:r>
      <w:r w:rsidRPr="00E61ACA">
        <w:rPr>
          <w:rFonts w:ascii="Arial" w:hAnsi="Arial" w:cs="Arial"/>
          <w:sz w:val="22"/>
          <w:szCs w:val="22"/>
          <w:lang w:val="en-GB"/>
        </w:rPr>
        <w:t xml:space="preserve"> </w:t>
      </w:r>
      <w:r w:rsidRPr="00E61ACA">
        <w:rPr>
          <w:rFonts w:ascii="Arial" w:hAnsi="Arial" w:cs="Arial"/>
          <w:i/>
          <w:iCs/>
          <w:sz w:val="22"/>
          <w:szCs w:val="22"/>
          <w:lang w:val="en-GB"/>
        </w:rPr>
        <w:t>University of Chicago Legal Forum</w:t>
      </w:r>
      <w:r w:rsidRPr="00E61ACA">
        <w:rPr>
          <w:rFonts w:ascii="Arial" w:hAnsi="Arial" w:cs="Arial"/>
          <w:sz w:val="22"/>
          <w:szCs w:val="22"/>
          <w:lang w:val="en-GB"/>
        </w:rPr>
        <w:t xml:space="preserve">, [online] 1989(1), pp.139–167. </w:t>
      </w:r>
    </w:p>
    <w:p w14:paraId="5152F0EB" w14:textId="77777777" w:rsidR="00DF3F3C" w:rsidRPr="009B1D46" w:rsidRDefault="00DF3F3C" w:rsidP="005D7077">
      <w:pPr>
        <w:spacing w:line="360" w:lineRule="auto"/>
        <w:ind w:left="720" w:hanging="720"/>
        <w:rPr>
          <w:rFonts w:ascii="Arial" w:hAnsi="Arial" w:cs="Arial"/>
          <w:sz w:val="22"/>
          <w:szCs w:val="22"/>
          <w:lang w:val="en-GB"/>
        </w:rPr>
      </w:pPr>
      <w:r w:rsidRPr="009B1D46">
        <w:rPr>
          <w:rFonts w:ascii="Arial" w:hAnsi="Arial" w:cs="Arial"/>
          <w:sz w:val="22"/>
          <w:szCs w:val="22"/>
          <w:lang w:val="en-GB"/>
        </w:rPr>
        <w:t xml:space="preserve">Dahlgren, G. and Whitehead, M. (1991) </w:t>
      </w:r>
      <w:r w:rsidRPr="009B1D46">
        <w:rPr>
          <w:rFonts w:ascii="Arial" w:hAnsi="Arial" w:cs="Arial"/>
          <w:i/>
          <w:iCs/>
          <w:sz w:val="22"/>
          <w:szCs w:val="22"/>
          <w:lang w:val="en-GB"/>
        </w:rPr>
        <w:t xml:space="preserve">Policies and Strategies to Promote Social Equity in </w:t>
      </w:r>
      <w:r>
        <w:rPr>
          <w:rFonts w:ascii="Arial" w:hAnsi="Arial" w:cs="Arial"/>
          <w:i/>
          <w:iCs/>
          <w:sz w:val="22"/>
          <w:szCs w:val="22"/>
          <w:lang w:val="en-GB"/>
        </w:rPr>
        <w:t xml:space="preserve">Health. </w:t>
      </w:r>
      <w:r w:rsidRPr="009B1D46">
        <w:rPr>
          <w:rFonts w:ascii="Arial" w:hAnsi="Arial" w:cs="Arial"/>
          <w:sz w:val="22"/>
          <w:szCs w:val="22"/>
          <w:lang w:val="en-GB"/>
        </w:rPr>
        <w:t xml:space="preserve">Available at: </w:t>
      </w:r>
      <w:hyperlink r:id="rId15" w:history="1">
        <w:r w:rsidRPr="009B1D46">
          <w:rPr>
            <w:rStyle w:val="Hyperlink"/>
            <w:rFonts w:ascii="Arial" w:hAnsi="Arial" w:cs="Arial"/>
            <w:sz w:val="22"/>
            <w:szCs w:val="22"/>
            <w:lang w:val="en-GB"/>
          </w:rPr>
          <w:t>https://www.researchgate.net/publication/5095964_Policies_and_strategies_to_promote_social_equity_in_health_Background_document_to_WHO_-_Strategy_paper_for_Europe</w:t>
        </w:r>
      </w:hyperlink>
      <w:r w:rsidRPr="009B1D46">
        <w:rPr>
          <w:rFonts w:ascii="Arial" w:hAnsi="Arial" w:cs="Arial"/>
          <w:sz w:val="22"/>
          <w:szCs w:val="22"/>
          <w:lang w:val="en-GB"/>
        </w:rPr>
        <w:t>.</w:t>
      </w:r>
      <w:r>
        <w:rPr>
          <w:rFonts w:ascii="Arial" w:hAnsi="Arial" w:cs="Arial"/>
          <w:sz w:val="22"/>
          <w:szCs w:val="22"/>
          <w:lang w:val="en-GB"/>
        </w:rPr>
        <w:t xml:space="preserve"> (Accessed: 19</w:t>
      </w:r>
      <w:r w:rsidRPr="00F262FA">
        <w:rPr>
          <w:rFonts w:ascii="Arial" w:hAnsi="Arial" w:cs="Arial"/>
          <w:sz w:val="22"/>
          <w:szCs w:val="22"/>
          <w:vertAlign w:val="superscript"/>
          <w:lang w:val="en-GB"/>
        </w:rPr>
        <w:t>th</w:t>
      </w:r>
      <w:r>
        <w:rPr>
          <w:rFonts w:ascii="Arial" w:hAnsi="Arial" w:cs="Arial"/>
          <w:sz w:val="22"/>
          <w:szCs w:val="22"/>
          <w:lang w:val="en-GB"/>
        </w:rPr>
        <w:t xml:space="preserve"> February 2026).</w:t>
      </w:r>
    </w:p>
    <w:p w14:paraId="75F14DCC" w14:textId="77777777" w:rsidR="00DF3F3C" w:rsidRPr="00FB7546" w:rsidRDefault="00DF3F3C" w:rsidP="005D7077">
      <w:pPr>
        <w:spacing w:line="360" w:lineRule="auto"/>
        <w:ind w:left="720" w:hanging="720"/>
        <w:rPr>
          <w:rFonts w:ascii="Arial" w:hAnsi="Arial" w:cs="Arial"/>
          <w:sz w:val="22"/>
          <w:szCs w:val="22"/>
          <w:lang w:val="en-GB"/>
        </w:rPr>
      </w:pPr>
      <w:r w:rsidRPr="00B77A7A">
        <w:rPr>
          <w:rFonts w:ascii="Arial" w:hAnsi="Arial" w:cs="Arial"/>
          <w:sz w:val="22"/>
          <w:szCs w:val="22"/>
          <w:lang w:val="en-GB"/>
        </w:rPr>
        <w:t xml:space="preserve">Farmer, P. (2004) </w:t>
      </w:r>
      <w:r>
        <w:rPr>
          <w:rFonts w:ascii="Arial" w:hAnsi="Arial" w:cs="Arial"/>
          <w:sz w:val="22"/>
          <w:szCs w:val="22"/>
          <w:lang w:val="en-GB"/>
        </w:rPr>
        <w:t>‘</w:t>
      </w:r>
      <w:r w:rsidRPr="00B77A7A">
        <w:rPr>
          <w:rFonts w:ascii="Arial" w:hAnsi="Arial" w:cs="Arial"/>
          <w:sz w:val="22"/>
          <w:szCs w:val="22"/>
          <w:lang w:val="en-GB"/>
        </w:rPr>
        <w:t>An Anthropology of Structural Violence</w:t>
      </w:r>
      <w:r>
        <w:rPr>
          <w:rFonts w:ascii="Arial" w:hAnsi="Arial" w:cs="Arial"/>
          <w:sz w:val="22"/>
          <w:szCs w:val="22"/>
          <w:lang w:val="en-GB"/>
        </w:rPr>
        <w:t>’.</w:t>
      </w:r>
      <w:r w:rsidRPr="00B77A7A">
        <w:rPr>
          <w:rFonts w:ascii="Arial" w:hAnsi="Arial" w:cs="Arial"/>
          <w:sz w:val="22"/>
          <w:szCs w:val="22"/>
          <w:lang w:val="en-GB"/>
        </w:rPr>
        <w:t xml:space="preserve"> </w:t>
      </w:r>
      <w:r w:rsidRPr="00B77A7A">
        <w:rPr>
          <w:rFonts w:ascii="Arial" w:hAnsi="Arial" w:cs="Arial"/>
          <w:i/>
          <w:iCs/>
          <w:sz w:val="22"/>
          <w:szCs w:val="22"/>
          <w:lang w:val="en-GB"/>
        </w:rPr>
        <w:t>Current Anthropology</w:t>
      </w:r>
      <w:r w:rsidRPr="00B77A7A">
        <w:rPr>
          <w:rFonts w:ascii="Arial" w:hAnsi="Arial" w:cs="Arial"/>
          <w:sz w:val="22"/>
          <w:szCs w:val="22"/>
          <w:lang w:val="en-GB"/>
        </w:rPr>
        <w:t xml:space="preserve">, 45(3), pp.305–325. </w:t>
      </w:r>
    </w:p>
    <w:p w14:paraId="45427090" w14:textId="77777777" w:rsidR="00DF3F3C" w:rsidRDefault="00DF3F3C" w:rsidP="00C814A1">
      <w:pPr>
        <w:spacing w:line="360" w:lineRule="auto"/>
        <w:ind w:left="720" w:hanging="720"/>
        <w:rPr>
          <w:rFonts w:ascii="Arial" w:hAnsi="Arial" w:cs="Arial"/>
          <w:sz w:val="22"/>
          <w:szCs w:val="22"/>
          <w:lang w:val="en-GB"/>
        </w:rPr>
      </w:pPr>
      <w:proofErr w:type="spellStart"/>
      <w:r w:rsidRPr="005927A2">
        <w:rPr>
          <w:rFonts w:ascii="Arial" w:hAnsi="Arial" w:cs="Arial"/>
          <w:sz w:val="22"/>
          <w:szCs w:val="22"/>
          <w:lang w:val="en-GB"/>
        </w:rPr>
        <w:t>HealthLinkBC</w:t>
      </w:r>
      <w:proofErr w:type="spellEnd"/>
      <w:r w:rsidRPr="005927A2">
        <w:rPr>
          <w:rFonts w:ascii="Arial" w:hAnsi="Arial" w:cs="Arial"/>
          <w:sz w:val="22"/>
          <w:szCs w:val="22"/>
          <w:lang w:val="en-GB"/>
        </w:rPr>
        <w:t xml:space="preserve"> (2022) </w:t>
      </w:r>
      <w:r w:rsidRPr="005927A2">
        <w:rPr>
          <w:rFonts w:ascii="Arial" w:hAnsi="Arial" w:cs="Arial"/>
          <w:i/>
          <w:iCs/>
          <w:sz w:val="22"/>
          <w:szCs w:val="22"/>
          <w:lang w:val="en-GB"/>
        </w:rPr>
        <w:t>What Is Well-Being?</w:t>
      </w:r>
      <w:r w:rsidRPr="005927A2">
        <w:rPr>
          <w:rFonts w:ascii="Arial" w:hAnsi="Arial" w:cs="Arial"/>
          <w:sz w:val="22"/>
          <w:szCs w:val="22"/>
          <w:lang w:val="en-GB"/>
        </w:rPr>
        <w:t xml:space="preserve"> Available at: </w:t>
      </w:r>
      <w:hyperlink r:id="rId16" w:history="1">
        <w:r w:rsidRPr="00A9335F">
          <w:rPr>
            <w:rStyle w:val="Hyperlink"/>
            <w:rFonts w:ascii="Arial" w:hAnsi="Arial" w:cs="Arial"/>
            <w:sz w:val="22"/>
            <w:szCs w:val="22"/>
            <w:lang w:val="en-GB"/>
          </w:rPr>
          <w:t>https://www.healthlinkbc.ca/healthwise/what-well-being</w:t>
        </w:r>
      </w:hyperlink>
      <w:r>
        <w:rPr>
          <w:rFonts w:ascii="Arial" w:hAnsi="Arial" w:cs="Arial"/>
          <w:sz w:val="22"/>
          <w:szCs w:val="22"/>
          <w:lang w:val="en-GB"/>
        </w:rPr>
        <w:t xml:space="preserve">. </w:t>
      </w:r>
      <w:r w:rsidRPr="005927A2">
        <w:rPr>
          <w:rFonts w:ascii="Arial" w:hAnsi="Arial" w:cs="Arial"/>
          <w:sz w:val="22"/>
          <w:szCs w:val="22"/>
          <w:lang w:val="en-GB"/>
        </w:rPr>
        <w:t xml:space="preserve">(Accessed: </w:t>
      </w:r>
      <w:r>
        <w:rPr>
          <w:rFonts w:ascii="Arial" w:hAnsi="Arial" w:cs="Arial"/>
          <w:sz w:val="22"/>
          <w:szCs w:val="22"/>
          <w:lang w:val="en-GB"/>
        </w:rPr>
        <w:t>11</w:t>
      </w:r>
      <w:r w:rsidRPr="00720810">
        <w:rPr>
          <w:rFonts w:ascii="Arial" w:hAnsi="Arial" w:cs="Arial"/>
          <w:sz w:val="22"/>
          <w:szCs w:val="22"/>
          <w:vertAlign w:val="superscript"/>
          <w:lang w:val="en-GB"/>
        </w:rPr>
        <w:t>th</w:t>
      </w:r>
      <w:r>
        <w:rPr>
          <w:rFonts w:ascii="Arial" w:hAnsi="Arial" w:cs="Arial"/>
          <w:sz w:val="22"/>
          <w:szCs w:val="22"/>
          <w:lang w:val="en-GB"/>
        </w:rPr>
        <w:t xml:space="preserve"> March</w:t>
      </w:r>
      <w:r w:rsidRPr="005927A2">
        <w:rPr>
          <w:rFonts w:ascii="Arial" w:hAnsi="Arial" w:cs="Arial"/>
          <w:sz w:val="22"/>
          <w:szCs w:val="22"/>
          <w:lang w:val="en-GB"/>
        </w:rPr>
        <w:t xml:space="preserve"> 2026).</w:t>
      </w:r>
    </w:p>
    <w:p w14:paraId="20E51C0E" w14:textId="77777777" w:rsidR="00DF3F3C" w:rsidRDefault="00DF3F3C" w:rsidP="005D7077">
      <w:pPr>
        <w:spacing w:line="360" w:lineRule="auto"/>
        <w:ind w:left="720" w:hanging="720"/>
        <w:rPr>
          <w:rFonts w:ascii="Arial" w:hAnsi="Arial" w:cs="Arial"/>
          <w:sz w:val="22"/>
          <w:szCs w:val="22"/>
          <w:lang w:val="en-GB"/>
        </w:rPr>
      </w:pPr>
      <w:r w:rsidRPr="002B72EC">
        <w:rPr>
          <w:rFonts w:ascii="Arial" w:hAnsi="Arial" w:cs="Arial"/>
          <w:sz w:val="22"/>
          <w:szCs w:val="22"/>
          <w:lang w:val="en-GB"/>
        </w:rPr>
        <w:t xml:space="preserve">Hogg Foundation for Mental Health (2018) </w:t>
      </w:r>
      <w:r w:rsidRPr="002B72EC">
        <w:rPr>
          <w:rFonts w:ascii="Arial" w:hAnsi="Arial" w:cs="Arial"/>
          <w:i/>
          <w:iCs/>
          <w:sz w:val="22"/>
          <w:szCs w:val="22"/>
          <w:lang w:val="en-GB"/>
        </w:rPr>
        <w:t>3 Things to Know: Well-being</w:t>
      </w:r>
      <w:r w:rsidRPr="002B72EC">
        <w:rPr>
          <w:rFonts w:ascii="Arial" w:hAnsi="Arial" w:cs="Arial"/>
          <w:sz w:val="22"/>
          <w:szCs w:val="22"/>
          <w:lang w:val="en-GB"/>
        </w:rPr>
        <w:t xml:space="preserve">. Available at: </w:t>
      </w:r>
      <w:hyperlink r:id="rId17" w:history="1">
        <w:r w:rsidRPr="00A9335F">
          <w:rPr>
            <w:rStyle w:val="Hyperlink"/>
            <w:rFonts w:ascii="Arial" w:hAnsi="Arial" w:cs="Arial"/>
            <w:sz w:val="22"/>
            <w:szCs w:val="22"/>
            <w:lang w:val="en-GB"/>
          </w:rPr>
          <w:t>https://hogg.utexas.edu/3-things-well-being</w:t>
        </w:r>
      </w:hyperlink>
      <w:r>
        <w:rPr>
          <w:rFonts w:ascii="Arial" w:hAnsi="Arial" w:cs="Arial"/>
          <w:sz w:val="22"/>
          <w:szCs w:val="22"/>
          <w:lang w:val="en-GB"/>
        </w:rPr>
        <w:t>.</w:t>
      </w:r>
      <w:r w:rsidRPr="002B72EC">
        <w:rPr>
          <w:rFonts w:ascii="Arial" w:hAnsi="Arial" w:cs="Arial"/>
          <w:sz w:val="22"/>
          <w:szCs w:val="22"/>
          <w:lang w:val="en-GB"/>
        </w:rPr>
        <w:t xml:space="preserve"> (Accessed: </w:t>
      </w:r>
      <w:r>
        <w:rPr>
          <w:rFonts w:ascii="Arial" w:hAnsi="Arial" w:cs="Arial"/>
          <w:sz w:val="22"/>
          <w:szCs w:val="22"/>
          <w:lang w:val="en-GB"/>
        </w:rPr>
        <w:t>10</w:t>
      </w:r>
      <w:r w:rsidRPr="002B72EC">
        <w:rPr>
          <w:rFonts w:ascii="Arial" w:hAnsi="Arial" w:cs="Arial"/>
          <w:sz w:val="22"/>
          <w:szCs w:val="22"/>
          <w:vertAlign w:val="superscript"/>
          <w:lang w:val="en-GB"/>
        </w:rPr>
        <w:t>th</w:t>
      </w:r>
      <w:r>
        <w:rPr>
          <w:rFonts w:ascii="Arial" w:hAnsi="Arial" w:cs="Arial"/>
          <w:sz w:val="22"/>
          <w:szCs w:val="22"/>
          <w:lang w:val="en-GB"/>
        </w:rPr>
        <w:t xml:space="preserve"> March</w:t>
      </w:r>
      <w:r w:rsidRPr="002B72EC">
        <w:rPr>
          <w:rFonts w:ascii="Arial" w:hAnsi="Arial" w:cs="Arial"/>
          <w:sz w:val="22"/>
          <w:szCs w:val="22"/>
          <w:lang w:val="en-GB"/>
        </w:rPr>
        <w:t xml:space="preserve"> 2026). </w:t>
      </w:r>
    </w:p>
    <w:p w14:paraId="10721377" w14:textId="77777777" w:rsidR="00DF3F3C" w:rsidRDefault="00DF3F3C" w:rsidP="005D7077">
      <w:pPr>
        <w:spacing w:line="360" w:lineRule="auto"/>
        <w:ind w:left="720" w:hanging="720"/>
        <w:rPr>
          <w:rFonts w:ascii="Arial" w:hAnsi="Arial" w:cs="Arial"/>
          <w:sz w:val="22"/>
          <w:szCs w:val="22"/>
          <w:lang w:val="en-GB"/>
        </w:rPr>
      </w:pPr>
      <w:proofErr w:type="spellStart"/>
      <w:r w:rsidRPr="007C5FE5">
        <w:rPr>
          <w:rFonts w:ascii="Arial" w:hAnsi="Arial" w:cs="Arial"/>
          <w:sz w:val="22"/>
          <w:szCs w:val="22"/>
          <w:lang w:val="en-GB"/>
        </w:rPr>
        <w:t>Loopstra</w:t>
      </w:r>
      <w:proofErr w:type="spellEnd"/>
      <w:r w:rsidRPr="007C5FE5">
        <w:rPr>
          <w:rFonts w:ascii="Arial" w:hAnsi="Arial" w:cs="Arial"/>
          <w:sz w:val="22"/>
          <w:szCs w:val="22"/>
          <w:lang w:val="en-GB"/>
        </w:rPr>
        <w:t xml:space="preserve">, R., </w:t>
      </w:r>
      <w:r>
        <w:rPr>
          <w:rFonts w:ascii="Arial" w:hAnsi="Arial" w:cs="Arial"/>
          <w:sz w:val="22"/>
          <w:szCs w:val="22"/>
          <w:lang w:val="en-GB"/>
        </w:rPr>
        <w:t>et al.</w:t>
      </w:r>
      <w:r w:rsidRPr="007C5FE5">
        <w:rPr>
          <w:rFonts w:ascii="Arial" w:hAnsi="Arial" w:cs="Arial"/>
          <w:sz w:val="22"/>
          <w:szCs w:val="22"/>
          <w:lang w:val="en-GB"/>
        </w:rPr>
        <w:t xml:space="preserve"> (2016) </w:t>
      </w:r>
      <w:r>
        <w:rPr>
          <w:rFonts w:ascii="Arial" w:hAnsi="Arial" w:cs="Arial"/>
          <w:sz w:val="22"/>
          <w:szCs w:val="22"/>
          <w:lang w:val="en-GB"/>
        </w:rPr>
        <w:t>‘</w:t>
      </w:r>
      <w:r w:rsidRPr="007C5FE5">
        <w:rPr>
          <w:rFonts w:ascii="Arial" w:hAnsi="Arial" w:cs="Arial"/>
          <w:sz w:val="22"/>
          <w:szCs w:val="22"/>
          <w:lang w:val="en-GB"/>
        </w:rPr>
        <w:t>Austerity and old-age mortality in England: a longitudinal cross-local area analysis, 2007–2013</w:t>
      </w:r>
      <w:r>
        <w:rPr>
          <w:rFonts w:ascii="Arial" w:hAnsi="Arial" w:cs="Arial"/>
          <w:sz w:val="22"/>
          <w:szCs w:val="22"/>
          <w:lang w:val="en-GB"/>
        </w:rPr>
        <w:t>’,</w:t>
      </w:r>
      <w:r w:rsidRPr="007C5FE5">
        <w:rPr>
          <w:rFonts w:ascii="Arial" w:hAnsi="Arial" w:cs="Arial"/>
          <w:sz w:val="22"/>
          <w:szCs w:val="22"/>
          <w:lang w:val="en-GB"/>
        </w:rPr>
        <w:t xml:space="preserve"> </w:t>
      </w:r>
      <w:r w:rsidRPr="007C5FE5">
        <w:rPr>
          <w:rFonts w:ascii="Arial" w:hAnsi="Arial" w:cs="Arial"/>
          <w:i/>
          <w:iCs/>
          <w:sz w:val="22"/>
          <w:szCs w:val="22"/>
          <w:lang w:val="en-GB"/>
        </w:rPr>
        <w:t>Journal of the Royal Society of Medicine</w:t>
      </w:r>
      <w:r w:rsidRPr="007C5FE5">
        <w:rPr>
          <w:rFonts w:ascii="Arial" w:hAnsi="Arial" w:cs="Arial"/>
          <w:sz w:val="22"/>
          <w:szCs w:val="22"/>
          <w:lang w:val="en-GB"/>
        </w:rPr>
        <w:t xml:space="preserve">, [online] 109(3), pp.109–116. </w:t>
      </w:r>
    </w:p>
    <w:p w14:paraId="03616F8F" w14:textId="77777777" w:rsidR="00DF3F3C" w:rsidRDefault="00DF3F3C" w:rsidP="005D7077">
      <w:pPr>
        <w:spacing w:line="360" w:lineRule="auto"/>
        <w:ind w:left="720" w:hanging="720"/>
        <w:rPr>
          <w:rFonts w:ascii="Arial" w:hAnsi="Arial" w:cs="Arial"/>
          <w:sz w:val="22"/>
          <w:szCs w:val="22"/>
          <w:lang w:val="en-GB"/>
        </w:rPr>
      </w:pPr>
      <w:r w:rsidRPr="001D0FD9">
        <w:rPr>
          <w:rFonts w:ascii="Arial" w:hAnsi="Arial" w:cs="Arial"/>
          <w:sz w:val="22"/>
          <w:szCs w:val="22"/>
          <w:lang w:val="en-GB"/>
        </w:rPr>
        <w:lastRenderedPageBreak/>
        <w:t xml:space="preserve">Marmot, M. (2010) </w:t>
      </w:r>
      <w:r w:rsidRPr="001D0FD9">
        <w:rPr>
          <w:rFonts w:ascii="Arial" w:hAnsi="Arial" w:cs="Arial"/>
          <w:i/>
          <w:iCs/>
          <w:sz w:val="22"/>
          <w:szCs w:val="22"/>
          <w:lang w:val="en-GB"/>
        </w:rPr>
        <w:t>Fair Society, Healthy Lives: The Marmot Review</w:t>
      </w:r>
      <w:r w:rsidRPr="001D0FD9">
        <w:rPr>
          <w:rFonts w:ascii="Arial" w:hAnsi="Arial" w:cs="Arial"/>
          <w:sz w:val="22"/>
          <w:szCs w:val="22"/>
          <w:lang w:val="en-GB"/>
        </w:rPr>
        <w:t xml:space="preserve">. Available at: </w:t>
      </w:r>
      <w:hyperlink r:id="rId18" w:history="1">
        <w:r w:rsidRPr="001D0FD9">
          <w:rPr>
            <w:rStyle w:val="Hyperlink"/>
            <w:rFonts w:ascii="Arial" w:hAnsi="Arial" w:cs="Arial"/>
            <w:sz w:val="22"/>
            <w:szCs w:val="22"/>
            <w:lang w:val="en-GB"/>
          </w:rPr>
          <w:t>https://www.parliament.uk/globalassets/documents/fair-society-healthy-lives-full-report.pdf</w:t>
        </w:r>
      </w:hyperlink>
      <w:r w:rsidRPr="001D0FD9">
        <w:rPr>
          <w:rFonts w:ascii="Arial" w:hAnsi="Arial" w:cs="Arial"/>
          <w:sz w:val="22"/>
          <w:szCs w:val="22"/>
          <w:lang w:val="en-GB"/>
        </w:rPr>
        <w:t>.</w:t>
      </w:r>
      <w:r>
        <w:rPr>
          <w:rFonts w:ascii="Arial" w:hAnsi="Arial" w:cs="Arial"/>
          <w:sz w:val="22"/>
          <w:szCs w:val="22"/>
          <w:lang w:val="en-GB"/>
        </w:rPr>
        <w:t xml:space="preserve"> (Accessed: 2</w:t>
      </w:r>
      <w:r w:rsidRPr="00661615">
        <w:rPr>
          <w:rFonts w:ascii="Arial" w:hAnsi="Arial" w:cs="Arial"/>
          <w:sz w:val="22"/>
          <w:szCs w:val="22"/>
          <w:vertAlign w:val="superscript"/>
          <w:lang w:val="en-GB"/>
        </w:rPr>
        <w:t>nd</w:t>
      </w:r>
      <w:r>
        <w:rPr>
          <w:rFonts w:ascii="Arial" w:hAnsi="Arial" w:cs="Arial"/>
          <w:sz w:val="22"/>
          <w:szCs w:val="22"/>
          <w:lang w:val="en-GB"/>
        </w:rPr>
        <w:t xml:space="preserve"> March 2026). </w:t>
      </w:r>
    </w:p>
    <w:p w14:paraId="4C0184AF" w14:textId="77777777" w:rsidR="00DF3F3C" w:rsidRDefault="00DF3F3C" w:rsidP="005D7077">
      <w:pPr>
        <w:spacing w:line="360" w:lineRule="auto"/>
        <w:ind w:left="720" w:hanging="720"/>
        <w:rPr>
          <w:rFonts w:ascii="Arial" w:hAnsi="Arial" w:cs="Arial"/>
          <w:sz w:val="22"/>
          <w:szCs w:val="22"/>
          <w:lang w:val="en-GB"/>
        </w:rPr>
      </w:pPr>
      <w:r w:rsidRPr="001D0FD9">
        <w:rPr>
          <w:rFonts w:ascii="Arial" w:hAnsi="Arial" w:cs="Arial"/>
          <w:sz w:val="22"/>
          <w:szCs w:val="22"/>
          <w:lang w:val="en-GB"/>
        </w:rPr>
        <w:t xml:space="preserve">Marmot, M., et al. (2020) </w:t>
      </w:r>
      <w:r w:rsidRPr="001D0FD9">
        <w:rPr>
          <w:rFonts w:ascii="Arial" w:hAnsi="Arial" w:cs="Arial"/>
          <w:i/>
          <w:iCs/>
          <w:sz w:val="22"/>
          <w:szCs w:val="22"/>
          <w:lang w:val="en-GB"/>
        </w:rPr>
        <w:t xml:space="preserve">Health Equity in England: The Marmot Review 10 Years </w:t>
      </w:r>
      <w:proofErr w:type="gramStart"/>
      <w:r w:rsidRPr="001D0FD9">
        <w:rPr>
          <w:rFonts w:ascii="Arial" w:hAnsi="Arial" w:cs="Arial"/>
          <w:i/>
          <w:iCs/>
          <w:sz w:val="22"/>
          <w:szCs w:val="22"/>
          <w:lang w:val="en-GB"/>
        </w:rPr>
        <w:t>On</w:t>
      </w:r>
      <w:proofErr w:type="gramEnd"/>
      <w:r w:rsidRPr="001D0FD9">
        <w:rPr>
          <w:rFonts w:ascii="Arial" w:hAnsi="Arial" w:cs="Arial"/>
          <w:i/>
          <w:iCs/>
          <w:sz w:val="22"/>
          <w:szCs w:val="22"/>
          <w:lang w:val="en-GB"/>
        </w:rPr>
        <w:t xml:space="preserve"> Executive Summary.</w:t>
      </w:r>
      <w:r w:rsidRPr="001D0FD9">
        <w:rPr>
          <w:rFonts w:ascii="Arial" w:hAnsi="Arial" w:cs="Arial"/>
          <w:sz w:val="22"/>
          <w:szCs w:val="22"/>
          <w:lang w:val="en-GB"/>
        </w:rPr>
        <w:t xml:space="preserve"> Available at: </w:t>
      </w:r>
      <w:hyperlink r:id="rId19" w:history="1">
        <w:r w:rsidRPr="001D0FD9">
          <w:rPr>
            <w:rStyle w:val="Hyperlink"/>
            <w:rFonts w:ascii="Arial" w:hAnsi="Arial" w:cs="Arial"/>
            <w:sz w:val="22"/>
            <w:szCs w:val="22"/>
            <w:lang w:val="en-GB"/>
          </w:rPr>
          <w:t>https://www.instituteofhealthequity.org/resources-reports/marmot-review-10-years-on/the-marmot-review-10-years-on-executive-summary.pdf</w:t>
        </w:r>
      </w:hyperlink>
      <w:r w:rsidRPr="001D0FD9">
        <w:rPr>
          <w:rFonts w:ascii="Arial" w:hAnsi="Arial" w:cs="Arial"/>
          <w:sz w:val="22"/>
          <w:szCs w:val="22"/>
          <w:lang w:val="en-GB"/>
        </w:rPr>
        <w:t>. (Accessed:</w:t>
      </w:r>
      <w:r>
        <w:rPr>
          <w:rFonts w:ascii="Arial" w:hAnsi="Arial" w:cs="Arial"/>
          <w:sz w:val="22"/>
          <w:szCs w:val="22"/>
          <w:lang w:val="en-GB"/>
        </w:rPr>
        <w:t xml:space="preserve"> 26</w:t>
      </w:r>
      <w:r w:rsidRPr="002B01FE">
        <w:rPr>
          <w:rFonts w:ascii="Arial" w:hAnsi="Arial" w:cs="Arial"/>
          <w:sz w:val="22"/>
          <w:szCs w:val="22"/>
          <w:vertAlign w:val="superscript"/>
          <w:lang w:val="en-GB"/>
        </w:rPr>
        <w:t>t</w:t>
      </w:r>
      <w:r>
        <w:rPr>
          <w:rFonts w:ascii="Arial" w:hAnsi="Arial" w:cs="Arial"/>
          <w:sz w:val="22"/>
          <w:szCs w:val="22"/>
          <w:vertAlign w:val="superscript"/>
          <w:lang w:val="en-GB"/>
        </w:rPr>
        <w:t xml:space="preserve">h </w:t>
      </w:r>
      <w:r>
        <w:rPr>
          <w:rFonts w:ascii="Arial" w:hAnsi="Arial" w:cs="Arial"/>
          <w:sz w:val="22"/>
          <w:szCs w:val="22"/>
          <w:lang w:val="en-GB"/>
        </w:rPr>
        <w:t>February 2026).</w:t>
      </w:r>
    </w:p>
    <w:p w14:paraId="714C0F34" w14:textId="77777777" w:rsidR="00DF3F3C" w:rsidRPr="00BC7BC5" w:rsidRDefault="00DF3F3C" w:rsidP="005D7077">
      <w:pPr>
        <w:spacing w:line="360" w:lineRule="auto"/>
        <w:ind w:left="720" w:hanging="720"/>
        <w:rPr>
          <w:rFonts w:ascii="Arial" w:hAnsi="Arial" w:cs="Arial"/>
          <w:sz w:val="22"/>
          <w:szCs w:val="22"/>
          <w:lang w:val="en-GB"/>
        </w:rPr>
      </w:pPr>
      <w:r w:rsidRPr="00BC7BC5">
        <w:rPr>
          <w:rFonts w:ascii="Arial" w:hAnsi="Arial" w:cs="Arial"/>
          <w:sz w:val="22"/>
          <w:szCs w:val="22"/>
          <w:lang w:val="en-GB"/>
        </w:rPr>
        <w:t>MBRRACE-UK (2022)</w:t>
      </w:r>
      <w:r w:rsidRPr="00BC7BC5">
        <w:rPr>
          <w:rFonts w:ascii="Arial" w:hAnsi="Arial" w:cs="Arial"/>
          <w:i/>
          <w:iCs/>
          <w:sz w:val="22"/>
          <w:szCs w:val="22"/>
          <w:lang w:val="en-GB"/>
        </w:rPr>
        <w:t xml:space="preserve"> Saving Lives, Improving Mothers’ Care</w:t>
      </w:r>
      <w:r w:rsidRPr="00BC7BC5">
        <w:rPr>
          <w:rFonts w:ascii="Arial" w:hAnsi="Arial" w:cs="Arial"/>
          <w:sz w:val="22"/>
          <w:szCs w:val="22"/>
          <w:lang w:val="en-GB"/>
        </w:rPr>
        <w:t xml:space="preserve">. Available at: </w:t>
      </w:r>
      <w:hyperlink r:id="rId20" w:history="1">
        <w:r w:rsidRPr="00BC7BC5">
          <w:rPr>
            <w:rStyle w:val="Hyperlink"/>
            <w:rFonts w:ascii="Arial" w:hAnsi="Arial" w:cs="Arial"/>
            <w:sz w:val="22"/>
            <w:szCs w:val="22"/>
            <w:lang w:val="en-GB"/>
          </w:rPr>
          <w:t>https://www.npeu.ox.ac.uk/assets/downloads/mbrrace-uk/reports/maternal-report-2022/MBRRACE-UK_Maternal_CORE_Report_2022_v10.pdf</w:t>
        </w:r>
      </w:hyperlink>
      <w:r w:rsidRPr="00BC7BC5">
        <w:rPr>
          <w:rFonts w:ascii="Arial" w:hAnsi="Arial" w:cs="Arial"/>
          <w:sz w:val="22"/>
          <w:szCs w:val="22"/>
          <w:lang w:val="en-GB"/>
        </w:rPr>
        <w:t>.</w:t>
      </w:r>
      <w:r>
        <w:rPr>
          <w:rFonts w:ascii="Arial" w:hAnsi="Arial" w:cs="Arial"/>
          <w:sz w:val="22"/>
          <w:szCs w:val="22"/>
          <w:lang w:val="en-GB"/>
        </w:rPr>
        <w:t xml:space="preserve"> (Accessed:</w:t>
      </w:r>
    </w:p>
    <w:p w14:paraId="0DF031BC" w14:textId="77777777" w:rsidR="00DF3F3C" w:rsidRPr="00FD3699" w:rsidRDefault="00DF3F3C" w:rsidP="005D7077">
      <w:pPr>
        <w:spacing w:line="360" w:lineRule="auto"/>
        <w:ind w:left="720" w:hanging="720"/>
        <w:rPr>
          <w:rFonts w:ascii="Arial" w:hAnsi="Arial" w:cs="Arial"/>
          <w:sz w:val="22"/>
          <w:szCs w:val="22"/>
          <w:lang w:val="en-GB"/>
        </w:rPr>
      </w:pPr>
      <w:r w:rsidRPr="00FD3699">
        <w:rPr>
          <w:rFonts w:ascii="Arial" w:hAnsi="Arial" w:cs="Arial"/>
          <w:sz w:val="22"/>
          <w:szCs w:val="22"/>
          <w:lang w:val="en-GB"/>
        </w:rPr>
        <w:t xml:space="preserve">McCann, P. (2020) </w:t>
      </w:r>
      <w:r>
        <w:rPr>
          <w:rFonts w:ascii="Arial" w:hAnsi="Arial" w:cs="Arial"/>
          <w:sz w:val="22"/>
          <w:szCs w:val="22"/>
          <w:lang w:val="en-GB"/>
        </w:rPr>
        <w:t>‘</w:t>
      </w:r>
      <w:r w:rsidRPr="00FD3699">
        <w:rPr>
          <w:rFonts w:ascii="Arial" w:hAnsi="Arial" w:cs="Arial"/>
          <w:sz w:val="22"/>
          <w:szCs w:val="22"/>
          <w:lang w:val="en-GB"/>
        </w:rPr>
        <w:t>Perceptions of Regional Inequality and the Geography of Discontent: Insights from the UK</w:t>
      </w:r>
      <w:r>
        <w:rPr>
          <w:rFonts w:ascii="Arial" w:hAnsi="Arial" w:cs="Arial"/>
          <w:sz w:val="22"/>
          <w:szCs w:val="22"/>
          <w:lang w:val="en-GB"/>
        </w:rPr>
        <w:t>’,</w:t>
      </w:r>
      <w:r w:rsidRPr="00FD3699">
        <w:rPr>
          <w:rFonts w:ascii="Arial" w:hAnsi="Arial" w:cs="Arial"/>
          <w:sz w:val="22"/>
          <w:szCs w:val="22"/>
          <w:lang w:val="en-GB"/>
        </w:rPr>
        <w:t xml:space="preserve"> </w:t>
      </w:r>
      <w:r w:rsidRPr="00FD3699">
        <w:rPr>
          <w:rFonts w:ascii="Arial" w:hAnsi="Arial" w:cs="Arial"/>
          <w:i/>
          <w:iCs/>
          <w:sz w:val="22"/>
          <w:szCs w:val="22"/>
          <w:lang w:val="en-GB"/>
        </w:rPr>
        <w:t>Regional Studies</w:t>
      </w:r>
      <w:r w:rsidRPr="00FD3699">
        <w:rPr>
          <w:rFonts w:ascii="Arial" w:hAnsi="Arial" w:cs="Arial"/>
          <w:sz w:val="22"/>
          <w:szCs w:val="22"/>
          <w:lang w:val="en-GB"/>
        </w:rPr>
        <w:t xml:space="preserve">, 54(2), pp.256–267. </w:t>
      </w:r>
    </w:p>
    <w:p w14:paraId="52B0A5E1" w14:textId="77777777" w:rsidR="00DF3F3C" w:rsidRDefault="00DF3F3C" w:rsidP="005D7077">
      <w:pPr>
        <w:spacing w:line="360" w:lineRule="auto"/>
        <w:ind w:left="720" w:hanging="720"/>
        <w:rPr>
          <w:rFonts w:ascii="Arial" w:hAnsi="Arial" w:cs="Arial"/>
          <w:sz w:val="22"/>
          <w:szCs w:val="22"/>
          <w:lang w:val="en-GB"/>
        </w:rPr>
      </w:pPr>
      <w:r w:rsidRPr="0049409D">
        <w:rPr>
          <w:rFonts w:ascii="Arial" w:hAnsi="Arial" w:cs="Arial"/>
          <w:sz w:val="22"/>
          <w:szCs w:val="22"/>
          <w:lang w:val="en-GB"/>
        </w:rPr>
        <w:t>McLeroy, K.R.,</w:t>
      </w:r>
      <w:r>
        <w:rPr>
          <w:rFonts w:ascii="Arial" w:hAnsi="Arial" w:cs="Arial"/>
          <w:sz w:val="22"/>
          <w:szCs w:val="22"/>
          <w:lang w:val="en-GB"/>
        </w:rPr>
        <w:t xml:space="preserve"> et al.</w:t>
      </w:r>
      <w:r w:rsidRPr="0049409D">
        <w:rPr>
          <w:rFonts w:ascii="Arial" w:hAnsi="Arial" w:cs="Arial"/>
          <w:sz w:val="22"/>
          <w:szCs w:val="22"/>
          <w:lang w:val="en-GB"/>
        </w:rPr>
        <w:t xml:space="preserve"> (1988) </w:t>
      </w:r>
      <w:r>
        <w:rPr>
          <w:rFonts w:ascii="Arial" w:hAnsi="Arial" w:cs="Arial"/>
          <w:sz w:val="22"/>
          <w:szCs w:val="22"/>
          <w:lang w:val="en-GB"/>
        </w:rPr>
        <w:t>‘</w:t>
      </w:r>
      <w:r w:rsidRPr="0049409D">
        <w:rPr>
          <w:rFonts w:ascii="Arial" w:hAnsi="Arial" w:cs="Arial"/>
          <w:sz w:val="22"/>
          <w:szCs w:val="22"/>
          <w:lang w:val="en-GB"/>
        </w:rPr>
        <w:t>An Ecological Perspective on Health Promotion Programs</w:t>
      </w:r>
      <w:r>
        <w:rPr>
          <w:rFonts w:ascii="Arial" w:hAnsi="Arial" w:cs="Arial"/>
          <w:sz w:val="22"/>
          <w:szCs w:val="22"/>
          <w:lang w:val="en-GB"/>
        </w:rPr>
        <w:t>’,</w:t>
      </w:r>
      <w:r w:rsidRPr="0049409D">
        <w:rPr>
          <w:rFonts w:ascii="Arial" w:hAnsi="Arial" w:cs="Arial"/>
          <w:sz w:val="22"/>
          <w:szCs w:val="22"/>
          <w:lang w:val="en-GB"/>
        </w:rPr>
        <w:t xml:space="preserve"> </w:t>
      </w:r>
      <w:r w:rsidRPr="0049409D">
        <w:rPr>
          <w:rFonts w:ascii="Arial" w:hAnsi="Arial" w:cs="Arial"/>
          <w:i/>
          <w:iCs/>
          <w:sz w:val="22"/>
          <w:szCs w:val="22"/>
          <w:lang w:val="en-GB"/>
        </w:rPr>
        <w:t>Health Education Quarterly</w:t>
      </w:r>
      <w:r w:rsidRPr="0049409D">
        <w:rPr>
          <w:rFonts w:ascii="Arial" w:hAnsi="Arial" w:cs="Arial"/>
          <w:sz w:val="22"/>
          <w:szCs w:val="22"/>
          <w:lang w:val="en-GB"/>
        </w:rPr>
        <w:t xml:space="preserve">, 15(4), pp.351–377. </w:t>
      </w:r>
    </w:p>
    <w:p w14:paraId="5DD8857F" w14:textId="77777777" w:rsidR="00DF3F3C" w:rsidRPr="0075256A" w:rsidRDefault="00DF3F3C" w:rsidP="005D7077">
      <w:pPr>
        <w:spacing w:line="360" w:lineRule="auto"/>
        <w:ind w:left="720" w:hanging="720"/>
        <w:rPr>
          <w:rFonts w:ascii="Arial" w:hAnsi="Arial" w:cs="Arial"/>
          <w:sz w:val="22"/>
          <w:szCs w:val="22"/>
          <w:lang w:val="en-GB"/>
        </w:rPr>
      </w:pPr>
      <w:r w:rsidRPr="0075256A">
        <w:rPr>
          <w:rFonts w:ascii="Arial" w:hAnsi="Arial" w:cs="Arial"/>
          <w:sz w:val="22"/>
          <w:szCs w:val="22"/>
          <w:lang w:val="en-GB"/>
        </w:rPr>
        <w:t xml:space="preserve">NHS England (2019) </w:t>
      </w:r>
      <w:r w:rsidRPr="0075256A">
        <w:rPr>
          <w:rFonts w:ascii="Arial" w:hAnsi="Arial" w:cs="Arial"/>
          <w:i/>
          <w:iCs/>
          <w:sz w:val="22"/>
          <w:szCs w:val="22"/>
          <w:lang w:val="en-GB"/>
        </w:rPr>
        <w:t>NHS Long Term Plan</w:t>
      </w:r>
      <w:r w:rsidRPr="0075256A">
        <w:rPr>
          <w:rFonts w:ascii="Arial" w:hAnsi="Arial" w:cs="Arial"/>
          <w:sz w:val="22"/>
          <w:szCs w:val="22"/>
          <w:lang w:val="en-GB"/>
        </w:rPr>
        <w:t xml:space="preserve">. Available at: </w:t>
      </w:r>
      <w:hyperlink r:id="rId21" w:history="1">
        <w:r w:rsidRPr="0075256A">
          <w:rPr>
            <w:rStyle w:val="Hyperlink"/>
            <w:rFonts w:ascii="Arial" w:hAnsi="Arial" w:cs="Arial"/>
            <w:sz w:val="22"/>
            <w:szCs w:val="22"/>
            <w:lang w:val="en-GB"/>
          </w:rPr>
          <w:t>https://www.longtermplan.nhs.uk/</w:t>
        </w:r>
      </w:hyperlink>
      <w:r w:rsidRPr="0075256A">
        <w:rPr>
          <w:rFonts w:ascii="Arial" w:hAnsi="Arial" w:cs="Arial"/>
          <w:sz w:val="22"/>
          <w:szCs w:val="22"/>
          <w:lang w:val="en-GB"/>
        </w:rPr>
        <w:t xml:space="preserve">. (Accessed: </w:t>
      </w:r>
      <w:r>
        <w:rPr>
          <w:rFonts w:ascii="Arial" w:hAnsi="Arial" w:cs="Arial"/>
          <w:sz w:val="22"/>
          <w:szCs w:val="22"/>
          <w:lang w:val="en-GB"/>
        </w:rPr>
        <w:t>4</w:t>
      </w:r>
      <w:r w:rsidRPr="001D2858">
        <w:rPr>
          <w:rFonts w:ascii="Arial" w:hAnsi="Arial" w:cs="Arial"/>
          <w:sz w:val="22"/>
          <w:szCs w:val="22"/>
          <w:vertAlign w:val="superscript"/>
          <w:lang w:val="en-GB"/>
        </w:rPr>
        <w:t>th</w:t>
      </w:r>
      <w:r>
        <w:rPr>
          <w:rFonts w:ascii="Arial" w:hAnsi="Arial" w:cs="Arial"/>
          <w:sz w:val="22"/>
          <w:szCs w:val="22"/>
          <w:lang w:val="en-GB"/>
        </w:rPr>
        <w:t xml:space="preserve"> March 2026).</w:t>
      </w:r>
    </w:p>
    <w:p w14:paraId="56865465" w14:textId="77777777" w:rsidR="00DF3F3C" w:rsidRPr="002E39D1" w:rsidRDefault="00DF3F3C" w:rsidP="005D7077">
      <w:pPr>
        <w:spacing w:line="360" w:lineRule="auto"/>
        <w:ind w:left="720" w:hanging="720"/>
        <w:rPr>
          <w:rFonts w:ascii="Arial" w:hAnsi="Arial" w:cs="Arial"/>
          <w:sz w:val="22"/>
          <w:szCs w:val="22"/>
          <w:lang w:val="en-GB"/>
        </w:rPr>
      </w:pPr>
      <w:r w:rsidRPr="002E39D1">
        <w:rPr>
          <w:rFonts w:ascii="Arial" w:hAnsi="Arial" w:cs="Arial"/>
          <w:sz w:val="22"/>
          <w:szCs w:val="22"/>
          <w:lang w:val="en-GB"/>
        </w:rPr>
        <w:t xml:space="preserve">NHS Providers (2023) </w:t>
      </w:r>
      <w:r w:rsidRPr="002E39D1">
        <w:rPr>
          <w:rFonts w:ascii="Arial" w:hAnsi="Arial" w:cs="Arial"/>
          <w:i/>
          <w:iCs/>
          <w:sz w:val="22"/>
          <w:szCs w:val="22"/>
          <w:lang w:val="en-GB"/>
        </w:rPr>
        <w:t>Understanding the scale of the challenge</w:t>
      </w:r>
      <w:r w:rsidRPr="002E39D1">
        <w:rPr>
          <w:rFonts w:ascii="Arial" w:hAnsi="Arial" w:cs="Arial"/>
          <w:sz w:val="22"/>
          <w:szCs w:val="22"/>
          <w:lang w:val="en-GB"/>
        </w:rPr>
        <w:t>.</w:t>
      </w:r>
      <w:r>
        <w:rPr>
          <w:rFonts w:ascii="Arial" w:hAnsi="Arial" w:cs="Arial"/>
          <w:sz w:val="22"/>
          <w:szCs w:val="22"/>
          <w:lang w:val="en-GB"/>
        </w:rPr>
        <w:t xml:space="preserve"> </w:t>
      </w:r>
      <w:r w:rsidRPr="002E39D1">
        <w:rPr>
          <w:rFonts w:ascii="Arial" w:hAnsi="Arial" w:cs="Arial"/>
          <w:sz w:val="22"/>
          <w:szCs w:val="22"/>
          <w:lang w:val="en-GB"/>
        </w:rPr>
        <w:t xml:space="preserve">Available at: </w:t>
      </w:r>
      <w:hyperlink r:id="rId22" w:history="1">
        <w:r w:rsidRPr="002E39D1">
          <w:rPr>
            <w:rStyle w:val="Hyperlink"/>
            <w:rFonts w:ascii="Arial" w:hAnsi="Arial" w:cs="Arial"/>
            <w:sz w:val="22"/>
            <w:szCs w:val="22"/>
            <w:lang w:val="en-GB"/>
          </w:rPr>
          <w:t>https://nhsproviders.org/resources/mental-health-delivering-the-three-shifts/understanding-the-scale-of-the-challenge</w:t>
        </w:r>
      </w:hyperlink>
      <w:r>
        <w:rPr>
          <w:rFonts w:ascii="Arial" w:hAnsi="Arial" w:cs="Arial"/>
          <w:sz w:val="22"/>
          <w:szCs w:val="22"/>
          <w:lang w:val="en-GB"/>
        </w:rPr>
        <w:t>. (Accessed: 6</w:t>
      </w:r>
      <w:r w:rsidRPr="001D2858">
        <w:rPr>
          <w:rFonts w:ascii="Arial" w:hAnsi="Arial" w:cs="Arial"/>
          <w:sz w:val="22"/>
          <w:szCs w:val="22"/>
          <w:vertAlign w:val="superscript"/>
          <w:lang w:val="en-GB"/>
        </w:rPr>
        <w:t>th</w:t>
      </w:r>
      <w:r>
        <w:rPr>
          <w:rFonts w:ascii="Arial" w:hAnsi="Arial" w:cs="Arial"/>
          <w:sz w:val="22"/>
          <w:szCs w:val="22"/>
          <w:lang w:val="en-GB"/>
        </w:rPr>
        <w:t xml:space="preserve"> March 2026).</w:t>
      </w:r>
    </w:p>
    <w:p w14:paraId="7A6078CF" w14:textId="77777777" w:rsidR="00DF3F3C" w:rsidRPr="00876B6B" w:rsidRDefault="00DF3F3C" w:rsidP="005D7077">
      <w:pPr>
        <w:spacing w:line="360" w:lineRule="auto"/>
        <w:ind w:left="720" w:hanging="720"/>
        <w:rPr>
          <w:rFonts w:ascii="Arial" w:hAnsi="Arial" w:cs="Arial"/>
          <w:sz w:val="22"/>
          <w:szCs w:val="22"/>
          <w:lang w:val="en-GB"/>
        </w:rPr>
      </w:pPr>
      <w:r w:rsidRPr="00876B6B">
        <w:rPr>
          <w:rFonts w:ascii="Arial" w:hAnsi="Arial" w:cs="Arial"/>
          <w:sz w:val="22"/>
          <w:szCs w:val="22"/>
          <w:lang w:val="en-GB"/>
        </w:rPr>
        <w:t>OECD (2019)</w:t>
      </w:r>
      <w:r>
        <w:rPr>
          <w:rFonts w:ascii="Arial" w:hAnsi="Arial" w:cs="Arial"/>
          <w:sz w:val="22"/>
          <w:szCs w:val="22"/>
          <w:lang w:val="en-GB"/>
        </w:rPr>
        <w:t xml:space="preserve"> </w:t>
      </w:r>
      <w:r w:rsidRPr="00876B6B">
        <w:rPr>
          <w:rFonts w:ascii="Arial" w:hAnsi="Arial" w:cs="Arial"/>
          <w:i/>
          <w:iCs/>
          <w:sz w:val="22"/>
          <w:szCs w:val="22"/>
          <w:lang w:val="en-GB"/>
        </w:rPr>
        <w:t>Under Pressure: The Squeezed Middle Class</w:t>
      </w:r>
      <w:r w:rsidRPr="00876B6B">
        <w:rPr>
          <w:rFonts w:ascii="Arial" w:hAnsi="Arial" w:cs="Arial"/>
          <w:sz w:val="22"/>
          <w:szCs w:val="22"/>
          <w:lang w:val="en-GB"/>
        </w:rPr>
        <w:t xml:space="preserve">. Available at: </w:t>
      </w:r>
      <w:hyperlink r:id="rId23" w:history="1">
        <w:r w:rsidRPr="00876B6B">
          <w:rPr>
            <w:rStyle w:val="Hyperlink"/>
            <w:rFonts w:ascii="Arial" w:hAnsi="Arial" w:cs="Arial"/>
            <w:sz w:val="22"/>
            <w:szCs w:val="22"/>
            <w:lang w:val="en-GB"/>
          </w:rPr>
          <w:t>https://www.oecd.org/content/dam/oecd/en/publications/reports/2019/05/under-pressure-the-squeezed-middle-class_f3fa7167/689afed1-en.pdf</w:t>
        </w:r>
      </w:hyperlink>
      <w:r w:rsidRPr="00876B6B">
        <w:rPr>
          <w:rFonts w:ascii="Arial" w:hAnsi="Arial" w:cs="Arial"/>
          <w:sz w:val="22"/>
          <w:szCs w:val="22"/>
          <w:lang w:val="en-GB"/>
        </w:rPr>
        <w:t>.</w:t>
      </w:r>
      <w:r>
        <w:rPr>
          <w:rFonts w:ascii="Arial" w:hAnsi="Arial" w:cs="Arial"/>
          <w:sz w:val="22"/>
          <w:szCs w:val="22"/>
          <w:lang w:val="en-GB"/>
        </w:rPr>
        <w:t xml:space="preserve"> (Accessed: 9</w:t>
      </w:r>
      <w:r w:rsidRPr="0040325D">
        <w:rPr>
          <w:rFonts w:ascii="Arial" w:hAnsi="Arial" w:cs="Arial"/>
          <w:sz w:val="22"/>
          <w:szCs w:val="22"/>
          <w:vertAlign w:val="superscript"/>
          <w:lang w:val="en-GB"/>
        </w:rPr>
        <w:t>th</w:t>
      </w:r>
      <w:r>
        <w:rPr>
          <w:rFonts w:ascii="Arial" w:hAnsi="Arial" w:cs="Arial"/>
          <w:sz w:val="22"/>
          <w:szCs w:val="22"/>
          <w:lang w:val="en-GB"/>
        </w:rPr>
        <w:t xml:space="preserve"> March 2026).</w:t>
      </w:r>
    </w:p>
    <w:p w14:paraId="6207A066" w14:textId="77777777" w:rsidR="00DF3F3C" w:rsidRDefault="00DF3F3C" w:rsidP="005D7077">
      <w:pPr>
        <w:spacing w:line="360" w:lineRule="auto"/>
        <w:ind w:left="720" w:hanging="720"/>
        <w:rPr>
          <w:rFonts w:ascii="Arial" w:hAnsi="Arial" w:cs="Arial"/>
          <w:sz w:val="22"/>
          <w:szCs w:val="22"/>
          <w:lang w:val="en-GB"/>
        </w:rPr>
      </w:pPr>
      <w:r w:rsidRPr="00C7283D">
        <w:rPr>
          <w:rFonts w:ascii="Arial" w:hAnsi="Arial" w:cs="Arial"/>
          <w:sz w:val="22"/>
          <w:szCs w:val="22"/>
          <w:lang w:val="en-GB"/>
        </w:rPr>
        <w:t>Patterson, C. (2021)</w:t>
      </w:r>
      <w:r>
        <w:rPr>
          <w:rFonts w:ascii="Arial" w:hAnsi="Arial" w:cs="Arial"/>
          <w:sz w:val="22"/>
          <w:szCs w:val="22"/>
          <w:lang w:val="en-GB"/>
        </w:rPr>
        <w:t xml:space="preserve"> </w:t>
      </w:r>
      <w:r w:rsidRPr="00C7283D">
        <w:rPr>
          <w:rFonts w:ascii="Arial" w:hAnsi="Arial" w:cs="Arial"/>
          <w:i/>
          <w:iCs/>
          <w:sz w:val="22"/>
          <w:szCs w:val="22"/>
          <w:lang w:val="en-GB"/>
        </w:rPr>
        <w:t>Make the NHS universal again</w:t>
      </w:r>
      <w:r w:rsidRPr="00C7283D">
        <w:rPr>
          <w:rFonts w:ascii="Arial" w:hAnsi="Arial" w:cs="Arial"/>
          <w:sz w:val="22"/>
          <w:szCs w:val="22"/>
          <w:lang w:val="en-GB"/>
        </w:rPr>
        <w:t xml:space="preserve">. Available at: </w:t>
      </w:r>
      <w:hyperlink r:id="rId24" w:history="1">
        <w:r w:rsidRPr="00C7283D">
          <w:rPr>
            <w:rStyle w:val="Hyperlink"/>
            <w:rFonts w:ascii="Arial" w:hAnsi="Arial" w:cs="Arial"/>
            <w:sz w:val="22"/>
            <w:szCs w:val="22"/>
            <w:lang w:val="en-GB"/>
          </w:rPr>
          <w:t>https://www.bma.org.uk/news-and-opinion/make-the-nhs-universal-again</w:t>
        </w:r>
      </w:hyperlink>
      <w:r w:rsidRPr="00C7283D">
        <w:rPr>
          <w:rFonts w:ascii="Arial" w:hAnsi="Arial" w:cs="Arial"/>
          <w:sz w:val="22"/>
          <w:szCs w:val="22"/>
          <w:lang w:val="en-GB"/>
        </w:rPr>
        <w:t>.</w:t>
      </w:r>
      <w:r>
        <w:rPr>
          <w:rFonts w:ascii="Arial" w:hAnsi="Arial" w:cs="Arial"/>
          <w:sz w:val="22"/>
          <w:szCs w:val="22"/>
          <w:lang w:val="en-GB"/>
        </w:rPr>
        <w:t xml:space="preserve"> (Accessed: 25</w:t>
      </w:r>
      <w:r w:rsidRPr="002B01FE">
        <w:rPr>
          <w:rFonts w:ascii="Arial" w:hAnsi="Arial" w:cs="Arial"/>
          <w:sz w:val="22"/>
          <w:szCs w:val="22"/>
          <w:vertAlign w:val="superscript"/>
          <w:lang w:val="en-GB"/>
        </w:rPr>
        <w:t>th</w:t>
      </w:r>
      <w:r>
        <w:rPr>
          <w:rFonts w:ascii="Arial" w:hAnsi="Arial" w:cs="Arial"/>
          <w:sz w:val="22"/>
          <w:szCs w:val="22"/>
          <w:lang w:val="en-GB"/>
        </w:rPr>
        <w:t xml:space="preserve"> February 2026).</w:t>
      </w:r>
    </w:p>
    <w:p w14:paraId="59A144FE" w14:textId="77777777" w:rsidR="00DF3F3C" w:rsidRPr="00F31D96" w:rsidRDefault="00DF3F3C" w:rsidP="005D7077">
      <w:pPr>
        <w:spacing w:line="360" w:lineRule="auto"/>
        <w:ind w:left="720" w:hanging="720"/>
        <w:rPr>
          <w:rFonts w:ascii="Arial" w:hAnsi="Arial" w:cs="Arial"/>
          <w:sz w:val="22"/>
          <w:szCs w:val="22"/>
          <w:lang w:val="en-GB"/>
        </w:rPr>
      </w:pPr>
      <w:r w:rsidRPr="00F31D96">
        <w:rPr>
          <w:rFonts w:ascii="Arial" w:hAnsi="Arial" w:cs="Arial"/>
          <w:sz w:val="22"/>
          <w:szCs w:val="22"/>
          <w:lang w:val="en-GB"/>
        </w:rPr>
        <w:t>Popay, J., Whitehead, M.</w:t>
      </w:r>
      <w:r>
        <w:rPr>
          <w:rFonts w:ascii="Arial" w:hAnsi="Arial" w:cs="Arial"/>
          <w:sz w:val="22"/>
          <w:szCs w:val="22"/>
          <w:lang w:val="en-GB"/>
        </w:rPr>
        <w:t xml:space="preserve">, </w:t>
      </w:r>
      <w:r w:rsidRPr="00F31D96">
        <w:rPr>
          <w:rFonts w:ascii="Arial" w:hAnsi="Arial" w:cs="Arial"/>
          <w:sz w:val="22"/>
          <w:szCs w:val="22"/>
          <w:lang w:val="en-GB"/>
        </w:rPr>
        <w:t xml:space="preserve">Hunter, D.J. (2010) </w:t>
      </w:r>
      <w:r>
        <w:rPr>
          <w:rFonts w:ascii="Arial" w:hAnsi="Arial" w:cs="Arial"/>
          <w:sz w:val="22"/>
          <w:szCs w:val="22"/>
          <w:lang w:val="en-GB"/>
        </w:rPr>
        <w:t>‘</w:t>
      </w:r>
      <w:r w:rsidRPr="00F31D96">
        <w:rPr>
          <w:rFonts w:ascii="Arial" w:hAnsi="Arial" w:cs="Arial"/>
          <w:sz w:val="22"/>
          <w:szCs w:val="22"/>
          <w:lang w:val="en-GB"/>
        </w:rPr>
        <w:t>Injustice is killing people on a large scale-</w:t>
      </w:r>
      <w:r>
        <w:rPr>
          <w:rFonts w:ascii="Arial" w:hAnsi="Arial" w:cs="Arial"/>
          <w:sz w:val="22"/>
          <w:szCs w:val="22"/>
          <w:lang w:val="en-GB"/>
        </w:rPr>
        <w:t xml:space="preserve"> </w:t>
      </w:r>
      <w:r w:rsidRPr="00F31D96">
        <w:rPr>
          <w:rFonts w:ascii="Arial" w:hAnsi="Arial" w:cs="Arial"/>
          <w:sz w:val="22"/>
          <w:szCs w:val="22"/>
          <w:lang w:val="en-GB"/>
        </w:rPr>
        <w:t>but what is to be done about it?</w:t>
      </w:r>
      <w:r>
        <w:rPr>
          <w:rFonts w:ascii="Arial" w:hAnsi="Arial" w:cs="Arial"/>
          <w:sz w:val="22"/>
          <w:szCs w:val="22"/>
          <w:lang w:val="en-GB"/>
        </w:rPr>
        <w:t>’,</w:t>
      </w:r>
      <w:r w:rsidRPr="00F31D96">
        <w:rPr>
          <w:rFonts w:ascii="Arial" w:hAnsi="Arial" w:cs="Arial"/>
          <w:sz w:val="22"/>
          <w:szCs w:val="22"/>
          <w:lang w:val="en-GB"/>
        </w:rPr>
        <w:t xml:space="preserve"> </w:t>
      </w:r>
      <w:r w:rsidRPr="00F31D96">
        <w:rPr>
          <w:rFonts w:ascii="Arial" w:hAnsi="Arial" w:cs="Arial"/>
          <w:i/>
          <w:iCs/>
          <w:sz w:val="22"/>
          <w:szCs w:val="22"/>
          <w:lang w:val="en-GB"/>
        </w:rPr>
        <w:t>Journal of Public Health</w:t>
      </w:r>
      <w:r w:rsidRPr="00F31D96">
        <w:rPr>
          <w:rFonts w:ascii="Arial" w:hAnsi="Arial" w:cs="Arial"/>
          <w:sz w:val="22"/>
          <w:szCs w:val="22"/>
          <w:lang w:val="en-GB"/>
        </w:rPr>
        <w:t xml:space="preserve">, 32(2), pp.148–149. </w:t>
      </w:r>
    </w:p>
    <w:p w14:paraId="1AE0993F" w14:textId="77777777" w:rsidR="00DF3F3C" w:rsidRDefault="00DF3F3C" w:rsidP="005D7077">
      <w:pPr>
        <w:spacing w:line="360" w:lineRule="auto"/>
        <w:ind w:left="720" w:hanging="720"/>
        <w:rPr>
          <w:rFonts w:ascii="Arial" w:hAnsi="Arial" w:cs="Arial"/>
          <w:sz w:val="22"/>
          <w:szCs w:val="22"/>
          <w:lang w:val="en-GB"/>
        </w:rPr>
      </w:pPr>
      <w:r w:rsidRPr="001778DC">
        <w:rPr>
          <w:rFonts w:ascii="Arial" w:hAnsi="Arial" w:cs="Arial"/>
          <w:sz w:val="22"/>
          <w:szCs w:val="22"/>
          <w:lang w:val="en-GB"/>
        </w:rPr>
        <w:t xml:space="preserve">Public Health England (2020) </w:t>
      </w:r>
      <w:r w:rsidRPr="001778DC">
        <w:rPr>
          <w:rFonts w:ascii="Arial" w:hAnsi="Arial" w:cs="Arial"/>
          <w:i/>
          <w:iCs/>
          <w:sz w:val="22"/>
          <w:szCs w:val="22"/>
          <w:lang w:val="en-GB"/>
        </w:rPr>
        <w:t>Disparities in the risk and outcomes of COVID-19</w:t>
      </w:r>
      <w:r w:rsidRPr="001778DC">
        <w:rPr>
          <w:rFonts w:ascii="Arial" w:hAnsi="Arial" w:cs="Arial"/>
          <w:sz w:val="22"/>
          <w:szCs w:val="22"/>
          <w:lang w:val="en-GB"/>
        </w:rPr>
        <w:t>. Available at:</w:t>
      </w:r>
      <w:r>
        <w:rPr>
          <w:rFonts w:ascii="Arial" w:hAnsi="Arial" w:cs="Arial"/>
          <w:sz w:val="22"/>
          <w:szCs w:val="22"/>
          <w:lang w:val="en-GB"/>
        </w:rPr>
        <w:t xml:space="preserve"> </w:t>
      </w:r>
      <w:hyperlink r:id="rId25" w:history="1">
        <w:r w:rsidRPr="001778DC">
          <w:rPr>
            <w:rStyle w:val="Hyperlink"/>
            <w:rFonts w:ascii="Arial" w:hAnsi="Arial" w:cs="Arial"/>
            <w:sz w:val="22"/>
            <w:szCs w:val="22"/>
            <w:lang w:val="en-GB"/>
          </w:rPr>
          <w:t>https://assets.publishing.service.gov.uk/media/5f328354d3bf7f1b12a7023a/Disparities_in_the_risk_and_outcomes_of_COVID_August_2020_update.pdf</w:t>
        </w:r>
      </w:hyperlink>
      <w:r w:rsidRPr="001778DC">
        <w:rPr>
          <w:rFonts w:ascii="Arial" w:hAnsi="Arial" w:cs="Arial"/>
          <w:sz w:val="22"/>
          <w:szCs w:val="22"/>
          <w:lang w:val="en-GB"/>
        </w:rPr>
        <w:t>.</w:t>
      </w:r>
      <w:r>
        <w:rPr>
          <w:rFonts w:ascii="Arial" w:hAnsi="Arial" w:cs="Arial"/>
          <w:sz w:val="22"/>
          <w:szCs w:val="22"/>
          <w:lang w:val="en-GB"/>
        </w:rPr>
        <w:t xml:space="preserve"> (Accessed: 3</w:t>
      </w:r>
      <w:r w:rsidRPr="00F262FA">
        <w:rPr>
          <w:rFonts w:ascii="Arial" w:hAnsi="Arial" w:cs="Arial"/>
          <w:sz w:val="22"/>
          <w:szCs w:val="22"/>
          <w:vertAlign w:val="superscript"/>
          <w:lang w:val="en-GB"/>
        </w:rPr>
        <w:t>rd</w:t>
      </w:r>
      <w:r>
        <w:rPr>
          <w:rFonts w:ascii="Arial" w:hAnsi="Arial" w:cs="Arial"/>
          <w:sz w:val="22"/>
          <w:szCs w:val="22"/>
          <w:lang w:val="en-GB"/>
        </w:rPr>
        <w:t xml:space="preserve"> March 2026).</w:t>
      </w:r>
    </w:p>
    <w:p w14:paraId="3563B89D" w14:textId="77777777" w:rsidR="00DF3F3C" w:rsidRDefault="00DF3F3C" w:rsidP="005D7077">
      <w:pPr>
        <w:spacing w:line="360" w:lineRule="auto"/>
        <w:ind w:left="720" w:hanging="720"/>
        <w:rPr>
          <w:rFonts w:ascii="Arial" w:hAnsi="Arial" w:cs="Arial"/>
          <w:sz w:val="22"/>
          <w:szCs w:val="22"/>
          <w:lang w:val="en-GB"/>
        </w:rPr>
      </w:pPr>
      <w:r w:rsidRPr="00C7283D">
        <w:rPr>
          <w:rFonts w:ascii="Arial" w:hAnsi="Arial" w:cs="Arial"/>
          <w:sz w:val="22"/>
          <w:szCs w:val="22"/>
          <w:lang w:val="en-GB"/>
        </w:rPr>
        <w:lastRenderedPageBreak/>
        <w:t>Swannack, M.</w:t>
      </w:r>
      <w:r>
        <w:rPr>
          <w:rFonts w:ascii="Arial" w:hAnsi="Arial" w:cs="Arial"/>
          <w:sz w:val="22"/>
          <w:szCs w:val="22"/>
          <w:lang w:val="en-GB"/>
        </w:rPr>
        <w:t xml:space="preserve">, </w:t>
      </w:r>
      <w:r w:rsidRPr="00C7283D">
        <w:rPr>
          <w:rFonts w:ascii="Arial" w:hAnsi="Arial" w:cs="Arial"/>
          <w:sz w:val="22"/>
          <w:szCs w:val="22"/>
          <w:lang w:val="en-GB"/>
        </w:rPr>
        <w:t xml:space="preserve">Appleby, B. (2019) </w:t>
      </w:r>
      <w:r w:rsidRPr="00C7283D">
        <w:rPr>
          <w:rFonts w:ascii="Arial" w:hAnsi="Arial" w:cs="Arial"/>
          <w:i/>
          <w:iCs/>
          <w:sz w:val="22"/>
          <w:szCs w:val="22"/>
          <w:lang w:val="en-GB"/>
        </w:rPr>
        <w:t>Models of Health</w:t>
      </w:r>
      <w:proofErr w:type="gramStart"/>
      <w:r w:rsidRPr="00C7283D">
        <w:rPr>
          <w:rFonts w:ascii="Arial" w:hAnsi="Arial" w:cs="Arial"/>
          <w:sz w:val="22"/>
          <w:szCs w:val="22"/>
          <w:lang w:val="en-GB"/>
        </w:rPr>
        <w:t xml:space="preserve">.  </w:t>
      </w:r>
      <w:proofErr w:type="gramEnd"/>
      <w:r w:rsidRPr="00C7283D">
        <w:rPr>
          <w:rFonts w:ascii="Arial" w:hAnsi="Arial" w:cs="Arial"/>
          <w:sz w:val="22"/>
          <w:szCs w:val="22"/>
          <w:lang w:val="en-GB"/>
        </w:rPr>
        <w:t xml:space="preserve">Available at: </w:t>
      </w:r>
      <w:hyperlink r:id="rId26" w:history="1">
        <w:r w:rsidRPr="00C7283D">
          <w:rPr>
            <w:rStyle w:val="Hyperlink"/>
            <w:rFonts w:ascii="Arial" w:hAnsi="Arial" w:cs="Arial"/>
            <w:sz w:val="22"/>
            <w:szCs w:val="22"/>
            <w:lang w:val="en-GB"/>
          </w:rPr>
          <w:t>https://simplemed.co.uk/subjects/population-and-social-science/models-of-health</w:t>
        </w:r>
      </w:hyperlink>
      <w:r>
        <w:rPr>
          <w:rFonts w:ascii="Arial" w:hAnsi="Arial" w:cs="Arial"/>
          <w:sz w:val="22"/>
          <w:szCs w:val="22"/>
          <w:lang w:val="en-GB"/>
        </w:rPr>
        <w:t>. (Accessed: 23</w:t>
      </w:r>
      <w:r w:rsidRPr="002B01FE">
        <w:rPr>
          <w:rFonts w:ascii="Arial" w:hAnsi="Arial" w:cs="Arial"/>
          <w:sz w:val="22"/>
          <w:szCs w:val="22"/>
          <w:vertAlign w:val="superscript"/>
          <w:lang w:val="en-GB"/>
        </w:rPr>
        <w:t>rd</w:t>
      </w:r>
      <w:r>
        <w:rPr>
          <w:rFonts w:ascii="Arial" w:hAnsi="Arial" w:cs="Arial"/>
          <w:sz w:val="22"/>
          <w:szCs w:val="22"/>
          <w:lang w:val="en-GB"/>
        </w:rPr>
        <w:t xml:space="preserve"> February 2026).</w:t>
      </w:r>
    </w:p>
    <w:p w14:paraId="4DAE37C0" w14:textId="77777777" w:rsidR="00DF3F3C" w:rsidRDefault="00DF3F3C" w:rsidP="005D7077">
      <w:pPr>
        <w:spacing w:line="360" w:lineRule="auto"/>
        <w:ind w:left="720" w:hanging="720"/>
        <w:rPr>
          <w:rFonts w:ascii="Arial" w:hAnsi="Arial" w:cs="Arial"/>
          <w:sz w:val="22"/>
          <w:szCs w:val="22"/>
          <w:lang w:val="en-GB"/>
        </w:rPr>
      </w:pPr>
      <w:r w:rsidRPr="00335CB7">
        <w:rPr>
          <w:rFonts w:ascii="Arial" w:hAnsi="Arial" w:cs="Arial"/>
          <w:sz w:val="22"/>
          <w:szCs w:val="22"/>
          <w:lang w:val="en-GB"/>
        </w:rPr>
        <w:t xml:space="preserve">The Health Foundation (2022) </w:t>
      </w:r>
      <w:r w:rsidRPr="00335CB7">
        <w:rPr>
          <w:rFonts w:ascii="Arial" w:hAnsi="Arial" w:cs="Arial"/>
          <w:i/>
          <w:iCs/>
          <w:sz w:val="22"/>
          <w:szCs w:val="22"/>
          <w:lang w:val="en-GB"/>
        </w:rPr>
        <w:t>Health inequalities | The Health Foundation</w:t>
      </w:r>
      <w:r w:rsidRPr="00335CB7">
        <w:rPr>
          <w:rFonts w:ascii="Arial" w:hAnsi="Arial" w:cs="Arial"/>
          <w:sz w:val="22"/>
          <w:szCs w:val="22"/>
          <w:lang w:val="en-GB"/>
        </w:rPr>
        <w:t xml:space="preserve">. [online] www.health.org.uk. Available at: </w:t>
      </w:r>
      <w:hyperlink r:id="rId27" w:history="1">
        <w:r w:rsidRPr="00335CB7">
          <w:rPr>
            <w:rStyle w:val="Hyperlink"/>
            <w:rFonts w:ascii="Arial" w:hAnsi="Arial" w:cs="Arial"/>
            <w:sz w:val="22"/>
            <w:szCs w:val="22"/>
            <w:lang w:val="en-GB"/>
          </w:rPr>
          <w:t>https://www.health.org.uk/evidence-hub/health-inequalities</w:t>
        </w:r>
      </w:hyperlink>
      <w:r w:rsidRPr="00335CB7">
        <w:rPr>
          <w:rFonts w:ascii="Arial" w:hAnsi="Arial" w:cs="Arial"/>
          <w:sz w:val="22"/>
          <w:szCs w:val="22"/>
          <w:lang w:val="en-GB"/>
        </w:rPr>
        <w:t>.</w:t>
      </w:r>
      <w:r>
        <w:rPr>
          <w:rFonts w:ascii="Arial" w:hAnsi="Arial" w:cs="Arial"/>
          <w:sz w:val="22"/>
          <w:szCs w:val="22"/>
          <w:lang w:val="en-GB"/>
        </w:rPr>
        <w:t xml:space="preserve"> (Accessed: 18</w:t>
      </w:r>
      <w:r w:rsidRPr="00205828">
        <w:rPr>
          <w:rFonts w:ascii="Arial" w:hAnsi="Arial" w:cs="Arial"/>
          <w:sz w:val="22"/>
          <w:szCs w:val="22"/>
          <w:vertAlign w:val="superscript"/>
          <w:lang w:val="en-GB"/>
        </w:rPr>
        <w:t>th</w:t>
      </w:r>
      <w:r>
        <w:rPr>
          <w:rFonts w:ascii="Arial" w:hAnsi="Arial" w:cs="Arial"/>
          <w:sz w:val="22"/>
          <w:szCs w:val="22"/>
          <w:lang w:val="en-GB"/>
        </w:rPr>
        <w:t xml:space="preserve"> February 2026).</w:t>
      </w:r>
    </w:p>
    <w:p w14:paraId="2F9D9CFD" w14:textId="77777777" w:rsidR="00DF3F3C" w:rsidRPr="005F6C7E" w:rsidRDefault="00DF3F3C" w:rsidP="005D7077">
      <w:pPr>
        <w:spacing w:line="360" w:lineRule="auto"/>
        <w:ind w:left="720" w:hanging="720"/>
        <w:rPr>
          <w:rFonts w:ascii="Arial" w:hAnsi="Arial" w:cs="Arial"/>
          <w:sz w:val="22"/>
          <w:szCs w:val="22"/>
          <w:lang w:val="en-GB"/>
        </w:rPr>
      </w:pPr>
      <w:r w:rsidRPr="005F6C7E">
        <w:rPr>
          <w:rFonts w:ascii="Arial" w:hAnsi="Arial" w:cs="Arial"/>
          <w:sz w:val="22"/>
          <w:szCs w:val="22"/>
          <w:lang w:val="en-GB"/>
        </w:rPr>
        <w:t xml:space="preserve">The Health Foundation (2023) </w:t>
      </w:r>
      <w:r w:rsidRPr="005F6C7E">
        <w:rPr>
          <w:rFonts w:ascii="Arial" w:hAnsi="Arial" w:cs="Arial"/>
          <w:i/>
          <w:iCs/>
          <w:sz w:val="22"/>
          <w:szCs w:val="22"/>
          <w:lang w:val="en-GB"/>
        </w:rPr>
        <w:t>Health in 2040: interactive chart projections</w:t>
      </w:r>
      <w:r w:rsidRPr="005F6C7E">
        <w:rPr>
          <w:rFonts w:ascii="Arial" w:hAnsi="Arial" w:cs="Arial"/>
          <w:sz w:val="22"/>
          <w:szCs w:val="22"/>
          <w:lang w:val="en-GB"/>
        </w:rPr>
        <w:t xml:space="preserve">. Available at: </w:t>
      </w:r>
      <w:hyperlink r:id="rId28" w:history="1">
        <w:r w:rsidRPr="005F6C7E">
          <w:rPr>
            <w:rStyle w:val="Hyperlink"/>
            <w:rFonts w:ascii="Arial" w:hAnsi="Arial" w:cs="Arial"/>
            <w:sz w:val="22"/>
            <w:szCs w:val="22"/>
            <w:lang w:val="en-GB"/>
          </w:rPr>
          <w:t>https://www.health.org.uk/features-and-opinion/features/health-in-2040-interactive-chart-projections</w:t>
        </w:r>
      </w:hyperlink>
      <w:r w:rsidRPr="005F6C7E">
        <w:rPr>
          <w:rFonts w:ascii="Arial" w:hAnsi="Arial" w:cs="Arial"/>
          <w:sz w:val="22"/>
          <w:szCs w:val="22"/>
          <w:lang w:val="en-GB"/>
        </w:rPr>
        <w:t>.</w:t>
      </w:r>
      <w:r>
        <w:rPr>
          <w:rFonts w:ascii="Arial" w:hAnsi="Arial" w:cs="Arial"/>
          <w:sz w:val="22"/>
          <w:szCs w:val="22"/>
          <w:lang w:val="en-GB"/>
        </w:rPr>
        <w:t xml:space="preserve"> (Accessed:</w:t>
      </w:r>
    </w:p>
    <w:p w14:paraId="4C9C6063" w14:textId="77777777" w:rsidR="00DF3F3C" w:rsidRPr="0075256A" w:rsidRDefault="00DF3F3C" w:rsidP="005D7077">
      <w:pPr>
        <w:spacing w:line="360" w:lineRule="auto"/>
        <w:ind w:left="720" w:hanging="720"/>
        <w:rPr>
          <w:rFonts w:ascii="Arial" w:hAnsi="Arial" w:cs="Arial"/>
          <w:sz w:val="22"/>
          <w:szCs w:val="22"/>
          <w:lang w:val="en-GB"/>
        </w:rPr>
      </w:pPr>
      <w:r w:rsidRPr="0075256A">
        <w:rPr>
          <w:rFonts w:ascii="Arial" w:hAnsi="Arial" w:cs="Arial"/>
          <w:sz w:val="22"/>
          <w:szCs w:val="22"/>
          <w:lang w:val="en-GB"/>
        </w:rPr>
        <w:t xml:space="preserve">United Nations (2015) </w:t>
      </w:r>
      <w:r w:rsidRPr="0075256A">
        <w:rPr>
          <w:rFonts w:ascii="Arial" w:hAnsi="Arial" w:cs="Arial"/>
          <w:i/>
          <w:iCs/>
          <w:sz w:val="22"/>
          <w:szCs w:val="22"/>
          <w:lang w:val="en-GB"/>
        </w:rPr>
        <w:t>Transforming our world: The 2030 Agenda for Sustainable Development</w:t>
      </w:r>
      <w:r w:rsidRPr="0075256A">
        <w:rPr>
          <w:rFonts w:ascii="Arial" w:hAnsi="Arial" w:cs="Arial"/>
          <w:sz w:val="22"/>
          <w:szCs w:val="22"/>
          <w:lang w:val="en-GB"/>
        </w:rPr>
        <w:t xml:space="preserve">. Available at: </w:t>
      </w:r>
      <w:hyperlink r:id="rId29" w:history="1">
        <w:r w:rsidRPr="0075256A">
          <w:rPr>
            <w:rStyle w:val="Hyperlink"/>
            <w:rFonts w:ascii="Arial" w:hAnsi="Arial" w:cs="Arial"/>
            <w:sz w:val="22"/>
            <w:szCs w:val="22"/>
            <w:lang w:val="en-GB"/>
          </w:rPr>
          <w:t>https://sdgs.un.org/2030agenda</w:t>
        </w:r>
      </w:hyperlink>
      <w:r w:rsidRPr="0075256A">
        <w:rPr>
          <w:rFonts w:ascii="Arial" w:hAnsi="Arial" w:cs="Arial"/>
          <w:sz w:val="22"/>
          <w:szCs w:val="22"/>
          <w:lang w:val="en-GB"/>
        </w:rPr>
        <w:t>.</w:t>
      </w:r>
      <w:r>
        <w:rPr>
          <w:rFonts w:ascii="Arial" w:hAnsi="Arial" w:cs="Arial"/>
          <w:sz w:val="22"/>
          <w:szCs w:val="22"/>
          <w:lang w:val="en-GB"/>
        </w:rPr>
        <w:t xml:space="preserve"> (Accessed: 3</w:t>
      </w:r>
      <w:r w:rsidRPr="001D2858">
        <w:rPr>
          <w:rFonts w:ascii="Arial" w:hAnsi="Arial" w:cs="Arial"/>
          <w:sz w:val="22"/>
          <w:szCs w:val="22"/>
          <w:vertAlign w:val="superscript"/>
          <w:lang w:val="en-GB"/>
        </w:rPr>
        <w:t>rd</w:t>
      </w:r>
      <w:r>
        <w:rPr>
          <w:rFonts w:ascii="Arial" w:hAnsi="Arial" w:cs="Arial"/>
          <w:sz w:val="22"/>
          <w:szCs w:val="22"/>
          <w:lang w:val="en-GB"/>
        </w:rPr>
        <w:t xml:space="preserve"> March 2026).</w:t>
      </w:r>
    </w:p>
    <w:p w14:paraId="262AA4EF" w14:textId="77777777" w:rsidR="00DF3F3C" w:rsidRPr="00FA1E16" w:rsidRDefault="00DF3F3C" w:rsidP="00A13616">
      <w:pPr>
        <w:spacing w:line="360" w:lineRule="auto"/>
        <w:ind w:left="720" w:hanging="720"/>
        <w:rPr>
          <w:rFonts w:ascii="Arial" w:hAnsi="Arial" w:cs="Arial"/>
          <w:sz w:val="22"/>
          <w:szCs w:val="22"/>
          <w:lang w:val="en-GB"/>
        </w:rPr>
      </w:pPr>
      <w:r w:rsidRPr="00C814A1">
        <w:rPr>
          <w:rFonts w:ascii="Arial" w:hAnsi="Arial" w:cs="Arial"/>
          <w:sz w:val="22"/>
          <w:szCs w:val="22"/>
          <w:lang w:val="en-GB"/>
        </w:rPr>
        <w:t>United Nations (2025)</w:t>
      </w:r>
      <w:r>
        <w:rPr>
          <w:rFonts w:ascii="Arial" w:hAnsi="Arial" w:cs="Arial"/>
          <w:i/>
          <w:iCs/>
          <w:sz w:val="22"/>
          <w:szCs w:val="22"/>
          <w:lang w:val="en-GB"/>
        </w:rPr>
        <w:t xml:space="preserve"> </w:t>
      </w:r>
      <w:r w:rsidRPr="00C814A1">
        <w:rPr>
          <w:rFonts w:ascii="Arial" w:hAnsi="Arial" w:cs="Arial"/>
          <w:i/>
          <w:iCs/>
          <w:sz w:val="22"/>
          <w:szCs w:val="22"/>
          <w:lang w:val="en-GB"/>
        </w:rPr>
        <w:t>Sustainability.</w:t>
      </w:r>
      <w:r w:rsidRPr="00C814A1">
        <w:rPr>
          <w:rFonts w:ascii="Arial" w:hAnsi="Arial" w:cs="Arial"/>
          <w:sz w:val="22"/>
          <w:szCs w:val="22"/>
          <w:lang w:val="en-GB"/>
        </w:rPr>
        <w:t xml:space="preserve"> Available at: </w:t>
      </w:r>
      <w:hyperlink r:id="rId30" w:history="1">
        <w:r w:rsidRPr="00C814A1">
          <w:rPr>
            <w:rStyle w:val="Hyperlink"/>
            <w:rFonts w:ascii="Arial" w:hAnsi="Arial" w:cs="Arial"/>
            <w:sz w:val="22"/>
            <w:szCs w:val="22"/>
            <w:lang w:val="en-GB"/>
          </w:rPr>
          <w:t>https://www.un.org/en/academic-impact/sustainability</w:t>
        </w:r>
      </w:hyperlink>
      <w:r>
        <w:rPr>
          <w:rFonts w:ascii="Arial" w:hAnsi="Arial" w:cs="Arial"/>
          <w:sz w:val="22"/>
          <w:szCs w:val="22"/>
          <w:lang w:val="en-GB"/>
        </w:rPr>
        <w:t>. (Accessed: 12</w:t>
      </w:r>
      <w:r w:rsidRPr="00C814A1">
        <w:rPr>
          <w:rFonts w:ascii="Arial" w:hAnsi="Arial" w:cs="Arial"/>
          <w:sz w:val="22"/>
          <w:szCs w:val="22"/>
          <w:vertAlign w:val="superscript"/>
          <w:lang w:val="en-GB"/>
        </w:rPr>
        <w:t>th</w:t>
      </w:r>
      <w:r>
        <w:rPr>
          <w:rFonts w:ascii="Arial" w:hAnsi="Arial" w:cs="Arial"/>
          <w:sz w:val="22"/>
          <w:szCs w:val="22"/>
          <w:lang w:val="en-GB"/>
        </w:rPr>
        <w:t xml:space="preserve"> March 2026).</w:t>
      </w:r>
    </w:p>
    <w:p w14:paraId="4D063F0A" w14:textId="77777777" w:rsidR="00DF3F3C" w:rsidRDefault="00DF3F3C" w:rsidP="005D7077">
      <w:pPr>
        <w:spacing w:line="360" w:lineRule="auto"/>
        <w:ind w:left="720" w:hanging="720"/>
        <w:rPr>
          <w:rFonts w:ascii="Arial" w:hAnsi="Arial" w:cs="Arial"/>
          <w:sz w:val="22"/>
          <w:szCs w:val="22"/>
          <w:lang w:val="en-GB"/>
        </w:rPr>
      </w:pPr>
      <w:r w:rsidRPr="00FA1E16">
        <w:rPr>
          <w:rFonts w:ascii="Arial" w:hAnsi="Arial" w:cs="Arial"/>
          <w:sz w:val="22"/>
          <w:szCs w:val="22"/>
          <w:lang w:val="en-GB"/>
        </w:rPr>
        <w:t>United Nations (2025)</w:t>
      </w:r>
      <w:r>
        <w:rPr>
          <w:rFonts w:ascii="Arial" w:hAnsi="Arial" w:cs="Arial"/>
          <w:sz w:val="22"/>
          <w:szCs w:val="22"/>
          <w:lang w:val="en-GB"/>
        </w:rPr>
        <w:t xml:space="preserve"> </w:t>
      </w:r>
      <w:r w:rsidRPr="00FA1E16">
        <w:rPr>
          <w:rFonts w:ascii="Arial" w:hAnsi="Arial" w:cs="Arial"/>
          <w:i/>
          <w:iCs/>
          <w:sz w:val="22"/>
          <w:szCs w:val="22"/>
          <w:lang w:val="en-GB"/>
        </w:rPr>
        <w:t>T</w:t>
      </w:r>
      <w:r>
        <w:rPr>
          <w:rFonts w:ascii="Arial" w:hAnsi="Arial" w:cs="Arial"/>
          <w:i/>
          <w:iCs/>
          <w:sz w:val="22"/>
          <w:szCs w:val="22"/>
          <w:lang w:val="en-GB"/>
        </w:rPr>
        <w:t>he</w:t>
      </w:r>
      <w:r w:rsidRPr="00FA1E16">
        <w:rPr>
          <w:rFonts w:ascii="Arial" w:hAnsi="Arial" w:cs="Arial"/>
          <w:i/>
          <w:iCs/>
          <w:sz w:val="22"/>
          <w:szCs w:val="22"/>
          <w:lang w:val="en-GB"/>
        </w:rPr>
        <w:t xml:space="preserve"> 17 G</w:t>
      </w:r>
      <w:r>
        <w:rPr>
          <w:rFonts w:ascii="Arial" w:hAnsi="Arial" w:cs="Arial"/>
          <w:i/>
          <w:iCs/>
          <w:sz w:val="22"/>
          <w:szCs w:val="22"/>
          <w:lang w:val="en-GB"/>
        </w:rPr>
        <w:t>oals</w:t>
      </w:r>
      <w:r w:rsidRPr="00FA1E16">
        <w:rPr>
          <w:rFonts w:ascii="Arial" w:hAnsi="Arial" w:cs="Arial"/>
          <w:sz w:val="22"/>
          <w:szCs w:val="22"/>
          <w:lang w:val="en-GB"/>
        </w:rPr>
        <w:t>.</w:t>
      </w:r>
      <w:r>
        <w:rPr>
          <w:rFonts w:ascii="Arial" w:hAnsi="Arial" w:cs="Arial"/>
          <w:sz w:val="22"/>
          <w:szCs w:val="22"/>
          <w:lang w:val="en-GB"/>
        </w:rPr>
        <w:t xml:space="preserve"> </w:t>
      </w:r>
      <w:r w:rsidRPr="00FA1E16">
        <w:rPr>
          <w:rFonts w:ascii="Arial" w:hAnsi="Arial" w:cs="Arial"/>
          <w:sz w:val="22"/>
          <w:szCs w:val="22"/>
          <w:lang w:val="en-GB"/>
        </w:rPr>
        <w:t xml:space="preserve">Available at: </w:t>
      </w:r>
      <w:hyperlink r:id="rId31" w:anchor="history" w:history="1">
        <w:r w:rsidRPr="00FA1E16">
          <w:rPr>
            <w:rStyle w:val="Hyperlink"/>
            <w:rFonts w:ascii="Arial" w:hAnsi="Arial" w:cs="Arial"/>
            <w:sz w:val="22"/>
            <w:szCs w:val="22"/>
            <w:lang w:val="en-GB"/>
          </w:rPr>
          <w:t>https://sdgs.un.org/goals#history</w:t>
        </w:r>
      </w:hyperlink>
      <w:r>
        <w:rPr>
          <w:rFonts w:ascii="Arial" w:hAnsi="Arial" w:cs="Arial"/>
          <w:sz w:val="22"/>
          <w:szCs w:val="22"/>
          <w:lang w:val="en-GB"/>
        </w:rPr>
        <w:t>. (Accessed: 16</w:t>
      </w:r>
      <w:r w:rsidRPr="00205828">
        <w:rPr>
          <w:rFonts w:ascii="Arial" w:hAnsi="Arial" w:cs="Arial"/>
          <w:sz w:val="22"/>
          <w:szCs w:val="22"/>
          <w:vertAlign w:val="superscript"/>
          <w:lang w:val="en-GB"/>
        </w:rPr>
        <w:t>th</w:t>
      </w:r>
      <w:r>
        <w:rPr>
          <w:rFonts w:ascii="Arial" w:hAnsi="Arial" w:cs="Arial"/>
          <w:sz w:val="22"/>
          <w:szCs w:val="22"/>
          <w:lang w:val="en-GB"/>
        </w:rPr>
        <w:t xml:space="preserve"> February 2026).</w:t>
      </w:r>
    </w:p>
    <w:p w14:paraId="03AD30C9" w14:textId="77777777" w:rsidR="00DF3F3C" w:rsidRPr="0031091E" w:rsidRDefault="00DF3F3C" w:rsidP="005D7077">
      <w:pPr>
        <w:spacing w:line="360" w:lineRule="auto"/>
        <w:ind w:left="720" w:hanging="720"/>
        <w:rPr>
          <w:rFonts w:ascii="Arial" w:hAnsi="Arial" w:cs="Arial"/>
          <w:sz w:val="22"/>
          <w:szCs w:val="22"/>
          <w:lang w:val="en-GB"/>
        </w:rPr>
      </w:pPr>
      <w:r w:rsidRPr="0031091E">
        <w:rPr>
          <w:rFonts w:ascii="Arial" w:hAnsi="Arial" w:cs="Arial"/>
          <w:sz w:val="22"/>
          <w:szCs w:val="22"/>
          <w:lang w:val="en-GB"/>
        </w:rPr>
        <w:t xml:space="preserve">Warren, S. (2022) </w:t>
      </w:r>
      <w:r w:rsidRPr="0031091E">
        <w:rPr>
          <w:rFonts w:ascii="Arial" w:hAnsi="Arial" w:cs="Arial"/>
          <w:i/>
          <w:iCs/>
          <w:sz w:val="22"/>
          <w:szCs w:val="22"/>
          <w:lang w:val="en-GB"/>
        </w:rPr>
        <w:t xml:space="preserve">The Health </w:t>
      </w:r>
      <w:proofErr w:type="gramStart"/>
      <w:r w:rsidRPr="0031091E">
        <w:rPr>
          <w:rFonts w:ascii="Arial" w:hAnsi="Arial" w:cs="Arial"/>
          <w:i/>
          <w:iCs/>
          <w:sz w:val="22"/>
          <w:szCs w:val="22"/>
          <w:lang w:val="en-GB"/>
        </w:rPr>
        <w:t>And</w:t>
      </w:r>
      <w:proofErr w:type="gramEnd"/>
      <w:r w:rsidRPr="0031091E">
        <w:rPr>
          <w:rFonts w:ascii="Arial" w:hAnsi="Arial" w:cs="Arial"/>
          <w:i/>
          <w:iCs/>
          <w:sz w:val="22"/>
          <w:szCs w:val="22"/>
          <w:lang w:val="en-GB"/>
        </w:rPr>
        <w:t xml:space="preserve"> Care Workforce: Planning </w:t>
      </w:r>
      <w:proofErr w:type="gramStart"/>
      <w:r w:rsidRPr="0031091E">
        <w:rPr>
          <w:rFonts w:ascii="Arial" w:hAnsi="Arial" w:cs="Arial"/>
          <w:i/>
          <w:iCs/>
          <w:sz w:val="22"/>
          <w:szCs w:val="22"/>
          <w:lang w:val="en-GB"/>
        </w:rPr>
        <w:t>For</w:t>
      </w:r>
      <w:proofErr w:type="gramEnd"/>
      <w:r w:rsidRPr="0031091E">
        <w:rPr>
          <w:rFonts w:ascii="Arial" w:hAnsi="Arial" w:cs="Arial"/>
          <w:i/>
          <w:iCs/>
          <w:sz w:val="22"/>
          <w:szCs w:val="22"/>
          <w:lang w:val="en-GB"/>
        </w:rPr>
        <w:t xml:space="preserve"> </w:t>
      </w:r>
      <w:proofErr w:type="gramStart"/>
      <w:r w:rsidRPr="0031091E">
        <w:rPr>
          <w:rFonts w:ascii="Arial" w:hAnsi="Arial" w:cs="Arial"/>
          <w:i/>
          <w:iCs/>
          <w:sz w:val="22"/>
          <w:szCs w:val="22"/>
          <w:lang w:val="en-GB"/>
        </w:rPr>
        <w:t>A</w:t>
      </w:r>
      <w:proofErr w:type="gramEnd"/>
      <w:r w:rsidRPr="0031091E">
        <w:rPr>
          <w:rFonts w:ascii="Arial" w:hAnsi="Arial" w:cs="Arial"/>
          <w:i/>
          <w:iCs/>
          <w:sz w:val="22"/>
          <w:szCs w:val="22"/>
          <w:lang w:val="en-GB"/>
        </w:rPr>
        <w:t xml:space="preserve"> Sustainable Future</w:t>
      </w:r>
      <w:proofErr w:type="gramStart"/>
      <w:r w:rsidRPr="0031091E">
        <w:rPr>
          <w:rFonts w:ascii="Arial" w:hAnsi="Arial" w:cs="Arial"/>
          <w:sz w:val="22"/>
          <w:szCs w:val="22"/>
          <w:lang w:val="en-GB"/>
        </w:rPr>
        <w:t xml:space="preserve">.  </w:t>
      </w:r>
      <w:proofErr w:type="gramEnd"/>
      <w:r w:rsidRPr="0031091E">
        <w:rPr>
          <w:rFonts w:ascii="Arial" w:hAnsi="Arial" w:cs="Arial"/>
          <w:sz w:val="22"/>
          <w:szCs w:val="22"/>
          <w:lang w:val="en-GB"/>
        </w:rPr>
        <w:t xml:space="preserve">Available at: </w:t>
      </w:r>
      <w:hyperlink r:id="rId32" w:history="1">
        <w:r w:rsidRPr="0031091E">
          <w:rPr>
            <w:rStyle w:val="Hyperlink"/>
            <w:rFonts w:ascii="Arial" w:hAnsi="Arial" w:cs="Arial"/>
            <w:sz w:val="22"/>
            <w:szCs w:val="22"/>
            <w:lang w:val="en-GB"/>
          </w:rPr>
          <w:t>https://www.kingsfund.org.uk/insight-and-analysis/long-reads/health-and-care-workforce</w:t>
        </w:r>
      </w:hyperlink>
      <w:r w:rsidRPr="0031091E">
        <w:rPr>
          <w:rFonts w:ascii="Arial" w:hAnsi="Arial" w:cs="Arial"/>
          <w:sz w:val="22"/>
          <w:szCs w:val="22"/>
          <w:lang w:val="en-GB"/>
        </w:rPr>
        <w:t>.</w:t>
      </w:r>
      <w:r>
        <w:rPr>
          <w:rFonts w:ascii="Arial" w:hAnsi="Arial" w:cs="Arial"/>
          <w:sz w:val="22"/>
          <w:szCs w:val="22"/>
          <w:lang w:val="en-GB"/>
        </w:rPr>
        <w:t xml:space="preserve"> (Accessed: 8</w:t>
      </w:r>
      <w:r w:rsidRPr="00762E32">
        <w:rPr>
          <w:rFonts w:ascii="Arial" w:hAnsi="Arial" w:cs="Arial"/>
          <w:sz w:val="22"/>
          <w:szCs w:val="22"/>
          <w:vertAlign w:val="superscript"/>
          <w:lang w:val="en-GB"/>
        </w:rPr>
        <w:t>th</w:t>
      </w:r>
      <w:r>
        <w:rPr>
          <w:rFonts w:ascii="Arial" w:hAnsi="Arial" w:cs="Arial"/>
          <w:sz w:val="22"/>
          <w:szCs w:val="22"/>
          <w:lang w:val="en-GB"/>
        </w:rPr>
        <w:t xml:space="preserve"> March 2026).</w:t>
      </w:r>
    </w:p>
    <w:p w14:paraId="263553CE" w14:textId="77777777" w:rsidR="00DF3F3C" w:rsidRDefault="00DF3F3C" w:rsidP="005D7077">
      <w:pPr>
        <w:spacing w:line="360" w:lineRule="auto"/>
        <w:ind w:left="720" w:hanging="720"/>
        <w:rPr>
          <w:rFonts w:ascii="Arial" w:hAnsi="Arial" w:cs="Arial"/>
          <w:sz w:val="22"/>
          <w:szCs w:val="22"/>
          <w:lang w:val="en-GB"/>
        </w:rPr>
      </w:pPr>
      <w:r w:rsidRPr="00C84EA4">
        <w:rPr>
          <w:rFonts w:ascii="Arial" w:hAnsi="Arial" w:cs="Arial"/>
          <w:sz w:val="22"/>
          <w:szCs w:val="22"/>
          <w:lang w:val="en-GB"/>
        </w:rPr>
        <w:t>W</w:t>
      </w:r>
      <w:r>
        <w:rPr>
          <w:rFonts w:ascii="Arial" w:hAnsi="Arial" w:cs="Arial"/>
          <w:sz w:val="22"/>
          <w:szCs w:val="22"/>
          <w:lang w:val="en-GB"/>
        </w:rPr>
        <w:t xml:space="preserve">HO </w:t>
      </w:r>
      <w:r w:rsidRPr="00C84EA4">
        <w:rPr>
          <w:rFonts w:ascii="Arial" w:hAnsi="Arial" w:cs="Arial"/>
          <w:sz w:val="22"/>
          <w:szCs w:val="22"/>
          <w:lang w:val="en-GB"/>
        </w:rPr>
        <w:t xml:space="preserve">(1948) </w:t>
      </w:r>
      <w:r w:rsidRPr="00C84EA4">
        <w:rPr>
          <w:rFonts w:ascii="Arial" w:hAnsi="Arial" w:cs="Arial"/>
          <w:i/>
          <w:iCs/>
          <w:sz w:val="22"/>
          <w:szCs w:val="22"/>
          <w:lang w:val="en-GB"/>
        </w:rPr>
        <w:t>Constitution of the world health organization</w:t>
      </w:r>
      <w:r w:rsidRPr="00C84EA4">
        <w:rPr>
          <w:rFonts w:ascii="Arial" w:hAnsi="Arial" w:cs="Arial"/>
          <w:sz w:val="22"/>
          <w:szCs w:val="22"/>
          <w:lang w:val="en-GB"/>
        </w:rPr>
        <w:t xml:space="preserve">. Available at: </w:t>
      </w:r>
      <w:hyperlink r:id="rId33" w:history="1">
        <w:r w:rsidRPr="00A9335F">
          <w:rPr>
            <w:rStyle w:val="Hyperlink"/>
            <w:rFonts w:ascii="Arial" w:hAnsi="Arial" w:cs="Arial"/>
            <w:sz w:val="22"/>
            <w:szCs w:val="22"/>
            <w:lang w:val="en-GB"/>
          </w:rPr>
          <w:t>https://www.who.int/about/governance/constitution</w:t>
        </w:r>
      </w:hyperlink>
      <w:r>
        <w:rPr>
          <w:rFonts w:ascii="Arial" w:hAnsi="Arial" w:cs="Arial"/>
          <w:sz w:val="22"/>
          <w:szCs w:val="22"/>
          <w:lang w:val="en-GB"/>
        </w:rPr>
        <w:t>.</w:t>
      </w:r>
      <w:r w:rsidRPr="00C84EA4">
        <w:rPr>
          <w:rFonts w:ascii="Arial" w:hAnsi="Arial" w:cs="Arial"/>
          <w:sz w:val="22"/>
          <w:szCs w:val="22"/>
          <w:lang w:val="en-GB"/>
        </w:rPr>
        <w:t xml:space="preserve"> (Accessed: </w:t>
      </w:r>
      <w:r>
        <w:rPr>
          <w:rFonts w:ascii="Arial" w:hAnsi="Arial" w:cs="Arial"/>
          <w:sz w:val="22"/>
          <w:szCs w:val="22"/>
          <w:lang w:val="en-GB"/>
        </w:rPr>
        <w:t xml:space="preserve"> 9</w:t>
      </w:r>
      <w:r w:rsidRPr="002B72EC">
        <w:rPr>
          <w:rFonts w:ascii="Arial" w:hAnsi="Arial" w:cs="Arial"/>
          <w:sz w:val="22"/>
          <w:szCs w:val="22"/>
          <w:vertAlign w:val="superscript"/>
          <w:lang w:val="en-GB"/>
        </w:rPr>
        <w:t>th</w:t>
      </w:r>
      <w:r>
        <w:rPr>
          <w:rFonts w:ascii="Arial" w:hAnsi="Arial" w:cs="Arial"/>
          <w:sz w:val="22"/>
          <w:szCs w:val="22"/>
          <w:lang w:val="en-GB"/>
        </w:rPr>
        <w:t xml:space="preserve"> March</w:t>
      </w:r>
      <w:r w:rsidRPr="00C84EA4">
        <w:rPr>
          <w:rFonts w:ascii="Arial" w:hAnsi="Arial" w:cs="Arial"/>
          <w:sz w:val="22"/>
          <w:szCs w:val="22"/>
          <w:lang w:val="en-GB"/>
        </w:rPr>
        <w:t xml:space="preserve"> 2026). </w:t>
      </w:r>
    </w:p>
    <w:p w14:paraId="66DCD5EF" w14:textId="77777777" w:rsidR="00DF3F3C" w:rsidRDefault="00DF3F3C" w:rsidP="005D7077">
      <w:pPr>
        <w:spacing w:line="360" w:lineRule="auto"/>
        <w:ind w:left="720" w:hanging="720"/>
        <w:rPr>
          <w:rFonts w:ascii="Arial" w:hAnsi="Arial" w:cs="Arial"/>
          <w:sz w:val="22"/>
          <w:szCs w:val="22"/>
          <w:lang w:val="en-GB"/>
        </w:rPr>
      </w:pPr>
      <w:r w:rsidRPr="008E15EE">
        <w:rPr>
          <w:rFonts w:ascii="Arial" w:hAnsi="Arial" w:cs="Arial"/>
          <w:sz w:val="22"/>
          <w:szCs w:val="22"/>
          <w:lang w:val="en-GB"/>
        </w:rPr>
        <w:t>W</w:t>
      </w:r>
      <w:r>
        <w:rPr>
          <w:rFonts w:ascii="Arial" w:hAnsi="Arial" w:cs="Arial"/>
          <w:sz w:val="22"/>
          <w:szCs w:val="22"/>
          <w:lang w:val="en-GB"/>
        </w:rPr>
        <w:t>HO</w:t>
      </w:r>
      <w:r w:rsidRPr="008E15EE">
        <w:rPr>
          <w:rFonts w:ascii="Arial" w:hAnsi="Arial" w:cs="Arial"/>
          <w:sz w:val="22"/>
          <w:szCs w:val="22"/>
          <w:lang w:val="en-GB"/>
        </w:rPr>
        <w:t xml:space="preserve"> (2023)</w:t>
      </w:r>
      <w:r>
        <w:rPr>
          <w:rFonts w:ascii="Arial" w:hAnsi="Arial" w:cs="Arial"/>
          <w:i/>
          <w:iCs/>
          <w:sz w:val="22"/>
          <w:szCs w:val="22"/>
          <w:lang w:val="en-GB"/>
        </w:rPr>
        <w:t xml:space="preserve"> World Health Statistics</w:t>
      </w:r>
      <w:r w:rsidRPr="008E15EE">
        <w:rPr>
          <w:rFonts w:ascii="Arial" w:hAnsi="Arial" w:cs="Arial"/>
          <w:i/>
          <w:iCs/>
          <w:sz w:val="22"/>
          <w:szCs w:val="22"/>
          <w:lang w:val="en-GB"/>
        </w:rPr>
        <w:t xml:space="preserve"> 2023</w:t>
      </w:r>
      <w:r w:rsidRPr="008E15EE">
        <w:rPr>
          <w:rFonts w:ascii="Arial" w:hAnsi="Arial" w:cs="Arial"/>
          <w:sz w:val="22"/>
          <w:szCs w:val="22"/>
          <w:lang w:val="en-GB"/>
        </w:rPr>
        <w:t>. Available at:</w:t>
      </w:r>
      <w:r>
        <w:rPr>
          <w:rFonts w:ascii="Arial" w:hAnsi="Arial" w:cs="Arial"/>
          <w:sz w:val="22"/>
          <w:szCs w:val="22"/>
          <w:lang w:val="en-GB"/>
        </w:rPr>
        <w:t xml:space="preserve">  </w:t>
      </w:r>
      <w:hyperlink r:id="rId34" w:history="1">
        <w:r w:rsidRPr="008E15EE">
          <w:rPr>
            <w:rStyle w:val="Hyperlink"/>
            <w:rFonts w:ascii="Arial" w:hAnsi="Arial" w:cs="Arial"/>
            <w:sz w:val="22"/>
            <w:szCs w:val="22"/>
            <w:lang w:val="en-GB"/>
          </w:rPr>
          <w:t>https://www.who.int/publications/i/item/9789240074323</w:t>
        </w:r>
      </w:hyperlink>
      <w:r w:rsidRPr="008E15EE">
        <w:rPr>
          <w:rFonts w:ascii="Arial" w:hAnsi="Arial" w:cs="Arial"/>
          <w:sz w:val="22"/>
          <w:szCs w:val="22"/>
          <w:lang w:val="en-GB"/>
        </w:rPr>
        <w:t>.</w:t>
      </w:r>
      <w:r>
        <w:rPr>
          <w:rFonts w:ascii="Arial" w:hAnsi="Arial" w:cs="Arial"/>
          <w:sz w:val="22"/>
          <w:szCs w:val="22"/>
          <w:lang w:val="en-GB"/>
        </w:rPr>
        <w:t xml:space="preserve"> (Accessed: 24</w:t>
      </w:r>
      <w:r w:rsidRPr="00D06C08">
        <w:rPr>
          <w:rFonts w:ascii="Arial" w:hAnsi="Arial" w:cs="Arial"/>
          <w:sz w:val="22"/>
          <w:szCs w:val="22"/>
          <w:vertAlign w:val="superscript"/>
          <w:lang w:val="en-GB"/>
        </w:rPr>
        <w:t>th</w:t>
      </w:r>
      <w:r>
        <w:rPr>
          <w:rFonts w:ascii="Arial" w:hAnsi="Arial" w:cs="Arial"/>
          <w:sz w:val="22"/>
          <w:szCs w:val="22"/>
          <w:lang w:val="en-GB"/>
        </w:rPr>
        <w:t xml:space="preserve"> February 2026).</w:t>
      </w:r>
    </w:p>
    <w:p w14:paraId="41081255" w14:textId="77777777" w:rsidR="00DF3F3C" w:rsidRDefault="00DF3F3C" w:rsidP="005D7077">
      <w:pPr>
        <w:spacing w:line="360" w:lineRule="auto"/>
        <w:ind w:left="720" w:hanging="720"/>
        <w:rPr>
          <w:rFonts w:ascii="Arial" w:hAnsi="Arial" w:cs="Arial"/>
          <w:sz w:val="22"/>
          <w:szCs w:val="22"/>
          <w:lang w:val="en-GB"/>
        </w:rPr>
      </w:pPr>
      <w:r w:rsidRPr="00025562">
        <w:rPr>
          <w:rFonts w:ascii="Arial" w:hAnsi="Arial" w:cs="Arial"/>
          <w:sz w:val="22"/>
          <w:szCs w:val="22"/>
          <w:lang w:val="en-GB"/>
        </w:rPr>
        <w:t xml:space="preserve">WHO (2025) </w:t>
      </w:r>
      <w:r w:rsidRPr="00025562">
        <w:rPr>
          <w:rFonts w:ascii="Arial" w:hAnsi="Arial" w:cs="Arial"/>
          <w:i/>
          <w:iCs/>
          <w:sz w:val="22"/>
          <w:szCs w:val="22"/>
          <w:lang w:val="en-GB"/>
        </w:rPr>
        <w:t>Health inequities are shortening lives by decades</w:t>
      </w:r>
      <w:r w:rsidRPr="00025562">
        <w:rPr>
          <w:rFonts w:ascii="Arial" w:hAnsi="Arial" w:cs="Arial"/>
          <w:sz w:val="22"/>
          <w:szCs w:val="22"/>
          <w:lang w:val="en-GB"/>
        </w:rPr>
        <w:t xml:space="preserve">. Available at: </w:t>
      </w:r>
      <w:hyperlink r:id="rId35" w:history="1">
        <w:r w:rsidRPr="00025562">
          <w:rPr>
            <w:rStyle w:val="Hyperlink"/>
            <w:rFonts w:ascii="Arial" w:hAnsi="Arial" w:cs="Arial"/>
            <w:sz w:val="22"/>
            <w:szCs w:val="22"/>
            <w:lang w:val="en-GB"/>
          </w:rPr>
          <w:t>https://www.who.int/news/item/06-05-2025-health-inequities-are-shortening-lives-by-decades</w:t>
        </w:r>
      </w:hyperlink>
      <w:r w:rsidRPr="00025562">
        <w:rPr>
          <w:rFonts w:ascii="Arial" w:hAnsi="Arial" w:cs="Arial"/>
          <w:sz w:val="22"/>
          <w:szCs w:val="22"/>
          <w:lang w:val="en-GB"/>
        </w:rPr>
        <w:t>.</w:t>
      </w:r>
      <w:r>
        <w:rPr>
          <w:rFonts w:ascii="Arial" w:hAnsi="Arial" w:cs="Arial"/>
          <w:sz w:val="22"/>
          <w:szCs w:val="22"/>
          <w:lang w:val="en-GB"/>
        </w:rPr>
        <w:t xml:space="preserve"> (Accessed: 21</w:t>
      </w:r>
      <w:r>
        <w:rPr>
          <w:rFonts w:ascii="Arial" w:hAnsi="Arial" w:cs="Arial"/>
          <w:sz w:val="22"/>
          <w:szCs w:val="22"/>
          <w:vertAlign w:val="superscript"/>
          <w:lang w:val="en-GB"/>
        </w:rPr>
        <w:t xml:space="preserve">st </w:t>
      </w:r>
      <w:r>
        <w:rPr>
          <w:rFonts w:ascii="Arial" w:hAnsi="Arial" w:cs="Arial"/>
          <w:sz w:val="22"/>
          <w:szCs w:val="22"/>
          <w:lang w:val="en-GB"/>
        </w:rPr>
        <w:t>February 2026).</w:t>
      </w:r>
    </w:p>
    <w:p w14:paraId="6DB41EEB" w14:textId="77777777" w:rsidR="00DF3F3C" w:rsidRDefault="00DF3F3C" w:rsidP="005D7077">
      <w:pPr>
        <w:spacing w:line="360" w:lineRule="auto"/>
        <w:ind w:left="720" w:hanging="720"/>
        <w:rPr>
          <w:rFonts w:ascii="Arial" w:hAnsi="Arial" w:cs="Arial"/>
          <w:sz w:val="22"/>
          <w:szCs w:val="22"/>
          <w:lang w:val="en-GB"/>
        </w:rPr>
      </w:pPr>
      <w:r w:rsidRPr="00EB7BC4">
        <w:rPr>
          <w:rFonts w:ascii="Arial" w:hAnsi="Arial" w:cs="Arial"/>
          <w:sz w:val="22"/>
          <w:szCs w:val="22"/>
          <w:lang w:val="en-GB"/>
        </w:rPr>
        <w:t>W</w:t>
      </w:r>
      <w:r>
        <w:rPr>
          <w:rFonts w:ascii="Arial" w:hAnsi="Arial" w:cs="Arial"/>
          <w:sz w:val="22"/>
          <w:szCs w:val="22"/>
          <w:lang w:val="en-GB"/>
        </w:rPr>
        <w:t>HO</w:t>
      </w:r>
      <w:r w:rsidRPr="00EB7BC4">
        <w:rPr>
          <w:rFonts w:ascii="Arial" w:hAnsi="Arial" w:cs="Arial"/>
          <w:sz w:val="22"/>
          <w:szCs w:val="22"/>
          <w:lang w:val="en-GB"/>
        </w:rPr>
        <w:t xml:space="preserve"> (2025)</w:t>
      </w:r>
      <w:r>
        <w:rPr>
          <w:rFonts w:ascii="Arial" w:hAnsi="Arial" w:cs="Arial"/>
          <w:sz w:val="22"/>
          <w:szCs w:val="22"/>
          <w:lang w:val="en-GB"/>
        </w:rPr>
        <w:t xml:space="preserve"> </w:t>
      </w:r>
      <w:r w:rsidRPr="00EB7BC4">
        <w:rPr>
          <w:rFonts w:ascii="Arial" w:hAnsi="Arial" w:cs="Arial"/>
          <w:i/>
          <w:iCs/>
          <w:sz w:val="22"/>
          <w:szCs w:val="22"/>
          <w:lang w:val="en-GB"/>
        </w:rPr>
        <w:t>Universal Health Coverage (UHC)</w:t>
      </w:r>
      <w:r w:rsidRPr="00EB7BC4">
        <w:rPr>
          <w:rFonts w:ascii="Arial" w:hAnsi="Arial" w:cs="Arial"/>
          <w:sz w:val="22"/>
          <w:szCs w:val="22"/>
          <w:lang w:val="en-GB"/>
        </w:rPr>
        <w:t xml:space="preserve">. Available at: </w:t>
      </w:r>
      <w:hyperlink r:id="rId36" w:history="1">
        <w:r w:rsidRPr="00EB7BC4">
          <w:rPr>
            <w:rStyle w:val="Hyperlink"/>
            <w:rFonts w:ascii="Arial" w:hAnsi="Arial" w:cs="Arial"/>
            <w:sz w:val="22"/>
            <w:szCs w:val="22"/>
            <w:lang w:val="en-GB"/>
          </w:rPr>
          <w:t>https://www.who.int/news-room/fact-sheets/detail/universal-health-coverage-(uhc)</w:t>
        </w:r>
      </w:hyperlink>
      <w:r w:rsidRPr="00EB7BC4">
        <w:rPr>
          <w:rFonts w:ascii="Arial" w:hAnsi="Arial" w:cs="Arial"/>
          <w:sz w:val="22"/>
          <w:szCs w:val="22"/>
          <w:lang w:val="en-GB"/>
        </w:rPr>
        <w:t>.</w:t>
      </w:r>
      <w:r>
        <w:rPr>
          <w:rFonts w:ascii="Arial" w:hAnsi="Arial" w:cs="Arial"/>
          <w:sz w:val="22"/>
          <w:szCs w:val="22"/>
          <w:lang w:val="en-GB"/>
        </w:rPr>
        <w:t xml:space="preserve"> (Accessed: 20</w:t>
      </w:r>
      <w:r w:rsidRPr="00D06C08">
        <w:rPr>
          <w:rFonts w:ascii="Arial" w:hAnsi="Arial" w:cs="Arial"/>
          <w:sz w:val="22"/>
          <w:szCs w:val="22"/>
          <w:vertAlign w:val="superscript"/>
          <w:lang w:val="en-GB"/>
        </w:rPr>
        <w:t>th</w:t>
      </w:r>
      <w:r>
        <w:rPr>
          <w:rFonts w:ascii="Arial" w:hAnsi="Arial" w:cs="Arial"/>
          <w:sz w:val="22"/>
          <w:szCs w:val="22"/>
          <w:lang w:val="en-GB"/>
        </w:rPr>
        <w:t xml:space="preserve"> February 2026).</w:t>
      </w:r>
    </w:p>
    <w:p w14:paraId="1B7614ED" w14:textId="4EA06D2D" w:rsidR="00FA1E16" w:rsidRPr="00FA1E16" w:rsidRDefault="00FA1E16" w:rsidP="00982369">
      <w:pPr>
        <w:spacing w:line="360" w:lineRule="auto"/>
        <w:rPr>
          <w:rFonts w:ascii="Arial" w:hAnsi="Arial" w:cs="Arial"/>
          <w:sz w:val="22"/>
          <w:szCs w:val="22"/>
          <w:u w:val="single"/>
        </w:rPr>
      </w:pPr>
    </w:p>
    <w:sectPr w:rsidR="00FA1E16" w:rsidRPr="00FA1E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AB30E9" w14:textId="77777777" w:rsidR="005E113F" w:rsidRDefault="005E113F" w:rsidP="008E15EE">
      <w:pPr>
        <w:spacing w:after="0" w:line="240" w:lineRule="auto"/>
      </w:pPr>
      <w:r>
        <w:separator/>
      </w:r>
    </w:p>
  </w:endnote>
  <w:endnote w:type="continuationSeparator" w:id="0">
    <w:p w14:paraId="0B893B42" w14:textId="77777777" w:rsidR="005E113F" w:rsidRDefault="005E113F" w:rsidP="008E15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EDF5DE" w14:textId="77777777" w:rsidR="005E113F" w:rsidRDefault="005E113F" w:rsidP="008E15EE">
      <w:pPr>
        <w:spacing w:after="0" w:line="240" w:lineRule="auto"/>
      </w:pPr>
      <w:r>
        <w:separator/>
      </w:r>
    </w:p>
  </w:footnote>
  <w:footnote w:type="continuationSeparator" w:id="0">
    <w:p w14:paraId="7D944757" w14:textId="77777777" w:rsidR="005E113F" w:rsidRDefault="005E113F" w:rsidP="008E15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4E6AF9"/>
    <w:multiLevelType w:val="hybridMultilevel"/>
    <w:tmpl w:val="5E88E0F2"/>
    <w:lvl w:ilvl="0" w:tplc="33105C0E">
      <w:start w:val="1"/>
      <w:numFmt w:val="bullet"/>
      <w:lvlText w:val="•"/>
      <w:lvlJc w:val="left"/>
      <w:pPr>
        <w:tabs>
          <w:tab w:val="num" w:pos="720"/>
        </w:tabs>
        <w:ind w:left="720" w:hanging="360"/>
      </w:pPr>
      <w:rPr>
        <w:rFonts w:ascii="Arial" w:hAnsi="Arial" w:hint="default"/>
      </w:rPr>
    </w:lvl>
    <w:lvl w:ilvl="1" w:tplc="1F8461BE" w:tentative="1">
      <w:start w:val="1"/>
      <w:numFmt w:val="bullet"/>
      <w:lvlText w:val="•"/>
      <w:lvlJc w:val="left"/>
      <w:pPr>
        <w:tabs>
          <w:tab w:val="num" w:pos="1440"/>
        </w:tabs>
        <w:ind w:left="1440" w:hanging="360"/>
      </w:pPr>
      <w:rPr>
        <w:rFonts w:ascii="Arial" w:hAnsi="Arial" w:hint="default"/>
      </w:rPr>
    </w:lvl>
    <w:lvl w:ilvl="2" w:tplc="4D9A7182" w:tentative="1">
      <w:start w:val="1"/>
      <w:numFmt w:val="bullet"/>
      <w:lvlText w:val="•"/>
      <w:lvlJc w:val="left"/>
      <w:pPr>
        <w:tabs>
          <w:tab w:val="num" w:pos="2160"/>
        </w:tabs>
        <w:ind w:left="2160" w:hanging="360"/>
      </w:pPr>
      <w:rPr>
        <w:rFonts w:ascii="Arial" w:hAnsi="Arial" w:hint="default"/>
      </w:rPr>
    </w:lvl>
    <w:lvl w:ilvl="3" w:tplc="F3F47A16" w:tentative="1">
      <w:start w:val="1"/>
      <w:numFmt w:val="bullet"/>
      <w:lvlText w:val="•"/>
      <w:lvlJc w:val="left"/>
      <w:pPr>
        <w:tabs>
          <w:tab w:val="num" w:pos="2880"/>
        </w:tabs>
        <w:ind w:left="2880" w:hanging="360"/>
      </w:pPr>
      <w:rPr>
        <w:rFonts w:ascii="Arial" w:hAnsi="Arial" w:hint="default"/>
      </w:rPr>
    </w:lvl>
    <w:lvl w:ilvl="4" w:tplc="2614499E" w:tentative="1">
      <w:start w:val="1"/>
      <w:numFmt w:val="bullet"/>
      <w:lvlText w:val="•"/>
      <w:lvlJc w:val="left"/>
      <w:pPr>
        <w:tabs>
          <w:tab w:val="num" w:pos="3600"/>
        </w:tabs>
        <w:ind w:left="3600" w:hanging="360"/>
      </w:pPr>
      <w:rPr>
        <w:rFonts w:ascii="Arial" w:hAnsi="Arial" w:hint="default"/>
      </w:rPr>
    </w:lvl>
    <w:lvl w:ilvl="5" w:tplc="C39CAA40" w:tentative="1">
      <w:start w:val="1"/>
      <w:numFmt w:val="bullet"/>
      <w:lvlText w:val="•"/>
      <w:lvlJc w:val="left"/>
      <w:pPr>
        <w:tabs>
          <w:tab w:val="num" w:pos="4320"/>
        </w:tabs>
        <w:ind w:left="4320" w:hanging="360"/>
      </w:pPr>
      <w:rPr>
        <w:rFonts w:ascii="Arial" w:hAnsi="Arial" w:hint="default"/>
      </w:rPr>
    </w:lvl>
    <w:lvl w:ilvl="6" w:tplc="EB04B480" w:tentative="1">
      <w:start w:val="1"/>
      <w:numFmt w:val="bullet"/>
      <w:lvlText w:val="•"/>
      <w:lvlJc w:val="left"/>
      <w:pPr>
        <w:tabs>
          <w:tab w:val="num" w:pos="5040"/>
        </w:tabs>
        <w:ind w:left="5040" w:hanging="360"/>
      </w:pPr>
      <w:rPr>
        <w:rFonts w:ascii="Arial" w:hAnsi="Arial" w:hint="default"/>
      </w:rPr>
    </w:lvl>
    <w:lvl w:ilvl="7" w:tplc="01E271F0" w:tentative="1">
      <w:start w:val="1"/>
      <w:numFmt w:val="bullet"/>
      <w:lvlText w:val="•"/>
      <w:lvlJc w:val="left"/>
      <w:pPr>
        <w:tabs>
          <w:tab w:val="num" w:pos="5760"/>
        </w:tabs>
        <w:ind w:left="5760" w:hanging="360"/>
      </w:pPr>
      <w:rPr>
        <w:rFonts w:ascii="Arial" w:hAnsi="Arial" w:hint="default"/>
      </w:rPr>
    </w:lvl>
    <w:lvl w:ilvl="8" w:tplc="68365F7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6B61C73"/>
    <w:multiLevelType w:val="hybridMultilevel"/>
    <w:tmpl w:val="6284FAB8"/>
    <w:lvl w:ilvl="0" w:tplc="0196572A">
      <w:start w:val="1"/>
      <w:numFmt w:val="bullet"/>
      <w:lvlText w:val="•"/>
      <w:lvlJc w:val="left"/>
      <w:pPr>
        <w:tabs>
          <w:tab w:val="num" w:pos="720"/>
        </w:tabs>
        <w:ind w:left="720" w:hanging="360"/>
      </w:pPr>
      <w:rPr>
        <w:rFonts w:ascii="Arial" w:hAnsi="Arial" w:hint="default"/>
      </w:rPr>
    </w:lvl>
    <w:lvl w:ilvl="1" w:tplc="528C305A" w:tentative="1">
      <w:start w:val="1"/>
      <w:numFmt w:val="bullet"/>
      <w:lvlText w:val="•"/>
      <w:lvlJc w:val="left"/>
      <w:pPr>
        <w:tabs>
          <w:tab w:val="num" w:pos="1440"/>
        </w:tabs>
        <w:ind w:left="1440" w:hanging="360"/>
      </w:pPr>
      <w:rPr>
        <w:rFonts w:ascii="Arial" w:hAnsi="Arial" w:hint="default"/>
      </w:rPr>
    </w:lvl>
    <w:lvl w:ilvl="2" w:tplc="4F26F8EC" w:tentative="1">
      <w:start w:val="1"/>
      <w:numFmt w:val="bullet"/>
      <w:lvlText w:val="•"/>
      <w:lvlJc w:val="left"/>
      <w:pPr>
        <w:tabs>
          <w:tab w:val="num" w:pos="2160"/>
        </w:tabs>
        <w:ind w:left="2160" w:hanging="360"/>
      </w:pPr>
      <w:rPr>
        <w:rFonts w:ascii="Arial" w:hAnsi="Arial" w:hint="default"/>
      </w:rPr>
    </w:lvl>
    <w:lvl w:ilvl="3" w:tplc="1BD6528A" w:tentative="1">
      <w:start w:val="1"/>
      <w:numFmt w:val="bullet"/>
      <w:lvlText w:val="•"/>
      <w:lvlJc w:val="left"/>
      <w:pPr>
        <w:tabs>
          <w:tab w:val="num" w:pos="2880"/>
        </w:tabs>
        <w:ind w:left="2880" w:hanging="360"/>
      </w:pPr>
      <w:rPr>
        <w:rFonts w:ascii="Arial" w:hAnsi="Arial" w:hint="default"/>
      </w:rPr>
    </w:lvl>
    <w:lvl w:ilvl="4" w:tplc="01C2C48C" w:tentative="1">
      <w:start w:val="1"/>
      <w:numFmt w:val="bullet"/>
      <w:lvlText w:val="•"/>
      <w:lvlJc w:val="left"/>
      <w:pPr>
        <w:tabs>
          <w:tab w:val="num" w:pos="3600"/>
        </w:tabs>
        <w:ind w:left="3600" w:hanging="360"/>
      </w:pPr>
      <w:rPr>
        <w:rFonts w:ascii="Arial" w:hAnsi="Arial" w:hint="default"/>
      </w:rPr>
    </w:lvl>
    <w:lvl w:ilvl="5" w:tplc="ABF092EC" w:tentative="1">
      <w:start w:val="1"/>
      <w:numFmt w:val="bullet"/>
      <w:lvlText w:val="•"/>
      <w:lvlJc w:val="left"/>
      <w:pPr>
        <w:tabs>
          <w:tab w:val="num" w:pos="4320"/>
        </w:tabs>
        <w:ind w:left="4320" w:hanging="360"/>
      </w:pPr>
      <w:rPr>
        <w:rFonts w:ascii="Arial" w:hAnsi="Arial" w:hint="default"/>
      </w:rPr>
    </w:lvl>
    <w:lvl w:ilvl="6" w:tplc="D96201A2" w:tentative="1">
      <w:start w:val="1"/>
      <w:numFmt w:val="bullet"/>
      <w:lvlText w:val="•"/>
      <w:lvlJc w:val="left"/>
      <w:pPr>
        <w:tabs>
          <w:tab w:val="num" w:pos="5040"/>
        </w:tabs>
        <w:ind w:left="5040" w:hanging="360"/>
      </w:pPr>
      <w:rPr>
        <w:rFonts w:ascii="Arial" w:hAnsi="Arial" w:hint="default"/>
      </w:rPr>
    </w:lvl>
    <w:lvl w:ilvl="7" w:tplc="2534AA4E" w:tentative="1">
      <w:start w:val="1"/>
      <w:numFmt w:val="bullet"/>
      <w:lvlText w:val="•"/>
      <w:lvlJc w:val="left"/>
      <w:pPr>
        <w:tabs>
          <w:tab w:val="num" w:pos="5760"/>
        </w:tabs>
        <w:ind w:left="5760" w:hanging="360"/>
      </w:pPr>
      <w:rPr>
        <w:rFonts w:ascii="Arial" w:hAnsi="Arial" w:hint="default"/>
      </w:rPr>
    </w:lvl>
    <w:lvl w:ilvl="8" w:tplc="200CD1DA" w:tentative="1">
      <w:start w:val="1"/>
      <w:numFmt w:val="bullet"/>
      <w:lvlText w:val="•"/>
      <w:lvlJc w:val="left"/>
      <w:pPr>
        <w:tabs>
          <w:tab w:val="num" w:pos="6480"/>
        </w:tabs>
        <w:ind w:left="6480" w:hanging="360"/>
      </w:pPr>
      <w:rPr>
        <w:rFonts w:ascii="Arial" w:hAnsi="Arial" w:hint="default"/>
      </w:rPr>
    </w:lvl>
  </w:abstractNum>
  <w:num w:numId="1" w16cid:durableId="626278747">
    <w:abstractNumId w:val="1"/>
  </w:num>
  <w:num w:numId="2" w16cid:durableId="10963186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2369"/>
    <w:rsid w:val="00021200"/>
    <w:rsid w:val="00021744"/>
    <w:rsid w:val="00022059"/>
    <w:rsid w:val="00025562"/>
    <w:rsid w:val="00026AFC"/>
    <w:rsid w:val="000317AF"/>
    <w:rsid w:val="00044497"/>
    <w:rsid w:val="00054A29"/>
    <w:rsid w:val="00064AD2"/>
    <w:rsid w:val="00070B6E"/>
    <w:rsid w:val="00073FD2"/>
    <w:rsid w:val="00074F2B"/>
    <w:rsid w:val="00084AE2"/>
    <w:rsid w:val="0009141E"/>
    <w:rsid w:val="00097164"/>
    <w:rsid w:val="000A67CC"/>
    <w:rsid w:val="000B1A71"/>
    <w:rsid w:val="000B27D1"/>
    <w:rsid w:val="000D0773"/>
    <w:rsid w:val="000E1635"/>
    <w:rsid w:val="000F56E5"/>
    <w:rsid w:val="000F724E"/>
    <w:rsid w:val="00114AD0"/>
    <w:rsid w:val="001249E4"/>
    <w:rsid w:val="00134FD7"/>
    <w:rsid w:val="001439C7"/>
    <w:rsid w:val="0017606C"/>
    <w:rsid w:val="001778DC"/>
    <w:rsid w:val="00185387"/>
    <w:rsid w:val="001B6C35"/>
    <w:rsid w:val="001D0FD9"/>
    <w:rsid w:val="001D2858"/>
    <w:rsid w:val="001D6E2C"/>
    <w:rsid w:val="001E17BF"/>
    <w:rsid w:val="001F3FE5"/>
    <w:rsid w:val="00205828"/>
    <w:rsid w:val="00230393"/>
    <w:rsid w:val="002602CB"/>
    <w:rsid w:val="002B01FE"/>
    <w:rsid w:val="002B72EC"/>
    <w:rsid w:val="002E39D1"/>
    <w:rsid w:val="002E5284"/>
    <w:rsid w:val="002F2FDE"/>
    <w:rsid w:val="0031091E"/>
    <w:rsid w:val="00335CB7"/>
    <w:rsid w:val="003376D9"/>
    <w:rsid w:val="00370111"/>
    <w:rsid w:val="00375F91"/>
    <w:rsid w:val="00385C45"/>
    <w:rsid w:val="00392480"/>
    <w:rsid w:val="003F1A15"/>
    <w:rsid w:val="003F78CF"/>
    <w:rsid w:val="0040325D"/>
    <w:rsid w:val="004121C7"/>
    <w:rsid w:val="00416151"/>
    <w:rsid w:val="00417F75"/>
    <w:rsid w:val="00453516"/>
    <w:rsid w:val="00454CAB"/>
    <w:rsid w:val="00466F8A"/>
    <w:rsid w:val="00486C61"/>
    <w:rsid w:val="0049409D"/>
    <w:rsid w:val="004946C9"/>
    <w:rsid w:val="004E1DD5"/>
    <w:rsid w:val="00515802"/>
    <w:rsid w:val="00530A10"/>
    <w:rsid w:val="00531081"/>
    <w:rsid w:val="00532F50"/>
    <w:rsid w:val="00551FE2"/>
    <w:rsid w:val="00570F7F"/>
    <w:rsid w:val="005927A2"/>
    <w:rsid w:val="005B59ED"/>
    <w:rsid w:val="005B64EF"/>
    <w:rsid w:val="005D207A"/>
    <w:rsid w:val="005D7077"/>
    <w:rsid w:val="005E113F"/>
    <w:rsid w:val="005F6C7E"/>
    <w:rsid w:val="006024B6"/>
    <w:rsid w:val="00614888"/>
    <w:rsid w:val="00661615"/>
    <w:rsid w:val="00665C7B"/>
    <w:rsid w:val="006A56C1"/>
    <w:rsid w:val="006A61D4"/>
    <w:rsid w:val="006C7C5A"/>
    <w:rsid w:val="006D3D1E"/>
    <w:rsid w:val="00720810"/>
    <w:rsid w:val="0072220A"/>
    <w:rsid w:val="0075256A"/>
    <w:rsid w:val="00762E32"/>
    <w:rsid w:val="007C1CBC"/>
    <w:rsid w:val="007C4ECF"/>
    <w:rsid w:val="007C5FE5"/>
    <w:rsid w:val="007E3024"/>
    <w:rsid w:val="007E55E1"/>
    <w:rsid w:val="00830E86"/>
    <w:rsid w:val="008366B7"/>
    <w:rsid w:val="00843BF8"/>
    <w:rsid w:val="008626DD"/>
    <w:rsid w:val="00876B6B"/>
    <w:rsid w:val="00897F66"/>
    <w:rsid w:val="008B409D"/>
    <w:rsid w:val="008B4153"/>
    <w:rsid w:val="008E15EE"/>
    <w:rsid w:val="008E4001"/>
    <w:rsid w:val="008E71E3"/>
    <w:rsid w:val="008F090D"/>
    <w:rsid w:val="008F0CCE"/>
    <w:rsid w:val="008F7745"/>
    <w:rsid w:val="00903909"/>
    <w:rsid w:val="00937AC0"/>
    <w:rsid w:val="009454F9"/>
    <w:rsid w:val="00961942"/>
    <w:rsid w:val="0097615D"/>
    <w:rsid w:val="00982369"/>
    <w:rsid w:val="0098373F"/>
    <w:rsid w:val="00984B02"/>
    <w:rsid w:val="00994B37"/>
    <w:rsid w:val="009B1D46"/>
    <w:rsid w:val="009B2ACF"/>
    <w:rsid w:val="009D6130"/>
    <w:rsid w:val="009F5929"/>
    <w:rsid w:val="00A13616"/>
    <w:rsid w:val="00A22CA4"/>
    <w:rsid w:val="00A46147"/>
    <w:rsid w:val="00A5054E"/>
    <w:rsid w:val="00A909A5"/>
    <w:rsid w:val="00A92BB3"/>
    <w:rsid w:val="00A97FBE"/>
    <w:rsid w:val="00AA1DE6"/>
    <w:rsid w:val="00AB2655"/>
    <w:rsid w:val="00AB7721"/>
    <w:rsid w:val="00B33D5C"/>
    <w:rsid w:val="00B4560C"/>
    <w:rsid w:val="00B66D21"/>
    <w:rsid w:val="00B77A7A"/>
    <w:rsid w:val="00BB1B4F"/>
    <w:rsid w:val="00BC7BC5"/>
    <w:rsid w:val="00BF7FC2"/>
    <w:rsid w:val="00C03ACE"/>
    <w:rsid w:val="00C5255D"/>
    <w:rsid w:val="00C6603A"/>
    <w:rsid w:val="00C7283D"/>
    <w:rsid w:val="00C81387"/>
    <w:rsid w:val="00C814A1"/>
    <w:rsid w:val="00C84EA4"/>
    <w:rsid w:val="00C92E97"/>
    <w:rsid w:val="00CB09FF"/>
    <w:rsid w:val="00CE7190"/>
    <w:rsid w:val="00D00ECB"/>
    <w:rsid w:val="00D02F05"/>
    <w:rsid w:val="00D06C08"/>
    <w:rsid w:val="00D37E93"/>
    <w:rsid w:val="00D52C99"/>
    <w:rsid w:val="00D550CC"/>
    <w:rsid w:val="00D97D4B"/>
    <w:rsid w:val="00DA347F"/>
    <w:rsid w:val="00DF3F3C"/>
    <w:rsid w:val="00E12A81"/>
    <w:rsid w:val="00E157F3"/>
    <w:rsid w:val="00E20FFA"/>
    <w:rsid w:val="00E5465C"/>
    <w:rsid w:val="00E61ACA"/>
    <w:rsid w:val="00E74190"/>
    <w:rsid w:val="00E84D02"/>
    <w:rsid w:val="00EA344D"/>
    <w:rsid w:val="00EA4CA2"/>
    <w:rsid w:val="00EA697C"/>
    <w:rsid w:val="00EB3F8C"/>
    <w:rsid w:val="00EB7BC4"/>
    <w:rsid w:val="00F1356E"/>
    <w:rsid w:val="00F262FA"/>
    <w:rsid w:val="00F31D96"/>
    <w:rsid w:val="00F4529D"/>
    <w:rsid w:val="00F62771"/>
    <w:rsid w:val="00F6520D"/>
    <w:rsid w:val="00FA1E16"/>
    <w:rsid w:val="00FB34B5"/>
    <w:rsid w:val="00FB7546"/>
    <w:rsid w:val="00FD34A1"/>
    <w:rsid w:val="00FD3699"/>
    <w:rsid w:val="00FD5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8C64E"/>
  <w15:chartTrackingRefBased/>
  <w15:docId w15:val="{067E0FCE-98C2-4A04-BEC6-D1FAABA03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2369"/>
    <w:rPr>
      <w:lang w:val="en-US"/>
    </w:rPr>
  </w:style>
  <w:style w:type="paragraph" w:styleId="Heading1">
    <w:name w:val="heading 1"/>
    <w:basedOn w:val="Normal"/>
    <w:next w:val="Normal"/>
    <w:link w:val="Heading1Char"/>
    <w:uiPriority w:val="9"/>
    <w:qFormat/>
    <w:rsid w:val="009823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23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23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23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23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23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23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23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23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23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23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23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23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23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23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23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23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2369"/>
    <w:rPr>
      <w:rFonts w:eastAsiaTheme="majorEastAsia" w:cstheme="majorBidi"/>
      <w:color w:val="272727" w:themeColor="text1" w:themeTint="D8"/>
    </w:rPr>
  </w:style>
  <w:style w:type="paragraph" w:styleId="Title">
    <w:name w:val="Title"/>
    <w:basedOn w:val="Normal"/>
    <w:next w:val="Normal"/>
    <w:link w:val="TitleChar"/>
    <w:uiPriority w:val="10"/>
    <w:qFormat/>
    <w:rsid w:val="009823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23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23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23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2369"/>
    <w:pPr>
      <w:spacing w:before="160"/>
      <w:jc w:val="center"/>
    </w:pPr>
    <w:rPr>
      <w:i/>
      <w:iCs/>
      <w:color w:val="404040" w:themeColor="text1" w:themeTint="BF"/>
    </w:rPr>
  </w:style>
  <w:style w:type="character" w:customStyle="1" w:styleId="QuoteChar">
    <w:name w:val="Quote Char"/>
    <w:basedOn w:val="DefaultParagraphFont"/>
    <w:link w:val="Quote"/>
    <w:uiPriority w:val="29"/>
    <w:rsid w:val="00982369"/>
    <w:rPr>
      <w:i/>
      <w:iCs/>
      <w:color w:val="404040" w:themeColor="text1" w:themeTint="BF"/>
    </w:rPr>
  </w:style>
  <w:style w:type="paragraph" w:styleId="ListParagraph">
    <w:name w:val="List Paragraph"/>
    <w:basedOn w:val="Normal"/>
    <w:uiPriority w:val="34"/>
    <w:qFormat/>
    <w:rsid w:val="00982369"/>
    <w:pPr>
      <w:ind w:left="720"/>
      <w:contextualSpacing/>
    </w:pPr>
  </w:style>
  <w:style w:type="character" w:styleId="IntenseEmphasis">
    <w:name w:val="Intense Emphasis"/>
    <w:basedOn w:val="DefaultParagraphFont"/>
    <w:uiPriority w:val="21"/>
    <w:qFormat/>
    <w:rsid w:val="00982369"/>
    <w:rPr>
      <w:i/>
      <w:iCs/>
      <w:color w:val="0F4761" w:themeColor="accent1" w:themeShade="BF"/>
    </w:rPr>
  </w:style>
  <w:style w:type="paragraph" w:styleId="IntenseQuote">
    <w:name w:val="Intense Quote"/>
    <w:basedOn w:val="Normal"/>
    <w:next w:val="Normal"/>
    <w:link w:val="IntenseQuoteChar"/>
    <w:uiPriority w:val="30"/>
    <w:qFormat/>
    <w:rsid w:val="009823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2369"/>
    <w:rPr>
      <w:i/>
      <w:iCs/>
      <w:color w:val="0F4761" w:themeColor="accent1" w:themeShade="BF"/>
    </w:rPr>
  </w:style>
  <w:style w:type="character" w:styleId="IntenseReference">
    <w:name w:val="Intense Reference"/>
    <w:basedOn w:val="DefaultParagraphFont"/>
    <w:uiPriority w:val="32"/>
    <w:qFormat/>
    <w:rsid w:val="00982369"/>
    <w:rPr>
      <w:b/>
      <w:bCs/>
      <w:smallCaps/>
      <w:color w:val="0F4761" w:themeColor="accent1" w:themeShade="BF"/>
      <w:spacing w:val="5"/>
    </w:rPr>
  </w:style>
  <w:style w:type="paragraph" w:customStyle="1" w:styleId="p1">
    <w:name w:val="p1"/>
    <w:basedOn w:val="Normal"/>
    <w:rsid w:val="00982369"/>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NoSpacing">
    <w:name w:val="No Spacing"/>
    <w:link w:val="NoSpacingChar"/>
    <w:uiPriority w:val="1"/>
    <w:qFormat/>
    <w:rsid w:val="0098236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82369"/>
    <w:rPr>
      <w:rFonts w:eastAsiaTheme="minorEastAsia"/>
      <w:kern w:val="0"/>
      <w:sz w:val="22"/>
      <w:szCs w:val="22"/>
      <w:lang w:val="en-US"/>
      <w14:ligatures w14:val="none"/>
    </w:rPr>
  </w:style>
  <w:style w:type="character" w:styleId="Hyperlink">
    <w:name w:val="Hyperlink"/>
    <w:basedOn w:val="DefaultParagraphFont"/>
    <w:uiPriority w:val="99"/>
    <w:unhideWhenUsed/>
    <w:rsid w:val="00FA1E16"/>
    <w:rPr>
      <w:color w:val="467886" w:themeColor="hyperlink"/>
      <w:u w:val="single"/>
    </w:rPr>
  </w:style>
  <w:style w:type="character" w:styleId="UnresolvedMention">
    <w:name w:val="Unresolved Mention"/>
    <w:basedOn w:val="DefaultParagraphFont"/>
    <w:uiPriority w:val="99"/>
    <w:semiHidden/>
    <w:unhideWhenUsed/>
    <w:rsid w:val="00FA1E16"/>
    <w:rPr>
      <w:color w:val="605E5C"/>
      <w:shd w:val="clear" w:color="auto" w:fill="E1DFDD"/>
    </w:rPr>
  </w:style>
  <w:style w:type="paragraph" w:styleId="Header">
    <w:name w:val="header"/>
    <w:basedOn w:val="Normal"/>
    <w:link w:val="HeaderChar"/>
    <w:uiPriority w:val="99"/>
    <w:unhideWhenUsed/>
    <w:rsid w:val="008E15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15EE"/>
    <w:rPr>
      <w:lang w:val="en-US"/>
    </w:rPr>
  </w:style>
  <w:style w:type="paragraph" w:styleId="Footer">
    <w:name w:val="footer"/>
    <w:basedOn w:val="Normal"/>
    <w:link w:val="FooterChar"/>
    <w:uiPriority w:val="99"/>
    <w:unhideWhenUsed/>
    <w:rsid w:val="008E15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15EE"/>
    <w:rPr>
      <w:lang w:val="en-US"/>
    </w:rPr>
  </w:style>
  <w:style w:type="character" w:styleId="FollowedHyperlink">
    <w:name w:val="FollowedHyperlink"/>
    <w:basedOn w:val="DefaultParagraphFont"/>
    <w:uiPriority w:val="99"/>
    <w:semiHidden/>
    <w:unhideWhenUsed/>
    <w:rsid w:val="00C7283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kingsfund.org.uk/insight-and-analysis/blogs/public-health-prevention-spending-local-government" TargetMode="External"/><Relationship Id="rId18" Type="http://schemas.openxmlformats.org/officeDocument/2006/relationships/hyperlink" Target="https://www.parliament.uk/globalassets/documents/fair-society-healthy-lives-full-report.pdf" TargetMode="External"/><Relationship Id="rId26" Type="http://schemas.openxmlformats.org/officeDocument/2006/relationships/hyperlink" Target="https://simplemed.co.uk/subjects/population-and-social-science/models-of-health" TargetMode="External"/><Relationship Id="rId39" Type="http://schemas.openxmlformats.org/officeDocument/2006/relationships/theme" Target="theme/theme1.xml"/><Relationship Id="rId21" Type="http://schemas.openxmlformats.org/officeDocument/2006/relationships/hyperlink" Target="https://www.longtermplan.nhs.uk/" TargetMode="External"/><Relationship Id="rId34" Type="http://schemas.openxmlformats.org/officeDocument/2006/relationships/hyperlink" Target="https://www.who.int/publications/i/item/9789240074323"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hogg.utexas.edu/3-things-well-being" TargetMode="External"/><Relationship Id="rId25" Type="http://schemas.openxmlformats.org/officeDocument/2006/relationships/hyperlink" Target="https://assets.publishing.service.gov.uk/media/5f328354d3bf7f1b12a7023a/Disparities_in_the_risk_and_outcomes_of_COVID_August_2020_update.pdf" TargetMode="External"/><Relationship Id="rId33" Type="http://schemas.openxmlformats.org/officeDocument/2006/relationships/hyperlink" Target="https://www.who.int/about/governance/constitution" TargetMode="External"/><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healthlinkbc.ca/healthwise/what-well-being" TargetMode="External"/><Relationship Id="rId20" Type="http://schemas.openxmlformats.org/officeDocument/2006/relationships/hyperlink" Target="https://www.npeu.ox.ac.uk/assets/downloads/mbrrace-uk/reports/maternal-report-2022/MBRRACE-UK_Maternal_CORE_Report_2022_v10.pdf" TargetMode="External"/><Relationship Id="rId29" Type="http://schemas.openxmlformats.org/officeDocument/2006/relationships/hyperlink" Target="https://sdgs.un.org/2030agenda"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bma.org.uk/news-and-opinion/make-the-nhs-universal-again" TargetMode="External"/><Relationship Id="rId32" Type="http://schemas.openxmlformats.org/officeDocument/2006/relationships/hyperlink" Target="https://www.kingsfund.org.uk/insight-and-analysis/long-reads/health-and-care-workforce"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researchgate.net/publication/5095964_Policies_and_strategies_to_promote_social_equity_in_health_Background_document_to_WHO_-_Strategy_paper_for_Europe" TargetMode="External"/><Relationship Id="rId23" Type="http://schemas.openxmlformats.org/officeDocument/2006/relationships/hyperlink" Target="https://www.oecd.org/content/dam/oecd/en/publications/reports/2019/05/under-pressure-the-squeezed-middle-class_f3fa7167/689afed1-en.pdf" TargetMode="External"/><Relationship Id="rId28" Type="http://schemas.openxmlformats.org/officeDocument/2006/relationships/hyperlink" Target="https://www.health.org.uk/features-and-opinion/features/health-in-2040-interactive-chart-projections" TargetMode="External"/><Relationship Id="rId36" Type="http://schemas.openxmlformats.org/officeDocument/2006/relationships/hyperlink" Target="https://www.who.int/news-room/fact-sheets/detail/universal-health-coverage-(uhc)" TargetMode="External"/><Relationship Id="rId10" Type="http://schemas.openxmlformats.org/officeDocument/2006/relationships/endnotes" Target="endnotes.xml"/><Relationship Id="rId19" Type="http://schemas.openxmlformats.org/officeDocument/2006/relationships/hyperlink" Target="https://www.instituteofhealthequity.org/resources-reports/marmot-review-10-years-on/the-marmot-review-10-years-on-executive-summary.pdf" TargetMode="External"/><Relationship Id="rId31" Type="http://schemas.openxmlformats.org/officeDocument/2006/relationships/hyperlink" Target="https://sdgs.un.org/goal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ssets.publishing.service.gov.uk/media/68fa3b4fe200d653d8b63735/care-quality-commission-state-of-health-care-and-adult-social-care-England-2024-2025.pdf" TargetMode="External"/><Relationship Id="rId22" Type="http://schemas.openxmlformats.org/officeDocument/2006/relationships/hyperlink" Target="https://nhsproviders.org/resources/mental-health-delivering-the-three-shifts/understanding-the-scale-of-the-challenge" TargetMode="External"/><Relationship Id="rId27" Type="http://schemas.openxmlformats.org/officeDocument/2006/relationships/hyperlink" Target="https://www.health.org.uk/evidence-hub/health-inequalities" TargetMode="External"/><Relationship Id="rId30" Type="http://schemas.openxmlformats.org/officeDocument/2006/relationships/hyperlink" Target="https://www.un.org/en/academic-impact/sustainability" TargetMode="External"/><Relationship Id="rId35" Type="http://schemas.openxmlformats.org/officeDocument/2006/relationships/hyperlink" Target="https://www.who.int/news/item/06-05-2025-health-inequities-are-shortening-lives-by-decades"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F706BF5CC0240A88F40D758477D3B81"/>
        <w:category>
          <w:name w:val="General"/>
          <w:gallery w:val="placeholder"/>
        </w:category>
        <w:types>
          <w:type w:val="bbPlcHdr"/>
        </w:types>
        <w:behaviors>
          <w:behavior w:val="content"/>
        </w:behaviors>
        <w:guid w:val="{9085CE53-A8A8-4B00-94FE-876C996CB8BF}"/>
      </w:docPartPr>
      <w:docPartBody>
        <w:p w:rsidR="00000000" w:rsidRDefault="005C0F2D" w:rsidP="005C0F2D">
          <w:pPr>
            <w:pStyle w:val="0F706BF5CC0240A88F40D758477D3B81"/>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F2D"/>
    <w:rsid w:val="00114AD0"/>
    <w:rsid w:val="0027701E"/>
    <w:rsid w:val="005C0F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7030A1EA3264FB0BBAF22095A646C42">
    <w:name w:val="47030A1EA3264FB0BBAF22095A646C42"/>
    <w:rsid w:val="005C0F2D"/>
  </w:style>
  <w:style w:type="paragraph" w:customStyle="1" w:styleId="0F706BF5CC0240A88F40D758477D3B81">
    <w:name w:val="0F706BF5CC0240A88F40D758477D3B81"/>
    <w:rsid w:val="005C0F2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44b670a-3a67-4b3c-bc07-2aa1bbea4eed"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84CA073D330CB48B09453487756B951" ma:contentTypeVersion="12" ma:contentTypeDescription="Create a new document." ma:contentTypeScope="" ma:versionID="34b564f4ca7cbf9b7204602985fcd45f">
  <xsd:schema xmlns:xsd="http://www.w3.org/2001/XMLSchema" xmlns:xs="http://www.w3.org/2001/XMLSchema" xmlns:p="http://schemas.microsoft.com/office/2006/metadata/properties" xmlns:ns3="f44b670a-3a67-4b3c-bc07-2aa1bbea4eed" xmlns:ns4="afb9d18a-8010-49b0-9486-851bd66025b3" targetNamespace="http://schemas.microsoft.com/office/2006/metadata/properties" ma:root="true" ma:fieldsID="239cc5bdf5549b548b19ec04bea55240" ns3:_="" ns4:_="">
    <xsd:import namespace="f44b670a-3a67-4b3c-bc07-2aa1bbea4eed"/>
    <xsd:import namespace="afb9d18a-8010-49b0-9486-851bd66025b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44b670a-3a67-4b3c-bc07-2aa1bbea4eed"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afb9d18a-8010-49b0-9486-851bd66025b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3D9A9D-53D9-43FE-B616-DB95B739B923}">
  <ds:schemaRefs>
    <ds:schemaRef ds:uri="http://schemas.microsoft.com/office/2006/metadata/properties"/>
    <ds:schemaRef ds:uri="http://schemas.microsoft.com/office/infopath/2007/PartnerControls"/>
    <ds:schemaRef ds:uri="f44b670a-3a67-4b3c-bc07-2aa1bbea4eed"/>
  </ds:schemaRefs>
</ds:datastoreItem>
</file>

<file path=customXml/itemProps2.xml><?xml version="1.0" encoding="utf-8"?>
<ds:datastoreItem xmlns:ds="http://schemas.openxmlformats.org/officeDocument/2006/customXml" ds:itemID="{7086E298-5A3B-48A4-A2FD-EE0A72A463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44b670a-3a67-4b3c-bc07-2aa1bbea4eed"/>
    <ds:schemaRef ds:uri="afb9d18a-8010-49b0-9486-851bd66025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004D039-B65A-47F2-8C82-008AD0904D59}">
  <ds:schemaRefs>
    <ds:schemaRef ds:uri="http://schemas.microsoft.com/sharepoint/v3/contenttype/forms"/>
  </ds:schemaRefs>
</ds:datastoreItem>
</file>

<file path=customXml/itemProps4.xml><?xml version="1.0" encoding="utf-8"?>
<ds:datastoreItem xmlns:ds="http://schemas.openxmlformats.org/officeDocument/2006/customXml" ds:itemID="{53CCD661-CE2C-42B0-A53B-E94AFE98B7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3733</Words>
  <Characters>21283</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report on the effectiveness of development initiatives and the impact of the Sustainable Development Goals (SDGs) on the health and wellbeing of citizens</dc:title>
  <dc:subject/>
  <dc:creator>Muzhgan Nassiri (2239091)</dc:creator>
  <cp:keywords/>
  <dc:description/>
  <cp:lastModifiedBy>Muzhgan Nassiri (2239091)</cp:lastModifiedBy>
  <cp:revision>2</cp:revision>
  <dcterms:created xsi:type="dcterms:W3CDTF">2026-03-15T23:20:00Z</dcterms:created>
  <dcterms:modified xsi:type="dcterms:W3CDTF">2026-03-15T23:20:00Z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b77f1a37-fbbf-401d-892b-036d4f358fd6</vt:lpwstr>
  </property>
  <property fmtid="{D5CDD505-2E9C-101B-9397-08002B2CF9AE}" pid="3" name="ContentTypeId">
    <vt:lpwstr>0x010100584CA073D330CB48B09453487756B951</vt:lpwstr>
  </property>
</Properties>
</file>