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A17A4" w14:textId="77777777" w:rsidR="000A49B8" w:rsidRDefault="000A49B8" w:rsidP="000A49B8">
      <w:pPr>
        <w:jc w:val="left"/>
        <w:rPr>
          <w:rFonts w:ascii="Arial" w:hAnsi="Arial" w:cs="Arial"/>
          <w:b/>
          <w:bCs/>
          <w:sz w:val="22"/>
        </w:rPr>
      </w:pPr>
    </w:p>
    <w:p w14:paraId="5EF1DFB6" w14:textId="02F5988D" w:rsidR="006D2FA8" w:rsidRPr="004E3048" w:rsidRDefault="00403DD8" w:rsidP="000A49B8">
      <w:pPr>
        <w:jc w:val="left"/>
        <w:rPr>
          <w:rFonts w:ascii="Arial" w:hAnsi="Arial" w:cs="Arial"/>
          <w:b/>
          <w:bCs/>
          <w:sz w:val="22"/>
        </w:rPr>
      </w:pPr>
      <w:r w:rsidRPr="004E3048">
        <w:rPr>
          <w:rFonts w:ascii="Arial" w:hAnsi="Arial" w:cs="Arial"/>
          <w:b/>
          <w:bCs/>
          <w:sz w:val="22"/>
        </w:rPr>
        <w:t xml:space="preserve">Name: </w:t>
      </w:r>
      <w:r w:rsidR="009D7C41" w:rsidRPr="000A49B8">
        <w:rPr>
          <w:rFonts w:ascii="Arial" w:hAnsi="Arial" w:cs="Arial"/>
          <w:sz w:val="22"/>
        </w:rPr>
        <w:t>Jose Ngonga</w:t>
      </w:r>
    </w:p>
    <w:p w14:paraId="002044C1" w14:textId="2AB7712D" w:rsidR="006D2FA8" w:rsidRPr="004E3048" w:rsidRDefault="00403DD8" w:rsidP="000A49B8">
      <w:pPr>
        <w:jc w:val="left"/>
        <w:rPr>
          <w:rFonts w:ascii="Arial" w:hAnsi="Arial" w:cs="Arial"/>
          <w:b/>
          <w:bCs/>
          <w:sz w:val="22"/>
        </w:rPr>
      </w:pPr>
      <w:r w:rsidRPr="004E3048">
        <w:rPr>
          <w:rFonts w:ascii="Arial" w:hAnsi="Arial" w:cs="Arial"/>
          <w:b/>
          <w:bCs/>
          <w:sz w:val="22"/>
        </w:rPr>
        <w:t>Student Number:</w:t>
      </w:r>
      <w:r w:rsidRPr="000A49B8">
        <w:rPr>
          <w:rFonts w:ascii="Arial" w:hAnsi="Arial" w:cs="Arial"/>
          <w:sz w:val="22"/>
        </w:rPr>
        <w:t xml:space="preserve"> </w:t>
      </w:r>
      <w:r w:rsidR="009D7C41" w:rsidRPr="000A49B8">
        <w:rPr>
          <w:rFonts w:ascii="Arial" w:hAnsi="Arial" w:cs="Arial"/>
          <w:sz w:val="22"/>
        </w:rPr>
        <w:t>232080</w:t>
      </w:r>
      <w:r w:rsidR="00D673B4">
        <w:rPr>
          <w:rFonts w:ascii="Arial" w:hAnsi="Arial" w:cs="Arial"/>
          <w:sz w:val="22"/>
        </w:rPr>
        <w:t>3</w:t>
      </w:r>
    </w:p>
    <w:p w14:paraId="70FA4859" w14:textId="77777777" w:rsidR="006D2FA8" w:rsidRPr="000A49B8" w:rsidRDefault="006D2FA8" w:rsidP="000A49B8">
      <w:pPr>
        <w:jc w:val="left"/>
        <w:rPr>
          <w:rFonts w:ascii="Arial" w:hAnsi="Arial" w:cs="Arial"/>
          <w:sz w:val="22"/>
        </w:rPr>
      </w:pPr>
      <w:r w:rsidRPr="004E3048">
        <w:rPr>
          <w:rFonts w:ascii="Arial" w:hAnsi="Arial" w:cs="Arial"/>
          <w:b/>
          <w:bCs/>
          <w:sz w:val="22"/>
        </w:rPr>
        <w:t xml:space="preserve">Module Code and Title: </w:t>
      </w:r>
      <w:r w:rsidRPr="000A49B8">
        <w:rPr>
          <w:rFonts w:ascii="Arial" w:hAnsi="Arial" w:cs="Arial"/>
          <w:sz w:val="22"/>
        </w:rPr>
        <w:t>LCHS4010 – Psychology in Health and Social Care</w:t>
      </w:r>
    </w:p>
    <w:p w14:paraId="4CB66CED" w14:textId="4B14DC77" w:rsidR="006D2FA8" w:rsidRPr="004E3048" w:rsidRDefault="006D2FA8" w:rsidP="000A49B8">
      <w:pPr>
        <w:jc w:val="left"/>
        <w:rPr>
          <w:rFonts w:ascii="Arial" w:hAnsi="Arial" w:cs="Arial"/>
          <w:b/>
          <w:bCs/>
          <w:sz w:val="22"/>
        </w:rPr>
      </w:pPr>
      <w:r w:rsidRPr="004E3048">
        <w:rPr>
          <w:rFonts w:ascii="Arial" w:hAnsi="Arial" w:cs="Arial"/>
          <w:b/>
          <w:bCs/>
          <w:sz w:val="22"/>
        </w:rPr>
        <w:t xml:space="preserve">Lecturer's Name: </w:t>
      </w:r>
      <w:r w:rsidR="009D7C41" w:rsidRPr="000A49B8">
        <w:rPr>
          <w:rFonts w:ascii="Arial" w:hAnsi="Arial" w:cs="Arial"/>
          <w:sz w:val="22"/>
        </w:rPr>
        <w:t>Shepherd Ziko</w:t>
      </w:r>
    </w:p>
    <w:p w14:paraId="0D7DAC39" w14:textId="1C23F0D9" w:rsidR="004C10A9" w:rsidRPr="004E3048" w:rsidRDefault="006D2FA8" w:rsidP="000A49B8">
      <w:pPr>
        <w:jc w:val="left"/>
        <w:rPr>
          <w:rFonts w:ascii="Arial" w:hAnsi="Arial" w:cs="Arial"/>
          <w:b/>
          <w:bCs/>
          <w:sz w:val="22"/>
        </w:rPr>
      </w:pPr>
      <w:r w:rsidRPr="004E3048">
        <w:rPr>
          <w:rFonts w:ascii="Arial" w:hAnsi="Arial" w:cs="Arial"/>
          <w:b/>
          <w:bCs/>
          <w:sz w:val="22"/>
        </w:rPr>
        <w:t>Assignment Tit</w:t>
      </w:r>
      <w:r w:rsidR="00403DD8" w:rsidRPr="004E3048">
        <w:rPr>
          <w:rFonts w:ascii="Arial" w:hAnsi="Arial" w:cs="Arial"/>
          <w:b/>
          <w:bCs/>
          <w:sz w:val="22"/>
        </w:rPr>
        <w:t xml:space="preserve">le: </w:t>
      </w:r>
      <w:r w:rsidR="00403DD8" w:rsidRPr="000A49B8">
        <w:rPr>
          <w:rFonts w:ascii="Arial" w:hAnsi="Arial" w:cs="Arial"/>
          <w:sz w:val="22"/>
        </w:rPr>
        <w:t>Assessment 2: Bibliography and</w:t>
      </w:r>
      <w:r w:rsidRPr="000A49B8">
        <w:rPr>
          <w:rFonts w:ascii="Arial" w:hAnsi="Arial" w:cs="Arial"/>
          <w:sz w:val="22"/>
        </w:rPr>
        <w:t xml:space="preserve"> Report</w:t>
      </w:r>
    </w:p>
    <w:p w14:paraId="1058A9C1" w14:textId="77777777" w:rsidR="00E61401" w:rsidRDefault="00E61401" w:rsidP="000A49B8">
      <w:pPr>
        <w:spacing w:before="0" w:after="160"/>
        <w:jc w:val="left"/>
        <w:rPr>
          <w:rFonts w:ascii="Arial" w:hAnsi="Arial" w:cs="Arial"/>
          <w:b/>
          <w:bCs/>
          <w:sz w:val="22"/>
        </w:rPr>
      </w:pPr>
    </w:p>
    <w:p w14:paraId="74B1C175" w14:textId="77777777" w:rsidR="00C713EB" w:rsidRDefault="00C713EB" w:rsidP="000A49B8">
      <w:pPr>
        <w:spacing w:before="0" w:after="160"/>
        <w:jc w:val="left"/>
        <w:rPr>
          <w:rFonts w:ascii="Arial" w:hAnsi="Arial" w:cs="Arial"/>
          <w:b/>
          <w:bCs/>
          <w:sz w:val="22"/>
        </w:rPr>
      </w:pPr>
    </w:p>
    <w:p w14:paraId="54D0C147" w14:textId="77777777" w:rsidR="00C713EB" w:rsidRDefault="00C713EB" w:rsidP="000A49B8">
      <w:pPr>
        <w:spacing w:before="0" w:after="160"/>
        <w:jc w:val="left"/>
        <w:rPr>
          <w:rFonts w:ascii="Arial" w:hAnsi="Arial" w:cs="Arial"/>
          <w:b/>
          <w:bCs/>
          <w:sz w:val="22"/>
        </w:rPr>
      </w:pPr>
    </w:p>
    <w:p w14:paraId="0251073F" w14:textId="31FF65F5" w:rsidR="004C10A9" w:rsidRPr="004E3048" w:rsidRDefault="00E61401" w:rsidP="000A49B8">
      <w:pPr>
        <w:spacing w:before="0" w:after="160"/>
        <w:jc w:val="left"/>
        <w:rPr>
          <w:rFonts w:ascii="Arial" w:hAnsi="Arial" w:cs="Arial"/>
          <w:b/>
          <w:bCs/>
          <w:sz w:val="22"/>
        </w:rPr>
      </w:pPr>
      <w:r w:rsidRPr="00E61401">
        <w:rPr>
          <w:b/>
          <w:bCs/>
          <w:color w:val="000000" w:themeColor="text1"/>
          <w:szCs w:val="24"/>
        </w:rPr>
        <w:t>Acknowledgement of AI use:</w:t>
      </w:r>
      <w:r w:rsidRPr="00D212FD">
        <w:rPr>
          <w:color w:val="000000" w:themeColor="text1"/>
          <w:szCs w:val="24"/>
        </w:rPr>
        <w:t xml:space="preserve"> I confirm that I have not used AI to complete</w:t>
      </w:r>
      <w:r w:rsidR="003977D1">
        <w:rPr>
          <w:color w:val="000000" w:themeColor="text1"/>
          <w:szCs w:val="24"/>
        </w:rPr>
        <w:t xml:space="preserve"> my work.</w:t>
      </w:r>
      <w:r w:rsidR="004C10A9" w:rsidRPr="004E3048">
        <w:rPr>
          <w:rFonts w:ascii="Arial" w:hAnsi="Arial" w:cs="Arial"/>
          <w:b/>
          <w:bCs/>
          <w:sz w:val="22"/>
        </w:rPr>
        <w:br w:type="page"/>
      </w:r>
    </w:p>
    <w:sdt>
      <w:sdtPr>
        <w:rPr>
          <w:rFonts w:asciiTheme="majorBidi" w:eastAsiaTheme="minorHAnsi" w:hAnsiTheme="majorBidi" w:cstheme="minorBidi"/>
          <w:noProof/>
          <w:color w:val="auto"/>
          <w:sz w:val="24"/>
          <w:szCs w:val="24"/>
          <w:lang w:val="en-GB"/>
        </w:rPr>
        <w:id w:val="-635028281"/>
        <w:docPartObj>
          <w:docPartGallery w:val="Table of Contents"/>
          <w:docPartUnique/>
        </w:docPartObj>
      </w:sdtPr>
      <w:sdtEndPr>
        <w:rPr>
          <w:b/>
          <w:bCs/>
        </w:rPr>
      </w:sdtEndPr>
      <w:sdtContent>
        <w:p w14:paraId="462FF0AC" w14:textId="01106586" w:rsidR="004C10A9" w:rsidRPr="004C10A9" w:rsidRDefault="004C10A9" w:rsidP="004C10A9">
          <w:pPr>
            <w:pStyle w:val="TOCHeading"/>
            <w:spacing w:line="360" w:lineRule="auto"/>
            <w:jc w:val="center"/>
            <w:rPr>
              <w:rFonts w:asciiTheme="majorBidi" w:hAnsiTheme="majorBidi"/>
              <w:sz w:val="24"/>
              <w:szCs w:val="24"/>
            </w:rPr>
          </w:pPr>
          <w:r w:rsidRPr="004C10A9">
            <w:rPr>
              <w:rFonts w:asciiTheme="majorBidi" w:hAnsiTheme="majorBidi"/>
              <w:sz w:val="24"/>
              <w:szCs w:val="24"/>
            </w:rPr>
            <w:t xml:space="preserve">Table of </w:t>
          </w:r>
          <w:r w:rsidRPr="004C10A9">
            <w:rPr>
              <w:rFonts w:asciiTheme="majorBidi" w:hAnsiTheme="majorBidi"/>
              <w:b/>
              <w:bCs/>
              <w:sz w:val="24"/>
              <w:szCs w:val="24"/>
            </w:rPr>
            <w:t>Contents</w:t>
          </w:r>
        </w:p>
        <w:p w14:paraId="2BCF023F" w14:textId="19EB7C86" w:rsidR="00DC4530" w:rsidRDefault="004C10A9">
          <w:pPr>
            <w:pStyle w:val="TOC1"/>
            <w:tabs>
              <w:tab w:val="right" w:leader="dot" w:pos="9350"/>
            </w:tabs>
            <w:rPr>
              <w:rFonts w:cstheme="minorBidi"/>
              <w:lang w:val="en-CA" w:eastAsia="en-CA"/>
            </w:rPr>
          </w:pPr>
          <w:r w:rsidRPr="004C10A9">
            <w:rPr>
              <w:rFonts w:asciiTheme="majorBidi" w:hAnsiTheme="majorBidi" w:cstheme="majorBidi"/>
              <w:sz w:val="24"/>
              <w:szCs w:val="24"/>
            </w:rPr>
            <w:fldChar w:fldCharType="begin"/>
          </w:r>
          <w:r w:rsidRPr="004C10A9">
            <w:rPr>
              <w:rFonts w:asciiTheme="majorBidi" w:hAnsiTheme="majorBidi" w:cstheme="majorBidi"/>
              <w:sz w:val="24"/>
              <w:szCs w:val="24"/>
            </w:rPr>
            <w:instrText xml:space="preserve"> TOC \o "1-3" \h \z \u </w:instrText>
          </w:r>
          <w:r w:rsidRPr="004C10A9">
            <w:rPr>
              <w:rFonts w:asciiTheme="majorBidi" w:hAnsiTheme="majorBidi" w:cstheme="majorBidi"/>
              <w:sz w:val="24"/>
              <w:szCs w:val="24"/>
            </w:rPr>
            <w:fldChar w:fldCharType="separate"/>
          </w:r>
          <w:hyperlink w:anchor="_Toc226373657" w:history="1">
            <w:r w:rsidR="00DC4530" w:rsidRPr="00FC5FCC">
              <w:rPr>
                <w:rStyle w:val="Hyperlink"/>
              </w:rPr>
              <w:t>Part A: Annotated Bibliography</w:t>
            </w:r>
            <w:r w:rsidR="00DC4530">
              <w:rPr>
                <w:webHidden/>
              </w:rPr>
              <w:tab/>
            </w:r>
            <w:r w:rsidR="00DC4530">
              <w:rPr>
                <w:webHidden/>
              </w:rPr>
              <w:fldChar w:fldCharType="begin"/>
            </w:r>
            <w:r w:rsidR="00DC4530">
              <w:rPr>
                <w:webHidden/>
              </w:rPr>
              <w:instrText xml:space="preserve"> PAGEREF _Toc226373657 \h </w:instrText>
            </w:r>
            <w:r w:rsidR="00DC4530">
              <w:rPr>
                <w:webHidden/>
              </w:rPr>
            </w:r>
            <w:r w:rsidR="00DC4530">
              <w:rPr>
                <w:webHidden/>
              </w:rPr>
              <w:fldChar w:fldCharType="separate"/>
            </w:r>
            <w:r w:rsidR="00DC4530">
              <w:rPr>
                <w:webHidden/>
              </w:rPr>
              <w:t>3</w:t>
            </w:r>
            <w:r w:rsidR="00DC4530">
              <w:rPr>
                <w:webHidden/>
              </w:rPr>
              <w:fldChar w:fldCharType="end"/>
            </w:r>
          </w:hyperlink>
        </w:p>
        <w:p w14:paraId="3F95F2E5" w14:textId="6892701F" w:rsidR="00DC4530" w:rsidRDefault="00DC4530">
          <w:pPr>
            <w:pStyle w:val="TOC1"/>
            <w:tabs>
              <w:tab w:val="right" w:leader="dot" w:pos="9350"/>
            </w:tabs>
            <w:rPr>
              <w:rFonts w:cstheme="minorBidi"/>
              <w:lang w:val="en-CA" w:eastAsia="en-CA"/>
            </w:rPr>
          </w:pPr>
          <w:hyperlink w:anchor="_Toc226373658" w:history="1">
            <w:r w:rsidRPr="00FC5FCC">
              <w:rPr>
                <w:rStyle w:val="Hyperlink"/>
              </w:rPr>
              <w:t>Part B: Short Report</w:t>
            </w:r>
            <w:r>
              <w:rPr>
                <w:webHidden/>
              </w:rPr>
              <w:tab/>
            </w:r>
            <w:r>
              <w:rPr>
                <w:webHidden/>
              </w:rPr>
              <w:fldChar w:fldCharType="begin"/>
            </w:r>
            <w:r>
              <w:rPr>
                <w:webHidden/>
              </w:rPr>
              <w:instrText xml:space="preserve"> PAGEREF _Toc226373658 \h </w:instrText>
            </w:r>
            <w:r>
              <w:rPr>
                <w:webHidden/>
              </w:rPr>
            </w:r>
            <w:r>
              <w:rPr>
                <w:webHidden/>
              </w:rPr>
              <w:fldChar w:fldCharType="separate"/>
            </w:r>
            <w:r>
              <w:rPr>
                <w:webHidden/>
              </w:rPr>
              <w:t>6</w:t>
            </w:r>
            <w:r>
              <w:rPr>
                <w:webHidden/>
              </w:rPr>
              <w:fldChar w:fldCharType="end"/>
            </w:r>
          </w:hyperlink>
        </w:p>
        <w:p w14:paraId="76940405" w14:textId="3517253A" w:rsidR="00DC4530" w:rsidRDefault="00DC4530">
          <w:pPr>
            <w:pStyle w:val="TOC2"/>
            <w:tabs>
              <w:tab w:val="right" w:leader="dot" w:pos="9350"/>
            </w:tabs>
            <w:rPr>
              <w:rFonts w:asciiTheme="minorHAnsi" w:eastAsiaTheme="minorEastAsia" w:hAnsiTheme="minorHAnsi"/>
              <w:sz w:val="22"/>
              <w:lang w:val="en-CA" w:eastAsia="en-CA"/>
            </w:rPr>
          </w:pPr>
          <w:hyperlink w:anchor="_Toc226373659" w:history="1">
            <w:r w:rsidRPr="00FC5FCC">
              <w:rPr>
                <w:rStyle w:val="Hyperlink"/>
              </w:rPr>
              <w:t>1. Introduction</w:t>
            </w:r>
            <w:r>
              <w:rPr>
                <w:webHidden/>
              </w:rPr>
              <w:tab/>
            </w:r>
            <w:r>
              <w:rPr>
                <w:webHidden/>
              </w:rPr>
              <w:fldChar w:fldCharType="begin"/>
            </w:r>
            <w:r>
              <w:rPr>
                <w:webHidden/>
              </w:rPr>
              <w:instrText xml:space="preserve"> PAGEREF _Toc226373659 \h </w:instrText>
            </w:r>
            <w:r>
              <w:rPr>
                <w:webHidden/>
              </w:rPr>
            </w:r>
            <w:r>
              <w:rPr>
                <w:webHidden/>
              </w:rPr>
              <w:fldChar w:fldCharType="separate"/>
            </w:r>
            <w:r>
              <w:rPr>
                <w:webHidden/>
              </w:rPr>
              <w:t>6</w:t>
            </w:r>
            <w:r>
              <w:rPr>
                <w:webHidden/>
              </w:rPr>
              <w:fldChar w:fldCharType="end"/>
            </w:r>
          </w:hyperlink>
        </w:p>
        <w:p w14:paraId="276B22F0" w14:textId="62C6F77C" w:rsidR="00DC4530" w:rsidRDefault="00DC4530">
          <w:pPr>
            <w:pStyle w:val="TOC2"/>
            <w:tabs>
              <w:tab w:val="right" w:leader="dot" w:pos="9350"/>
            </w:tabs>
            <w:rPr>
              <w:rFonts w:asciiTheme="minorHAnsi" w:eastAsiaTheme="minorEastAsia" w:hAnsiTheme="minorHAnsi"/>
              <w:sz w:val="22"/>
              <w:lang w:val="en-CA" w:eastAsia="en-CA"/>
            </w:rPr>
          </w:pPr>
          <w:hyperlink w:anchor="_Toc226373660" w:history="1">
            <w:r w:rsidRPr="00FC5FCC">
              <w:rPr>
                <w:rStyle w:val="Hyperlink"/>
              </w:rPr>
              <w:t>Application of the Two Theories</w:t>
            </w:r>
            <w:r>
              <w:rPr>
                <w:webHidden/>
              </w:rPr>
              <w:tab/>
            </w:r>
            <w:r>
              <w:rPr>
                <w:webHidden/>
              </w:rPr>
              <w:fldChar w:fldCharType="begin"/>
            </w:r>
            <w:r>
              <w:rPr>
                <w:webHidden/>
              </w:rPr>
              <w:instrText xml:space="preserve"> PAGEREF _Toc226373660 \h </w:instrText>
            </w:r>
            <w:r>
              <w:rPr>
                <w:webHidden/>
              </w:rPr>
            </w:r>
            <w:r>
              <w:rPr>
                <w:webHidden/>
              </w:rPr>
              <w:fldChar w:fldCharType="separate"/>
            </w:r>
            <w:r>
              <w:rPr>
                <w:webHidden/>
              </w:rPr>
              <w:t>6</w:t>
            </w:r>
            <w:r>
              <w:rPr>
                <w:webHidden/>
              </w:rPr>
              <w:fldChar w:fldCharType="end"/>
            </w:r>
          </w:hyperlink>
        </w:p>
        <w:p w14:paraId="5428130C" w14:textId="54C0D2C6" w:rsidR="00DC4530" w:rsidRDefault="00DC4530">
          <w:pPr>
            <w:pStyle w:val="TOC2"/>
            <w:tabs>
              <w:tab w:val="right" w:leader="dot" w:pos="9350"/>
            </w:tabs>
            <w:rPr>
              <w:rFonts w:asciiTheme="minorHAnsi" w:eastAsiaTheme="minorEastAsia" w:hAnsiTheme="minorHAnsi"/>
              <w:sz w:val="22"/>
              <w:lang w:val="en-CA" w:eastAsia="en-CA"/>
            </w:rPr>
          </w:pPr>
          <w:hyperlink w:anchor="_Toc226373661" w:history="1">
            <w:r w:rsidRPr="00FC5FCC">
              <w:rPr>
                <w:rStyle w:val="Hyperlink"/>
              </w:rPr>
              <w:t>Case Scenario</w:t>
            </w:r>
            <w:r>
              <w:rPr>
                <w:webHidden/>
              </w:rPr>
              <w:tab/>
            </w:r>
            <w:r>
              <w:rPr>
                <w:webHidden/>
              </w:rPr>
              <w:fldChar w:fldCharType="begin"/>
            </w:r>
            <w:r>
              <w:rPr>
                <w:webHidden/>
              </w:rPr>
              <w:instrText xml:space="preserve"> PAGEREF _Toc226373661 \h </w:instrText>
            </w:r>
            <w:r>
              <w:rPr>
                <w:webHidden/>
              </w:rPr>
            </w:r>
            <w:r>
              <w:rPr>
                <w:webHidden/>
              </w:rPr>
              <w:fldChar w:fldCharType="separate"/>
            </w:r>
            <w:r>
              <w:rPr>
                <w:webHidden/>
              </w:rPr>
              <w:t>6</w:t>
            </w:r>
            <w:r>
              <w:rPr>
                <w:webHidden/>
              </w:rPr>
              <w:fldChar w:fldCharType="end"/>
            </w:r>
          </w:hyperlink>
        </w:p>
        <w:p w14:paraId="206FA69A" w14:textId="39F5B37A" w:rsidR="00DC4530" w:rsidRDefault="00DC4530">
          <w:pPr>
            <w:pStyle w:val="TOC2"/>
            <w:tabs>
              <w:tab w:val="right" w:leader="dot" w:pos="9350"/>
            </w:tabs>
            <w:rPr>
              <w:rFonts w:asciiTheme="minorHAnsi" w:eastAsiaTheme="minorEastAsia" w:hAnsiTheme="minorHAnsi"/>
              <w:sz w:val="22"/>
              <w:lang w:val="en-CA" w:eastAsia="en-CA"/>
            </w:rPr>
          </w:pPr>
          <w:hyperlink w:anchor="_Toc226373662" w:history="1">
            <w:r w:rsidRPr="00FC5FCC">
              <w:rPr>
                <w:rStyle w:val="Hyperlink"/>
              </w:rPr>
              <w:t>Challenges and Strategy</w:t>
            </w:r>
            <w:r>
              <w:rPr>
                <w:webHidden/>
              </w:rPr>
              <w:tab/>
            </w:r>
            <w:r>
              <w:rPr>
                <w:webHidden/>
              </w:rPr>
              <w:fldChar w:fldCharType="begin"/>
            </w:r>
            <w:r>
              <w:rPr>
                <w:webHidden/>
              </w:rPr>
              <w:instrText xml:space="preserve"> PAGEREF _Toc226373662 \h </w:instrText>
            </w:r>
            <w:r>
              <w:rPr>
                <w:webHidden/>
              </w:rPr>
            </w:r>
            <w:r>
              <w:rPr>
                <w:webHidden/>
              </w:rPr>
              <w:fldChar w:fldCharType="separate"/>
            </w:r>
            <w:r>
              <w:rPr>
                <w:webHidden/>
              </w:rPr>
              <w:t>7</w:t>
            </w:r>
            <w:r>
              <w:rPr>
                <w:webHidden/>
              </w:rPr>
              <w:fldChar w:fldCharType="end"/>
            </w:r>
          </w:hyperlink>
        </w:p>
        <w:p w14:paraId="7657235B" w14:textId="26244349" w:rsidR="00DC4530" w:rsidRDefault="00DC4530">
          <w:pPr>
            <w:pStyle w:val="TOC1"/>
            <w:tabs>
              <w:tab w:val="right" w:leader="dot" w:pos="9350"/>
            </w:tabs>
            <w:rPr>
              <w:rFonts w:cstheme="minorBidi"/>
              <w:lang w:val="en-CA" w:eastAsia="en-CA"/>
            </w:rPr>
          </w:pPr>
          <w:hyperlink w:anchor="_Toc226373663" w:history="1">
            <w:r w:rsidRPr="00FC5FCC">
              <w:rPr>
                <w:rStyle w:val="Hyperlink"/>
              </w:rPr>
              <w:t>5. Conclusion</w:t>
            </w:r>
            <w:r>
              <w:rPr>
                <w:webHidden/>
              </w:rPr>
              <w:tab/>
            </w:r>
            <w:r>
              <w:rPr>
                <w:webHidden/>
              </w:rPr>
              <w:fldChar w:fldCharType="begin"/>
            </w:r>
            <w:r>
              <w:rPr>
                <w:webHidden/>
              </w:rPr>
              <w:instrText xml:space="preserve"> PAGEREF _Toc226373663 \h </w:instrText>
            </w:r>
            <w:r>
              <w:rPr>
                <w:webHidden/>
              </w:rPr>
            </w:r>
            <w:r>
              <w:rPr>
                <w:webHidden/>
              </w:rPr>
              <w:fldChar w:fldCharType="separate"/>
            </w:r>
            <w:r>
              <w:rPr>
                <w:webHidden/>
              </w:rPr>
              <w:t>7</w:t>
            </w:r>
            <w:r>
              <w:rPr>
                <w:webHidden/>
              </w:rPr>
              <w:fldChar w:fldCharType="end"/>
            </w:r>
          </w:hyperlink>
        </w:p>
        <w:p w14:paraId="07F449DB" w14:textId="0E411331" w:rsidR="00DC4530" w:rsidRDefault="00DC4530">
          <w:pPr>
            <w:pStyle w:val="TOC1"/>
            <w:tabs>
              <w:tab w:val="right" w:leader="dot" w:pos="9350"/>
            </w:tabs>
            <w:rPr>
              <w:rFonts w:cstheme="minorBidi"/>
              <w:lang w:val="en-CA" w:eastAsia="en-CA"/>
            </w:rPr>
          </w:pPr>
          <w:hyperlink w:anchor="_Toc226373664" w:history="1">
            <w:r w:rsidRPr="00FC5FCC">
              <w:rPr>
                <w:rStyle w:val="Hyperlink"/>
              </w:rPr>
              <w:t>References</w:t>
            </w:r>
            <w:r>
              <w:rPr>
                <w:webHidden/>
              </w:rPr>
              <w:tab/>
            </w:r>
            <w:r>
              <w:rPr>
                <w:webHidden/>
              </w:rPr>
              <w:fldChar w:fldCharType="begin"/>
            </w:r>
            <w:r>
              <w:rPr>
                <w:webHidden/>
              </w:rPr>
              <w:instrText xml:space="preserve"> PAGEREF _Toc226373664 \h </w:instrText>
            </w:r>
            <w:r>
              <w:rPr>
                <w:webHidden/>
              </w:rPr>
            </w:r>
            <w:r>
              <w:rPr>
                <w:webHidden/>
              </w:rPr>
              <w:fldChar w:fldCharType="separate"/>
            </w:r>
            <w:r>
              <w:rPr>
                <w:webHidden/>
              </w:rPr>
              <w:t>9</w:t>
            </w:r>
            <w:r>
              <w:rPr>
                <w:webHidden/>
              </w:rPr>
              <w:fldChar w:fldCharType="end"/>
            </w:r>
          </w:hyperlink>
        </w:p>
        <w:p w14:paraId="3EAB5528" w14:textId="29F80B1C" w:rsidR="00F65425" w:rsidRDefault="004C10A9" w:rsidP="004C10A9">
          <w:r w:rsidRPr="004C10A9">
            <w:rPr>
              <w:rFonts w:asciiTheme="majorBidi" w:hAnsiTheme="majorBidi" w:cstheme="majorBidi"/>
              <w:b/>
              <w:bCs/>
              <w:szCs w:val="24"/>
            </w:rPr>
            <w:fldChar w:fldCharType="end"/>
          </w:r>
        </w:p>
      </w:sdtContent>
    </w:sdt>
    <w:p w14:paraId="3E97A249" w14:textId="1A6C0FEA" w:rsidR="009C729A" w:rsidRPr="009C729A" w:rsidRDefault="006D2FA8" w:rsidP="004C10A9">
      <w:pPr>
        <w:spacing w:before="0" w:after="160"/>
        <w:jc w:val="left"/>
      </w:pPr>
      <w:r w:rsidRPr="009C729A">
        <w:br w:type="page"/>
      </w:r>
    </w:p>
    <w:p w14:paraId="4D4587A2" w14:textId="47DB2E9A" w:rsidR="006D2FA8" w:rsidRPr="009C729A" w:rsidRDefault="006D2FA8" w:rsidP="004C10A9">
      <w:pPr>
        <w:pStyle w:val="Heading1"/>
      </w:pPr>
      <w:bookmarkStart w:id="0" w:name="_Toc226373657"/>
      <w:r w:rsidRPr="009C729A">
        <w:lastRenderedPageBreak/>
        <w:t>Part A: Annotated Bibliography</w:t>
      </w:r>
      <w:bookmarkEnd w:id="0"/>
    </w:p>
    <w:p w14:paraId="2D193DFD" w14:textId="77777777" w:rsidR="009C729A" w:rsidRPr="009C729A" w:rsidRDefault="009C729A" w:rsidP="004C10A9">
      <w:r w:rsidRPr="009C729A">
        <w:t>The sources discussed in this bibliography are critical reviews of four academic materials that examine psychological theories applicable to adult development and wellbeing. It concentrates on one theory (weeks 1-5) and one theory (weeks 7-9) of the psychosocial theory by Erikson and the Ryff model of psychological wellbeing respectively to guarantee a critical evaluation of their appropriateness in health and social care of older adults.</w:t>
      </w:r>
    </w:p>
    <w:p w14:paraId="6E16116A" w14:textId="77777777" w:rsidR="009C729A" w:rsidRPr="009C729A" w:rsidRDefault="006D2FA8" w:rsidP="004C10A9">
      <w:pPr>
        <w:rPr>
          <w:b/>
          <w:bCs/>
        </w:rPr>
      </w:pPr>
      <w:r w:rsidRPr="009C729A">
        <w:rPr>
          <w:b/>
          <w:bCs/>
        </w:rPr>
        <w:t>1. Whitbourne, S.K., Whitbourne, S.B. and Konnert, C. (2021) Adult development and aging. 2nd Canadian edn. John Wiley &amp; Sons.</w:t>
      </w:r>
    </w:p>
    <w:p w14:paraId="0FA91E7E" w14:textId="098F91E2" w:rsidR="009C729A" w:rsidRPr="009C729A" w:rsidRDefault="009C729A" w:rsidP="004C10A9">
      <w:r w:rsidRPr="009C729A">
        <w:t>Whitbourne et al. present a biopsychosocial overview of adult development in the context of this comprehensive textbook, which pays much attention to the psychosocial theory developed by Erikson. The authors are successful in integrating literature that indicates the final stage of Erikson, the ego integrity versus despair, as a decisive variable in the psychological wellbeing later on</w:t>
      </w:r>
      <w:r w:rsidR="00073A9F" w:rsidRPr="00073A9F">
        <w:t xml:space="preserve"> (Whitbourne, Whitbourne and Konnert, 2021)</w:t>
      </w:r>
      <w:r w:rsidRPr="009C729A">
        <w:t xml:space="preserve">. According to them, the solution to this conflict, which is successful and that includes a contemplative acceptance of one’s life, is the basis of wellbeing, and not just a deficit-based model of ageing. One of the major strengths of this source is that it incorporates biopsychosocial factors showing interactions of physical well-being, cognitive functioning, and social environment with Eriksonian psychosocial tasks. </w:t>
      </w:r>
      <w:r w:rsidR="001724EF" w:rsidRPr="001724EF">
        <w:t>Nevertheless, it is mostly summarising of the existing literature and provides fewer critical efforts towards the shortcomings of the theory, such as its Western-centric emphasis on individual life reflection, which may not resonate with collectivist cultures where wellbeing is tied to family or community roles (Kim et al., 2021)</w:t>
      </w:r>
    </w:p>
    <w:p w14:paraId="7AC63DA8" w14:textId="77777777" w:rsidR="009C729A" w:rsidRPr="009C729A" w:rsidRDefault="006D2FA8" w:rsidP="004C10A9">
      <w:pPr>
        <w:rPr>
          <w:b/>
          <w:bCs/>
        </w:rPr>
      </w:pPr>
      <w:r w:rsidRPr="009C729A">
        <w:rPr>
          <w:b/>
          <w:bCs/>
        </w:rPr>
        <w:t>2. Parker, J. and Ashencaen Crabtree, S. (eds.) (2020) Human Growth and Development in Adults: Theoretical and Practice Perspectives. Bristol: Policy Press.</w:t>
      </w:r>
    </w:p>
    <w:p w14:paraId="3979B193" w14:textId="24108C18" w:rsidR="009C729A" w:rsidRPr="009C729A" w:rsidRDefault="009C729A" w:rsidP="004C10A9">
      <w:r w:rsidRPr="009C729A">
        <w:t>This is an edited volume that provides a critical, practise-near discussion of adult development that makes a direct challenge to positivistic models. One of the contributions is that it criticises mainstream stage theories including the Erikson type of theories as tending to pathologize later life by making it a phase of inescapable decline. Rather, the book prefigures strengths-based approaches to perspectives like the model of psychological wellbeing developed by Ryff. The editors and contributors advocate the utilisation of this multidimensional model, which including autonomy, environmental mastery, personal growth, positive relations, purpose in life and self-</w:t>
      </w:r>
      <w:r w:rsidRPr="009C729A">
        <w:lastRenderedPageBreak/>
        <w:t>acceptance, is more dynamic and empowering to apply in practise</w:t>
      </w:r>
      <w:r w:rsidR="00073A9F" w:rsidRPr="00073A9F">
        <w:t xml:space="preserve"> (Parker and Ashencaen Crabtree, 2020)</w:t>
      </w:r>
      <w:r w:rsidRPr="009C729A">
        <w:t>. The article has an advantage of being directly applicable to social care settings, going beyond the description of the academic field to practical solutions.</w:t>
      </w:r>
      <w:r w:rsidR="001724EF" w:rsidRPr="001724EF">
        <w:t xml:space="preserve"> Its critical weakness is a possible underestimation of how severe physical or mental deterioration — for example, advanced Parkinson’s disease or late-stage dementia — can constrain a person’s ability to achieve autonomy or environmental mastery, even with strengths-based support. As Marks et al. (2024) note, untreated depression or chronic pain can directly block positive relations and purpose in life, suggesting that Ryff’s domains may require clinical stabilisation before they become achievable goals. Without acknowledging this, the model risks promoting an overly optimistic, ‘wellbeing-at-all-costs’ approach that may inadvertently blame residents for their lack of progress</w:t>
      </w:r>
      <w:r w:rsidRPr="009C729A">
        <w:t xml:space="preserve"> </w:t>
      </w:r>
    </w:p>
    <w:p w14:paraId="7A0D6C06" w14:textId="77777777" w:rsidR="009C729A" w:rsidRPr="009C729A" w:rsidRDefault="006D2FA8" w:rsidP="004C10A9">
      <w:pPr>
        <w:rPr>
          <w:b/>
          <w:bCs/>
        </w:rPr>
      </w:pPr>
      <w:r w:rsidRPr="009C729A">
        <w:rPr>
          <w:b/>
          <w:bCs/>
        </w:rPr>
        <w:t>3. Das, K.V., Jones-Harrell, C., Fan, Y., Ramaswami, A., Orlove, B. and Botchwey, N. (2020) ‘Understanding subjective well-being: perspectives from psychology and public health’, Public Health Reviews, 41(1), p. 25.</w:t>
      </w:r>
    </w:p>
    <w:p w14:paraId="1975E9C4" w14:textId="5AEC54F0" w:rsidR="009C729A" w:rsidRPr="009C729A" w:rsidRDefault="009C729A" w:rsidP="004C10A9">
      <w:r w:rsidRPr="009C729A">
        <w:t>This is an open access review article that gives a critical synthesis of subjective wellbeing (SWB) theories in both the field of psychology and in the field of public health. The authors categorise SWB theories into four groups,, the first category is the so-called fulfilment and engagement which is the closer to Ryff model and the second category is the evaluative one which relates to theories such as Erikson. One of the major critical strengths of the source is that it has identified the deficit in the coherent theoretical and methodological framework across disciplines. It holds that empirical investigations do not usually conduct tests of theories in a consistent manner, which produced a disjointed evaluation foundation. This is essential criticism to health and social care professionals who have to deal with conflicting bodies of evidence</w:t>
      </w:r>
      <w:r w:rsidR="00073A9F" w:rsidRPr="00073A9F">
        <w:t xml:space="preserve"> (Das et al., 2020)</w:t>
      </w:r>
      <w:r w:rsidRPr="009C729A">
        <w:t>. The limitation of the source is that it encompasses a lot of literature; this is a review of literature and does not introduce her own empirical information which implies that the arguments it makes rely on the quality of the studies it reviews. It is applicable in relevance through offering strong and multi-disciplinary models of assessing the applied theories. In the case of professionals, this source becomes a very important tool in critical appraisal as it challenges them to reconsider whether a type of intervention guided by Ryff or Erikson is substantiated by the kind of solid, high quality and consistent evidence that the authors advocate, and therefore, evolving into evidence-informed practise rather than theory-driven one</w:t>
      </w:r>
      <w:r w:rsidR="00073A9F" w:rsidRPr="00073A9F">
        <w:t xml:space="preserve"> (Das et al., 2020)</w:t>
      </w:r>
      <w:r w:rsidRPr="009C729A">
        <w:t>.</w:t>
      </w:r>
    </w:p>
    <w:p w14:paraId="57F7F89E" w14:textId="77777777" w:rsidR="009C729A" w:rsidRPr="009C729A" w:rsidRDefault="006D2FA8" w:rsidP="004C10A9">
      <w:pPr>
        <w:rPr>
          <w:b/>
          <w:bCs/>
        </w:rPr>
      </w:pPr>
      <w:r w:rsidRPr="009C729A">
        <w:rPr>
          <w:b/>
          <w:bCs/>
        </w:rPr>
        <w:lastRenderedPageBreak/>
        <w:t>4. Hassan, H., Rohaizad, N.A.A. and Tarmizi, M.R. (2024) ‘Conceptual Framework: The Community Development in Intervention and Social Wellbeing Module’, Journal of Contemporary Social Science and Education Studies, 4(3), pp. 49–54.</w:t>
      </w:r>
    </w:p>
    <w:p w14:paraId="135648FC" w14:textId="5D45AB43" w:rsidR="009C729A" w:rsidRPr="009C729A" w:rsidRDefault="009C729A" w:rsidP="007A10D3">
      <w:r w:rsidRPr="009C729A">
        <w:t xml:space="preserve">The journal paper proposes a theoretical framework of a community-based psychological wellbeing module, clearly based on the model of psychological wellbeing of Ryff, as well as on social development and cognitive models. The framework seeks to quantify and intervene on such areas of wellbeing as positive emotions, life satisfaction and social wellbeing. </w:t>
      </w:r>
      <w:r w:rsidR="007A10D3" w:rsidRPr="007A10D3">
        <w:t>One strength is its attempt to operationalise Ryff’s model into a structured, community-based intervention. However, a key limitation is the lack of pilot data or validation in clinical or residential care settings — the framework remains conceptual. Without evidence of feasibility among staff with high workloads or residents with cognitive impairments, its real-world applicability is uncertain. Furthermore, the module’s reliance on self-reported wellbeing may exclude non-verbal or severely frail older adults, limiting its inclusivity in social care practice</w:t>
      </w:r>
      <w:r w:rsidR="006D2FA8" w:rsidRPr="009C729A">
        <w:br w:type="page"/>
      </w:r>
    </w:p>
    <w:p w14:paraId="38E2376C" w14:textId="5F09BAF6" w:rsidR="006D2FA8" w:rsidRPr="009C729A" w:rsidRDefault="006D2FA8" w:rsidP="004C10A9">
      <w:pPr>
        <w:pStyle w:val="Heading1"/>
      </w:pPr>
      <w:bookmarkStart w:id="1" w:name="_Toc226373658"/>
      <w:r w:rsidRPr="009C729A">
        <w:lastRenderedPageBreak/>
        <w:t>Part B: Short Report</w:t>
      </w:r>
      <w:bookmarkEnd w:id="1"/>
    </w:p>
    <w:p w14:paraId="1557EAD1" w14:textId="77777777" w:rsidR="009C729A" w:rsidRPr="009C729A" w:rsidRDefault="006D2FA8" w:rsidP="004C10A9">
      <w:pPr>
        <w:rPr>
          <w:b/>
          <w:bCs/>
        </w:rPr>
      </w:pPr>
      <w:r w:rsidRPr="009C729A">
        <w:rPr>
          <w:b/>
          <w:bCs/>
        </w:rPr>
        <w:t>Report Title: Applying the Ryff Model of Psychological Wellbeing to Enhance Quality of Life in Residential Care</w:t>
      </w:r>
    </w:p>
    <w:p w14:paraId="7790434E" w14:textId="703AA850" w:rsidR="006D2FA8" w:rsidRPr="009C729A" w:rsidRDefault="006D2FA8" w:rsidP="004C10A9">
      <w:r w:rsidRPr="009C729A">
        <w:t>To: Health and Social Care Professionals, Oakwood Care Home</w:t>
      </w:r>
    </w:p>
    <w:p w14:paraId="7472F374" w14:textId="0A7AF1CB" w:rsidR="006D2FA8" w:rsidRPr="009C729A" w:rsidRDefault="00403DD8" w:rsidP="004C10A9">
      <w:r>
        <w:t>From: Jose Ngonga</w:t>
      </w:r>
    </w:p>
    <w:p w14:paraId="467D9F9A" w14:textId="77777777" w:rsidR="009C729A" w:rsidRPr="009C729A" w:rsidRDefault="006D2FA8" w:rsidP="004C10A9">
      <w:r w:rsidRPr="009C729A">
        <w:t>Date: 30 March 2026</w:t>
      </w:r>
    </w:p>
    <w:p w14:paraId="237384CB" w14:textId="19784288" w:rsidR="006D2FA8" w:rsidRDefault="006D2FA8" w:rsidP="004C10A9">
      <w:pPr>
        <w:pStyle w:val="Heading2"/>
        <w:spacing w:line="360" w:lineRule="auto"/>
      </w:pPr>
      <w:bookmarkStart w:id="2" w:name="_Toc226373659"/>
      <w:r w:rsidRPr="009C729A">
        <w:t>1. Introduction</w:t>
      </w:r>
      <w:bookmarkEnd w:id="2"/>
    </w:p>
    <w:p w14:paraId="58A975EF" w14:textId="77777777" w:rsidR="00F65425" w:rsidRDefault="00546F61" w:rsidP="00546F61">
      <w:r>
        <w:t>This report uses two psychological theories in improving the quality of life of older adults in residential care:</w:t>
      </w:r>
    </w:p>
    <w:p w14:paraId="3BBCA50E" w14:textId="77777777" w:rsidR="00F65425" w:rsidRDefault="00546F61" w:rsidP="00546F61">
      <w:r>
        <w:t>Bowlby Attachment Theory (weeks 1-5) - the theory focuses on attaching secure base relationships required in life not just in childhood.</w:t>
      </w:r>
    </w:p>
    <w:p w14:paraId="6F285063" w14:textId="77777777" w:rsidR="00F65425" w:rsidRDefault="00546F61" w:rsidP="00546F61">
      <w:r>
        <w:t>Activity Theory by Havighurst (weeks 7-9) - claiming that successful ageing needs the preservation of social roles and activities that are lost in adulthood.</w:t>
      </w:r>
    </w:p>
    <w:p w14:paraId="7B1BCE18" w14:textId="4F14E1D4" w:rsidR="00546F61" w:rsidRDefault="00546F61" w:rsidP="00546F61">
      <w:r>
        <w:t>These two theories, in contrast to deficit-based models, emphasize continuity of relationship and meaningful interaction as the key predictors of wellbeing in residential environments (Parker and Ashencaen Crabtree, 2020; Whitbourne et al., 2021).</w:t>
      </w:r>
    </w:p>
    <w:p w14:paraId="4E57C285" w14:textId="7EA297FB" w:rsidR="006D2FA8" w:rsidRDefault="006D2FA8" w:rsidP="004C10A9">
      <w:pPr>
        <w:pStyle w:val="Heading2"/>
        <w:spacing w:line="360" w:lineRule="auto"/>
      </w:pPr>
      <w:bookmarkStart w:id="3" w:name="_Toc226373660"/>
      <w:r w:rsidRPr="009C729A">
        <w:t xml:space="preserve">Application </w:t>
      </w:r>
      <w:r w:rsidR="009E136B" w:rsidRPr="009E136B">
        <w:t>of the Two Theories</w:t>
      </w:r>
      <w:bookmarkEnd w:id="3"/>
    </w:p>
    <w:p w14:paraId="4FA511A0" w14:textId="77777777" w:rsidR="00F65425" w:rsidRDefault="00546F61" w:rsidP="00546F61">
      <w:r>
        <w:t>According to the theory of Bowlby, aged people can have a secure base of trusted caretakers. This implies the allocation of key workers in cases of residential care, the minimal rotation of staff and the assistance of emotional availability during personal care (Bowlby, 1988).</w:t>
      </w:r>
    </w:p>
    <w:p w14:paraId="0644FBCD" w14:textId="77777777" w:rsidR="00F65425" w:rsidRDefault="00546F61" w:rsidP="00546F61">
      <w:r>
        <w:t>Activity Theory is a theory through which Havighurst mentions that life satisfaction relies on the replacement of the lost roles (e.g., worker, parent, spouse) with the new and meaningful activities. The care management must thus recognize the past functions and jointly generate new gainful functions like the volunteering in the house, mentoring and training the young residents, or taking up the headship in interest groups (Havighurst, 1961).</w:t>
      </w:r>
    </w:p>
    <w:p w14:paraId="50015BEA" w14:textId="77777777" w:rsidR="00EC44AA" w:rsidRDefault="00EC44AA" w:rsidP="00546F61"/>
    <w:p w14:paraId="4FA4BF17" w14:textId="77777777" w:rsidR="00EC44AA" w:rsidRDefault="00EC44AA" w:rsidP="00546F61"/>
    <w:p w14:paraId="34505C60" w14:textId="0AA20FCE" w:rsidR="006D2FA8" w:rsidRDefault="006D2FA8" w:rsidP="004C10A9">
      <w:pPr>
        <w:pStyle w:val="Heading2"/>
        <w:spacing w:line="360" w:lineRule="auto"/>
      </w:pPr>
      <w:bookmarkStart w:id="4" w:name="_Toc226373661"/>
      <w:r w:rsidRPr="009C729A">
        <w:lastRenderedPageBreak/>
        <w:t>Case Scenario</w:t>
      </w:r>
      <w:bookmarkEnd w:id="4"/>
    </w:p>
    <w:p w14:paraId="08B34093" w14:textId="77777777" w:rsidR="00F65425" w:rsidRDefault="000A7800" w:rsidP="000A7800">
      <w:r>
        <w:t>Mrs. Evans is an aged 82-year-old retired teacher who grew withdrawn upon her relocation to a residential care. She replies, I have nothing to do here, everybody does not know me.</w:t>
      </w:r>
    </w:p>
    <w:p w14:paraId="0C05FD27" w14:textId="77777777" w:rsidR="00F65425" w:rsidRDefault="000A7800" w:rsidP="000A7800">
      <w:r>
        <w:t>Bowlby-based assessment: Deprivation of familiar attachment person(s) (former neighbours, family house). The high turnover of staff has denied new secure attachments.</w:t>
      </w:r>
    </w:p>
    <w:p w14:paraId="50263971" w14:textId="77777777" w:rsidR="00F65425" w:rsidRDefault="000A7800" w:rsidP="000A7800">
      <w:r>
        <w:t>One Havighurst informed, Loss of teacher role (purpose), book club organiser (social activity), and daily structure (time-filler).</w:t>
      </w:r>
    </w:p>
    <w:p w14:paraId="0EA89B6A" w14:textId="77777777" w:rsidR="00F65425" w:rsidRDefault="000A7800" w:rsidP="000A7800">
      <w:r>
        <w:t>Intervention:</w:t>
      </w:r>
    </w:p>
    <w:p w14:paraId="580440DE" w14:textId="77777777" w:rsidR="00F65425" w:rsidRDefault="000A7800" w:rsidP="000A7800">
      <w:r>
        <w:t>One key worker (secure base) per first 4 weeks.</w:t>
      </w:r>
    </w:p>
    <w:p w14:paraId="54A81387" w14:textId="77777777" w:rsidR="00F65425" w:rsidRDefault="000A7800" w:rsidP="000A7800">
      <w:r>
        <w:t>Form a weekly reading circle, under the leadership of Mrs. Evans (role substitution).</w:t>
      </w:r>
    </w:p>
    <w:p w14:paraId="05744B61" w14:textId="363970C5" w:rsidR="000A7800" w:rsidRDefault="000A7800" w:rsidP="000A7800">
      <w:r>
        <w:t>Board of activities (autonomy + activity engagement), daily.</w:t>
      </w:r>
    </w:p>
    <w:p w14:paraId="27D993B7" w14:textId="77777777" w:rsidR="00F65425" w:rsidRDefault="000A7800" w:rsidP="000A7800">
      <w:r>
        <w:t>Outcome (predicted): Decreased withdrawal, better mood, and new relationships with peers.</w:t>
      </w:r>
    </w:p>
    <w:p w14:paraId="44A6B0FC" w14:textId="24D8AFB6" w:rsidR="006D2FA8" w:rsidRPr="009C729A" w:rsidRDefault="006D2FA8" w:rsidP="004C10A9">
      <w:pPr>
        <w:pStyle w:val="Heading2"/>
        <w:spacing w:line="360" w:lineRule="auto"/>
      </w:pPr>
      <w:bookmarkStart w:id="5" w:name="_Toc226373662"/>
      <w:r w:rsidRPr="009C729A">
        <w:t>Challenges and Strategy</w:t>
      </w:r>
      <w:bookmarkEnd w:id="5"/>
    </w:p>
    <w:p w14:paraId="2949FFE7" w14:textId="77777777" w:rsidR="00F65425" w:rsidRDefault="000A7800" w:rsidP="000A7800">
      <w:r>
        <w:t xml:space="preserve">Applying the Attachment Theory by Bowlby and the Activity Theory by Havighurst in residential care has a number of challenges in practice. To begin with, employee resistance is a widespread phenomenon since the attachment-based care could be viewed as less clinical (or overly slow) than task-oriented methods. In response to this, short-term training sessions explaining the concept of a secure base by Bowlby in later life can be done to make the staff understand the concept. Relationship-building is a measurable outcome of care that is normalised by the introduction of key worker logs to track it. Secondly a high staff turnover interrupts the continuity needed in secure attachments. They can facilitate transitions through a buddy system where new staff shadow an existing key worker to understand their role in a two-week period and then assume their position. Attachment changes (e.g., "Mrs. Evans preferred carer today") should be included with morning handovers. Thirdly, Havighurst focuses on role substitution which might pose a challenge to physically weak residents who have minimal mobility. Such adapted modifications as reminiscence groups or sorting photos or listening to music make participation significant. Being a viewer or a spectator is portrayed as legitimate. </w:t>
      </w:r>
    </w:p>
    <w:p w14:paraId="0763D947" w14:textId="77777777" w:rsidR="00EC44AA" w:rsidRDefault="00EC44AA" w:rsidP="000A7800"/>
    <w:p w14:paraId="65BFABB5" w14:textId="119C03C9" w:rsidR="006D2FA8" w:rsidRPr="009C729A" w:rsidRDefault="006D2FA8" w:rsidP="004C10A9">
      <w:pPr>
        <w:pStyle w:val="Heading1"/>
      </w:pPr>
      <w:bookmarkStart w:id="6" w:name="_Toc226373663"/>
      <w:r w:rsidRPr="009C729A">
        <w:lastRenderedPageBreak/>
        <w:t>5. Conclusion</w:t>
      </w:r>
      <w:bookmarkEnd w:id="6"/>
    </w:p>
    <w:p w14:paraId="6ACA8EA9" w14:textId="77777777" w:rsidR="005C355C" w:rsidRDefault="005C355C" w:rsidP="005C355C">
      <w:r>
        <w:t>A combination of the Attachment Theory by Bowlby and the Activity Theory by Havighurst will give a clear evidence-based approach to residential care. Bowlby deals with emotional security in terms of consistent caregiving; Havighurst deals with purpose and involvement in terms of role substitution. They need implementation, cultural change, and personnel support yet it is possible to make both sustainable by embedding them in documentation and handovers on a daily basis. This two-theory method enhances holistic wellbeing of residents and their staff.</w:t>
      </w:r>
    </w:p>
    <w:p w14:paraId="7A6BF59F" w14:textId="77777777" w:rsidR="009C729A" w:rsidRDefault="009C729A" w:rsidP="004C10A9">
      <w:pPr>
        <w:spacing w:before="0" w:after="160"/>
        <w:jc w:val="left"/>
      </w:pPr>
      <w:r>
        <w:br w:type="page"/>
      </w:r>
    </w:p>
    <w:p w14:paraId="56CBD904" w14:textId="161B996E" w:rsidR="009C729A" w:rsidRDefault="009C729A" w:rsidP="002D4C70">
      <w:pPr>
        <w:pStyle w:val="Heading1"/>
        <w:jc w:val="left"/>
      </w:pPr>
      <w:bookmarkStart w:id="7" w:name="_Toc226373664"/>
      <w:r>
        <w:lastRenderedPageBreak/>
        <w:t>References</w:t>
      </w:r>
      <w:bookmarkEnd w:id="7"/>
    </w:p>
    <w:p w14:paraId="0F66FE91"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Ackerman, P.L. and Kanfer, R. (2020) ‘Work in the 21st century: New directions for aging and adult development.’, </w:t>
      </w:r>
      <w:r w:rsidRPr="009C729A">
        <w:rPr>
          <w:rFonts w:eastAsia="Times New Roman" w:cs="Times New Roman"/>
          <w:i/>
          <w:iCs/>
          <w:noProof w:val="0"/>
          <w:szCs w:val="24"/>
          <w:lang w:eastAsia="en-GB"/>
        </w:rPr>
        <w:t>American Psychologist</w:t>
      </w:r>
      <w:r w:rsidRPr="009C729A">
        <w:rPr>
          <w:rFonts w:eastAsia="Times New Roman" w:cs="Times New Roman"/>
          <w:noProof w:val="0"/>
          <w:szCs w:val="24"/>
          <w:lang w:eastAsia="en-GB"/>
        </w:rPr>
        <w:t xml:space="preserve">, 75(4), p. 486. Available at: </w:t>
      </w:r>
      <w:hyperlink r:id="rId5" w:history="1">
        <w:r w:rsidRPr="009C729A">
          <w:rPr>
            <w:rFonts w:eastAsia="Times New Roman" w:cs="Times New Roman"/>
            <w:noProof w:val="0"/>
            <w:color w:val="0000FF"/>
            <w:szCs w:val="24"/>
            <w:u w:val="single"/>
            <w:lang w:eastAsia="en-GB"/>
          </w:rPr>
          <w:t>https://psycnet.apa.org/record/2020-29966-006</w:t>
        </w:r>
      </w:hyperlink>
      <w:r w:rsidRPr="009C729A">
        <w:rPr>
          <w:rFonts w:eastAsia="Times New Roman" w:cs="Times New Roman"/>
          <w:noProof w:val="0"/>
          <w:szCs w:val="24"/>
          <w:lang w:eastAsia="en-GB"/>
        </w:rPr>
        <w:t xml:space="preserve"> (Accessed: 30 March 2026).</w:t>
      </w:r>
    </w:p>
    <w:p w14:paraId="7D40C947"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Bar-Tur, L. (2021) ‘Fostering well-being in the elderly: Translating theories on positive aging to practical approaches’, </w:t>
      </w:r>
      <w:r w:rsidRPr="009C729A">
        <w:rPr>
          <w:rFonts w:eastAsia="Times New Roman" w:cs="Times New Roman"/>
          <w:i/>
          <w:iCs/>
          <w:noProof w:val="0"/>
          <w:szCs w:val="24"/>
          <w:lang w:eastAsia="en-GB"/>
        </w:rPr>
        <w:t>Frontiers in medicine</w:t>
      </w:r>
      <w:r w:rsidRPr="009C729A">
        <w:rPr>
          <w:rFonts w:eastAsia="Times New Roman" w:cs="Times New Roman"/>
          <w:noProof w:val="0"/>
          <w:szCs w:val="24"/>
          <w:lang w:eastAsia="en-GB"/>
        </w:rPr>
        <w:t xml:space="preserve">, 8, p. 517226. Available at: </w:t>
      </w:r>
      <w:hyperlink r:id="rId6" w:history="1">
        <w:r w:rsidRPr="009C729A">
          <w:rPr>
            <w:rFonts w:eastAsia="Times New Roman" w:cs="Times New Roman"/>
            <w:noProof w:val="0"/>
            <w:color w:val="0000FF"/>
            <w:szCs w:val="24"/>
            <w:u w:val="single"/>
            <w:lang w:eastAsia="en-GB"/>
          </w:rPr>
          <w:t>https://www.frontiersin.org/journals/medicine/articles/10.3389/fmed.2021.517226/full</w:t>
        </w:r>
      </w:hyperlink>
      <w:r w:rsidRPr="009C729A">
        <w:rPr>
          <w:rFonts w:eastAsia="Times New Roman" w:cs="Times New Roman"/>
          <w:noProof w:val="0"/>
          <w:szCs w:val="24"/>
          <w:lang w:eastAsia="en-GB"/>
        </w:rPr>
        <w:t xml:space="preserve"> (Accessed: 30 March 2026).</w:t>
      </w:r>
    </w:p>
    <w:p w14:paraId="3976A95F"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Das, K.V. </w:t>
      </w:r>
      <w:r w:rsidRPr="009C729A">
        <w:rPr>
          <w:rFonts w:eastAsia="Times New Roman" w:cs="Times New Roman"/>
          <w:i/>
          <w:iCs/>
          <w:noProof w:val="0"/>
          <w:szCs w:val="24"/>
          <w:lang w:eastAsia="en-GB"/>
        </w:rPr>
        <w:t>et al.</w:t>
      </w:r>
      <w:r w:rsidRPr="009C729A">
        <w:rPr>
          <w:rFonts w:eastAsia="Times New Roman" w:cs="Times New Roman"/>
          <w:noProof w:val="0"/>
          <w:szCs w:val="24"/>
          <w:lang w:eastAsia="en-GB"/>
        </w:rPr>
        <w:t xml:space="preserve"> (2020) ‘Understanding subjective well-being: perspectives from psychology and public health’, </w:t>
      </w:r>
      <w:r w:rsidRPr="009C729A">
        <w:rPr>
          <w:rFonts w:eastAsia="Times New Roman" w:cs="Times New Roman"/>
          <w:i/>
          <w:iCs/>
          <w:noProof w:val="0"/>
          <w:szCs w:val="24"/>
          <w:lang w:eastAsia="en-GB"/>
        </w:rPr>
        <w:t>Public Health Reviews</w:t>
      </w:r>
      <w:r w:rsidRPr="009C729A">
        <w:rPr>
          <w:rFonts w:eastAsia="Times New Roman" w:cs="Times New Roman"/>
          <w:noProof w:val="0"/>
          <w:szCs w:val="24"/>
          <w:lang w:eastAsia="en-GB"/>
        </w:rPr>
        <w:t xml:space="preserve">, 41(1), p. 25. Available at: </w:t>
      </w:r>
      <w:hyperlink r:id="rId7" w:history="1">
        <w:r w:rsidRPr="009C729A">
          <w:rPr>
            <w:rFonts w:eastAsia="Times New Roman" w:cs="Times New Roman"/>
            <w:noProof w:val="0"/>
            <w:color w:val="0000FF"/>
            <w:szCs w:val="24"/>
            <w:u w:val="single"/>
            <w:lang w:eastAsia="en-GB"/>
          </w:rPr>
          <w:t>https://doi.org/10.1186/s40985-020-00142-5</w:t>
        </w:r>
      </w:hyperlink>
      <w:r w:rsidRPr="009C729A">
        <w:rPr>
          <w:rFonts w:eastAsia="Times New Roman" w:cs="Times New Roman"/>
          <w:noProof w:val="0"/>
          <w:szCs w:val="24"/>
          <w:lang w:eastAsia="en-GB"/>
        </w:rPr>
        <w:t>.</w:t>
      </w:r>
    </w:p>
    <w:p w14:paraId="184C6FAA"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Frost, D.M. and Meyer, I.H. (2023) ‘Minority stress theory: Application, critique, and continued relevance’, </w:t>
      </w:r>
      <w:r w:rsidRPr="009C729A">
        <w:rPr>
          <w:rFonts w:eastAsia="Times New Roman" w:cs="Times New Roman"/>
          <w:i/>
          <w:iCs/>
          <w:noProof w:val="0"/>
          <w:szCs w:val="24"/>
          <w:lang w:eastAsia="en-GB"/>
        </w:rPr>
        <w:t>Current opinion in psychology</w:t>
      </w:r>
      <w:r w:rsidRPr="009C729A">
        <w:rPr>
          <w:rFonts w:eastAsia="Times New Roman" w:cs="Times New Roman"/>
          <w:noProof w:val="0"/>
          <w:szCs w:val="24"/>
          <w:lang w:eastAsia="en-GB"/>
        </w:rPr>
        <w:t xml:space="preserve">, 51, p. 101579. Available at: </w:t>
      </w:r>
      <w:hyperlink r:id="rId8" w:history="1">
        <w:r w:rsidRPr="009C729A">
          <w:rPr>
            <w:rFonts w:eastAsia="Times New Roman" w:cs="Times New Roman"/>
            <w:noProof w:val="0"/>
            <w:color w:val="0000FF"/>
            <w:szCs w:val="24"/>
            <w:u w:val="single"/>
            <w:lang w:eastAsia="en-GB"/>
          </w:rPr>
          <w:t>https://www.sciencedirect.com/science/article/pii/S2352250X23000246</w:t>
        </w:r>
      </w:hyperlink>
      <w:r w:rsidRPr="009C729A">
        <w:rPr>
          <w:rFonts w:eastAsia="Times New Roman" w:cs="Times New Roman"/>
          <w:noProof w:val="0"/>
          <w:szCs w:val="24"/>
          <w:lang w:eastAsia="en-GB"/>
        </w:rPr>
        <w:t xml:space="preserve"> (Accessed: 30 March 2026).</w:t>
      </w:r>
    </w:p>
    <w:p w14:paraId="4764918B"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Hassan, H., Rohaizad, N.A.A. and Tarmizi, M.R. (2024) ‘CONCEPTUAL FRAMEWORK: THE COMMUNITY DEVELOPMENT IN INTERVENTION AND SOCIAL WELLBEING MODULE’, </w:t>
      </w:r>
      <w:r w:rsidRPr="009C729A">
        <w:rPr>
          <w:rFonts w:eastAsia="Times New Roman" w:cs="Times New Roman"/>
          <w:i/>
          <w:iCs/>
          <w:noProof w:val="0"/>
          <w:szCs w:val="24"/>
          <w:lang w:eastAsia="en-GB"/>
        </w:rPr>
        <w:t>Journal of Contemporary Social Science and Education Studies (JOCSSES) E-ISSN-2785-8774</w:t>
      </w:r>
      <w:r w:rsidRPr="009C729A">
        <w:rPr>
          <w:rFonts w:eastAsia="Times New Roman" w:cs="Times New Roman"/>
          <w:noProof w:val="0"/>
          <w:szCs w:val="24"/>
          <w:lang w:eastAsia="en-GB"/>
        </w:rPr>
        <w:t xml:space="preserve">, 4(3 (Special Issue)), pp. 49–54. Available at: </w:t>
      </w:r>
      <w:hyperlink r:id="rId9" w:history="1">
        <w:r w:rsidRPr="009C729A">
          <w:rPr>
            <w:rFonts w:eastAsia="Times New Roman" w:cs="Times New Roman"/>
            <w:noProof w:val="0"/>
            <w:color w:val="0000FF"/>
            <w:szCs w:val="24"/>
            <w:u w:val="single"/>
            <w:lang w:eastAsia="en-GB"/>
          </w:rPr>
          <w:t>http://www.jocss.com/index.php/multidiscipline/article/view/233</w:t>
        </w:r>
      </w:hyperlink>
      <w:r w:rsidRPr="009C729A">
        <w:rPr>
          <w:rFonts w:eastAsia="Times New Roman" w:cs="Times New Roman"/>
          <w:noProof w:val="0"/>
          <w:szCs w:val="24"/>
          <w:lang w:eastAsia="en-GB"/>
        </w:rPr>
        <w:t xml:space="preserve"> (Accessed: 30 March 2026).</w:t>
      </w:r>
    </w:p>
    <w:p w14:paraId="78305197"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Kim, E.S. </w:t>
      </w:r>
      <w:r w:rsidRPr="009C729A">
        <w:rPr>
          <w:rFonts w:eastAsia="Times New Roman" w:cs="Times New Roman"/>
          <w:i/>
          <w:iCs/>
          <w:noProof w:val="0"/>
          <w:szCs w:val="24"/>
          <w:lang w:eastAsia="en-GB"/>
        </w:rPr>
        <w:t>et al.</w:t>
      </w:r>
      <w:r w:rsidRPr="009C729A">
        <w:rPr>
          <w:rFonts w:eastAsia="Times New Roman" w:cs="Times New Roman"/>
          <w:noProof w:val="0"/>
          <w:szCs w:val="24"/>
          <w:lang w:eastAsia="en-GB"/>
        </w:rPr>
        <w:t xml:space="preserve"> (2021) ‘Resilient Aging: Psychological Well-Being and Social Well-Being as Targets for the Promotion of Healthy Aging’, </w:t>
      </w:r>
      <w:r w:rsidRPr="009C729A">
        <w:rPr>
          <w:rFonts w:eastAsia="Times New Roman" w:cs="Times New Roman"/>
          <w:i/>
          <w:iCs/>
          <w:noProof w:val="0"/>
          <w:szCs w:val="24"/>
          <w:lang w:eastAsia="en-GB"/>
        </w:rPr>
        <w:t>Gerontology and Geriatric Medicine</w:t>
      </w:r>
      <w:r w:rsidRPr="009C729A">
        <w:rPr>
          <w:rFonts w:eastAsia="Times New Roman" w:cs="Times New Roman"/>
          <w:noProof w:val="0"/>
          <w:szCs w:val="24"/>
          <w:lang w:eastAsia="en-GB"/>
        </w:rPr>
        <w:t xml:space="preserve">, 7, p. 23337214211002951. Available at: </w:t>
      </w:r>
      <w:hyperlink r:id="rId10" w:history="1">
        <w:r w:rsidRPr="009C729A">
          <w:rPr>
            <w:rFonts w:eastAsia="Times New Roman" w:cs="Times New Roman"/>
            <w:noProof w:val="0"/>
            <w:color w:val="0000FF"/>
            <w:szCs w:val="24"/>
            <w:u w:val="single"/>
            <w:lang w:eastAsia="en-GB"/>
          </w:rPr>
          <w:t>https://doi.org/10.1177/23337214211002951</w:t>
        </w:r>
      </w:hyperlink>
      <w:r w:rsidRPr="009C729A">
        <w:rPr>
          <w:rFonts w:eastAsia="Times New Roman" w:cs="Times New Roman"/>
          <w:noProof w:val="0"/>
          <w:szCs w:val="24"/>
          <w:lang w:eastAsia="en-GB"/>
        </w:rPr>
        <w:t>.</w:t>
      </w:r>
    </w:p>
    <w:p w14:paraId="70B714B9"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Marks, D.F. </w:t>
      </w:r>
      <w:r w:rsidRPr="009C729A">
        <w:rPr>
          <w:rFonts w:eastAsia="Times New Roman" w:cs="Times New Roman"/>
          <w:i/>
          <w:iCs/>
          <w:noProof w:val="0"/>
          <w:szCs w:val="24"/>
          <w:lang w:eastAsia="en-GB"/>
        </w:rPr>
        <w:t>et al.</w:t>
      </w:r>
      <w:r w:rsidRPr="009C729A">
        <w:rPr>
          <w:rFonts w:eastAsia="Times New Roman" w:cs="Times New Roman"/>
          <w:noProof w:val="0"/>
          <w:szCs w:val="24"/>
          <w:lang w:eastAsia="en-GB"/>
        </w:rPr>
        <w:t xml:space="preserve"> (2024) ‘Health psychology: Theory, research and practice’. Available at: </w:t>
      </w:r>
      <w:hyperlink r:id="rId11" w:history="1">
        <w:r w:rsidRPr="009C729A">
          <w:rPr>
            <w:rFonts w:eastAsia="Times New Roman" w:cs="Times New Roman"/>
            <w:noProof w:val="0"/>
            <w:color w:val="0000FF"/>
            <w:szCs w:val="24"/>
            <w:u w:val="single"/>
            <w:lang w:eastAsia="en-GB"/>
          </w:rPr>
          <w:t>https://www.torrossa.com/gs/resourceProxy?an=5730599&amp;publisher=FZ7200</w:t>
        </w:r>
      </w:hyperlink>
      <w:r w:rsidRPr="009C729A">
        <w:rPr>
          <w:rFonts w:eastAsia="Times New Roman" w:cs="Times New Roman"/>
          <w:noProof w:val="0"/>
          <w:szCs w:val="24"/>
          <w:lang w:eastAsia="en-GB"/>
        </w:rPr>
        <w:t xml:space="preserve"> (Accessed: 30 March 2026).</w:t>
      </w:r>
    </w:p>
    <w:p w14:paraId="3AA2FB9D"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Parker, J. and Ashencaen Crabtree, S. (2020) </w:t>
      </w:r>
      <w:r w:rsidRPr="009C729A">
        <w:rPr>
          <w:rFonts w:eastAsia="Times New Roman" w:cs="Times New Roman"/>
          <w:i/>
          <w:iCs/>
          <w:noProof w:val="0"/>
          <w:szCs w:val="24"/>
          <w:lang w:eastAsia="en-GB"/>
        </w:rPr>
        <w:t>Human Growth and Development in Adults: Theoretical and Practice Perspectives</w:t>
      </w:r>
      <w:r w:rsidRPr="009C729A">
        <w:rPr>
          <w:rFonts w:eastAsia="Times New Roman" w:cs="Times New Roman"/>
          <w:noProof w:val="0"/>
          <w:szCs w:val="24"/>
          <w:lang w:eastAsia="en-GB"/>
        </w:rPr>
        <w:t xml:space="preserve">. Policy Press. Available at: </w:t>
      </w:r>
      <w:hyperlink r:id="rId12" w:history="1">
        <w:r w:rsidRPr="009C729A">
          <w:rPr>
            <w:rFonts w:eastAsia="Times New Roman" w:cs="Times New Roman"/>
            <w:noProof w:val="0"/>
            <w:color w:val="0000FF"/>
            <w:szCs w:val="24"/>
            <w:u w:val="single"/>
            <w:lang w:eastAsia="en-GB"/>
          </w:rPr>
          <w:t>https://books.google.com/books?hl=en&amp;lr=&amp;id=hXHnDwAAQBAJ&amp;oi=fnd&amp;pg=PR10&amp;dq=psychological+theories+relevant+to+adult+development+and+wellbeing+in+health+and+social+care.&amp;ots=FX4557PBNm&amp;sig=UzBrbqmtkwsi5HUynacCA2boOSI</w:t>
        </w:r>
      </w:hyperlink>
      <w:r w:rsidRPr="009C729A">
        <w:rPr>
          <w:rFonts w:eastAsia="Times New Roman" w:cs="Times New Roman"/>
          <w:noProof w:val="0"/>
          <w:szCs w:val="24"/>
          <w:lang w:eastAsia="en-GB"/>
        </w:rPr>
        <w:t xml:space="preserve"> (Accessed: 30 March 2026).</w:t>
      </w:r>
    </w:p>
    <w:p w14:paraId="199B79FF" w14:textId="77777777" w:rsidR="009C729A" w:rsidRPr="009C729A" w:rsidRDefault="009C729A" w:rsidP="002D4C70">
      <w:pPr>
        <w:spacing w:before="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Walker, J. and Horner, N. (2024) ‘Social work and human development’. Available at: </w:t>
      </w:r>
      <w:hyperlink r:id="rId13" w:history="1">
        <w:r w:rsidRPr="009C729A">
          <w:rPr>
            <w:rFonts w:eastAsia="Times New Roman" w:cs="Times New Roman"/>
            <w:noProof w:val="0"/>
            <w:color w:val="0000FF"/>
            <w:szCs w:val="24"/>
            <w:u w:val="single"/>
            <w:lang w:eastAsia="en-GB"/>
          </w:rPr>
          <w:t>https://www.torrossa.com/it/resources/an/5909106</w:t>
        </w:r>
      </w:hyperlink>
      <w:r w:rsidRPr="009C729A">
        <w:rPr>
          <w:rFonts w:eastAsia="Times New Roman" w:cs="Times New Roman"/>
          <w:noProof w:val="0"/>
          <w:szCs w:val="24"/>
          <w:lang w:eastAsia="en-GB"/>
        </w:rPr>
        <w:t xml:space="preserve"> (Accessed: 30 March 2026).</w:t>
      </w:r>
    </w:p>
    <w:p w14:paraId="4F3E51E5" w14:textId="77777777" w:rsidR="00F65425" w:rsidRDefault="009C729A" w:rsidP="002D4C70">
      <w:pPr>
        <w:spacing w:before="0" w:after="0"/>
        <w:ind w:left="720" w:hanging="720"/>
        <w:jc w:val="left"/>
        <w:rPr>
          <w:rFonts w:eastAsia="Times New Roman" w:cs="Times New Roman"/>
          <w:noProof w:val="0"/>
          <w:szCs w:val="24"/>
          <w:lang w:eastAsia="en-GB"/>
        </w:rPr>
      </w:pPr>
      <w:r w:rsidRPr="009C729A">
        <w:rPr>
          <w:rFonts w:eastAsia="Times New Roman" w:cs="Times New Roman"/>
          <w:noProof w:val="0"/>
          <w:szCs w:val="24"/>
          <w:lang w:eastAsia="en-GB"/>
        </w:rPr>
        <w:t xml:space="preserve">Whitbourne, S.K., Whitbourne, S.B. and Konnert, C. (2021) </w:t>
      </w:r>
      <w:r w:rsidRPr="009C729A">
        <w:rPr>
          <w:rFonts w:eastAsia="Times New Roman" w:cs="Times New Roman"/>
          <w:i/>
          <w:iCs/>
          <w:noProof w:val="0"/>
          <w:szCs w:val="24"/>
          <w:lang w:eastAsia="en-GB"/>
        </w:rPr>
        <w:t>Adult development and aging</w:t>
      </w:r>
      <w:r w:rsidRPr="009C729A">
        <w:rPr>
          <w:rFonts w:eastAsia="Times New Roman" w:cs="Times New Roman"/>
          <w:noProof w:val="0"/>
          <w:szCs w:val="24"/>
          <w:lang w:eastAsia="en-GB"/>
        </w:rPr>
        <w:t xml:space="preserve">. John Wiley &amp; Sons. Available at: </w:t>
      </w:r>
      <w:hyperlink r:id="rId14" w:history="1">
        <w:r w:rsidRPr="009C729A">
          <w:rPr>
            <w:rFonts w:eastAsia="Times New Roman" w:cs="Times New Roman"/>
            <w:noProof w:val="0"/>
            <w:color w:val="0000FF"/>
            <w:szCs w:val="24"/>
            <w:u w:val="single"/>
            <w:lang w:eastAsia="en-GB"/>
          </w:rPr>
          <w:t>https://books.google.com/books?hl=en&amp;lr=&amp;id=6vC1EQAAQBAJ&amp;oi=fnd&amp;pg=PR12&amp;dq=psychological+theories+relevant+to+adult+development+and+wellbeing+in+health+and+social+care.&amp;ots=4gpHQATfNT&amp;sig=h1NpixmXkPq1dgO-3_nSvfkfA9I</w:t>
        </w:r>
      </w:hyperlink>
      <w:r w:rsidRPr="009C729A">
        <w:rPr>
          <w:rFonts w:eastAsia="Times New Roman" w:cs="Times New Roman"/>
          <w:noProof w:val="0"/>
          <w:szCs w:val="24"/>
          <w:lang w:eastAsia="en-GB"/>
        </w:rPr>
        <w:t xml:space="preserve"> (Accessed: 30 March 2026).</w:t>
      </w:r>
    </w:p>
    <w:p w14:paraId="74CF94CC" w14:textId="16EAF825" w:rsidR="001A68DD" w:rsidRPr="009C729A" w:rsidRDefault="001A68DD" w:rsidP="004C10A9"/>
    <w:sectPr w:rsidR="001A68DD" w:rsidRPr="009C729A" w:rsidSect="00004F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8DD"/>
    <w:rsid w:val="00004FA6"/>
    <w:rsid w:val="00073A9F"/>
    <w:rsid w:val="00090898"/>
    <w:rsid w:val="000A49B8"/>
    <w:rsid w:val="000A7800"/>
    <w:rsid w:val="000D48AC"/>
    <w:rsid w:val="001724EF"/>
    <w:rsid w:val="001A68DD"/>
    <w:rsid w:val="00230527"/>
    <w:rsid w:val="00245719"/>
    <w:rsid w:val="00254801"/>
    <w:rsid w:val="002577FA"/>
    <w:rsid w:val="002D4C70"/>
    <w:rsid w:val="002F6571"/>
    <w:rsid w:val="00324F63"/>
    <w:rsid w:val="003372E0"/>
    <w:rsid w:val="00360D57"/>
    <w:rsid w:val="003977D1"/>
    <w:rsid w:val="003A263D"/>
    <w:rsid w:val="00403DD8"/>
    <w:rsid w:val="00414CC7"/>
    <w:rsid w:val="00436328"/>
    <w:rsid w:val="0049274E"/>
    <w:rsid w:val="0049657C"/>
    <w:rsid w:val="004C10A9"/>
    <w:rsid w:val="004D0AA9"/>
    <w:rsid w:val="004E3048"/>
    <w:rsid w:val="004E604E"/>
    <w:rsid w:val="00546F61"/>
    <w:rsid w:val="00580877"/>
    <w:rsid w:val="005B5D30"/>
    <w:rsid w:val="005C355C"/>
    <w:rsid w:val="006C7159"/>
    <w:rsid w:val="006D2FA8"/>
    <w:rsid w:val="006E25C9"/>
    <w:rsid w:val="007A10D3"/>
    <w:rsid w:val="007A2E54"/>
    <w:rsid w:val="00840F3C"/>
    <w:rsid w:val="009C729A"/>
    <w:rsid w:val="009D7C41"/>
    <w:rsid w:val="009E136B"/>
    <w:rsid w:val="00A0654A"/>
    <w:rsid w:val="00A8545B"/>
    <w:rsid w:val="00AD18A8"/>
    <w:rsid w:val="00B53FBC"/>
    <w:rsid w:val="00BB70DB"/>
    <w:rsid w:val="00BD5517"/>
    <w:rsid w:val="00C713EB"/>
    <w:rsid w:val="00D61F35"/>
    <w:rsid w:val="00D673B4"/>
    <w:rsid w:val="00DC4530"/>
    <w:rsid w:val="00DE34D8"/>
    <w:rsid w:val="00E61401"/>
    <w:rsid w:val="00EA16FC"/>
    <w:rsid w:val="00EC44AA"/>
    <w:rsid w:val="00F01449"/>
    <w:rsid w:val="00F65425"/>
    <w:rsid w:val="00F71D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B794"/>
  <w15:docId w15:val="{6573FF12-8F4B-48ED-B308-0B6938F21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8A8"/>
    <w:pPr>
      <w:spacing w:before="120" w:after="120"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6D2FA8"/>
    <w:pPr>
      <w:outlineLvl w:val="0"/>
    </w:pPr>
    <w:rPr>
      <w:b/>
      <w:bCs/>
    </w:rPr>
  </w:style>
  <w:style w:type="paragraph" w:styleId="Heading2">
    <w:name w:val="heading 2"/>
    <w:basedOn w:val="Normal"/>
    <w:next w:val="Normal"/>
    <w:link w:val="Heading2Char"/>
    <w:autoRedefine/>
    <w:uiPriority w:val="9"/>
    <w:unhideWhenUsed/>
    <w:qFormat/>
    <w:rsid w:val="006D2FA8"/>
    <w:pPr>
      <w:spacing w:line="480" w:lineRule="auto"/>
      <w:outlineLvl w:val="1"/>
    </w:pPr>
    <w:rPr>
      <w:rFonts w:cs="Segoe UI"/>
      <w:b/>
      <w:i/>
      <w:iCs/>
      <w:szCs w:val="28"/>
      <w:lang w:eastAsia="en-GB"/>
    </w:rPr>
  </w:style>
  <w:style w:type="paragraph" w:styleId="Heading3">
    <w:name w:val="heading 3"/>
    <w:basedOn w:val="Normal"/>
    <w:next w:val="Normal"/>
    <w:link w:val="Heading3Char"/>
    <w:autoRedefine/>
    <w:uiPriority w:val="9"/>
    <w:semiHidden/>
    <w:unhideWhenUsed/>
    <w:qFormat/>
    <w:rsid w:val="00A8545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FA8"/>
    <w:rPr>
      <w:rFonts w:ascii="Times New Roman" w:hAnsi="Times New Roman"/>
      <w:b/>
      <w:bCs/>
      <w:noProof/>
      <w:sz w:val="24"/>
    </w:rPr>
  </w:style>
  <w:style w:type="character" w:customStyle="1" w:styleId="Heading2Char">
    <w:name w:val="Heading 2 Char"/>
    <w:basedOn w:val="DefaultParagraphFont"/>
    <w:link w:val="Heading2"/>
    <w:uiPriority w:val="9"/>
    <w:rsid w:val="006D2FA8"/>
    <w:rPr>
      <w:rFonts w:ascii="Times New Roman" w:hAnsi="Times New Roman" w:cs="Segoe UI"/>
      <w:b/>
      <w:i/>
      <w:iCs/>
      <w:noProof/>
      <w:sz w:val="24"/>
      <w:szCs w:val="28"/>
      <w:lang w:eastAsia="en-GB"/>
    </w:rPr>
  </w:style>
  <w:style w:type="paragraph" w:styleId="TOC1">
    <w:name w:val="toc 1"/>
    <w:basedOn w:val="Normal"/>
    <w:next w:val="Normal"/>
    <w:autoRedefine/>
    <w:uiPriority w:val="39"/>
    <w:unhideWhenUsed/>
    <w:qFormat/>
    <w:rsid w:val="006E25C9"/>
    <w:pPr>
      <w:spacing w:before="0" w:after="100" w:line="259" w:lineRule="auto"/>
      <w:jc w:val="left"/>
    </w:pPr>
    <w:rPr>
      <w:rFonts w:asciiTheme="minorHAnsi" w:eastAsiaTheme="minorEastAsia" w:hAnsiTheme="minorHAnsi" w:cs="Times New Roman"/>
      <w:sz w:val="22"/>
      <w:lang w:val="en-US"/>
    </w:rPr>
  </w:style>
  <w:style w:type="character" w:customStyle="1" w:styleId="Heading3Char">
    <w:name w:val="Heading 3 Char"/>
    <w:basedOn w:val="DefaultParagraphFont"/>
    <w:link w:val="Heading3"/>
    <w:uiPriority w:val="9"/>
    <w:semiHidden/>
    <w:rsid w:val="00A8545B"/>
    <w:rPr>
      <w:rFonts w:ascii="Times New Roman" w:eastAsiaTheme="majorEastAsia" w:hAnsi="Times New Roman" w:cstheme="majorBidi"/>
      <w:b/>
      <w:sz w:val="24"/>
      <w:szCs w:val="24"/>
    </w:rPr>
  </w:style>
  <w:style w:type="character" w:styleId="Hyperlink">
    <w:name w:val="Hyperlink"/>
    <w:basedOn w:val="DefaultParagraphFont"/>
    <w:uiPriority w:val="99"/>
    <w:unhideWhenUsed/>
    <w:rsid w:val="009C729A"/>
    <w:rPr>
      <w:color w:val="0000FF"/>
      <w:u w:val="single"/>
    </w:rPr>
  </w:style>
  <w:style w:type="paragraph" w:styleId="TOCHeading">
    <w:name w:val="TOC Heading"/>
    <w:basedOn w:val="Heading1"/>
    <w:next w:val="Normal"/>
    <w:uiPriority w:val="39"/>
    <w:unhideWhenUsed/>
    <w:qFormat/>
    <w:rsid w:val="004C10A9"/>
    <w:pPr>
      <w:keepNext/>
      <w:keepLines/>
      <w:spacing w:before="240" w:after="0" w:line="259" w:lineRule="auto"/>
      <w:jc w:val="left"/>
      <w:outlineLvl w:val="9"/>
    </w:pPr>
    <w:rPr>
      <w:rFonts w:asciiTheme="majorHAnsi" w:eastAsiaTheme="majorEastAsia" w:hAnsiTheme="majorHAnsi" w:cstheme="majorBidi"/>
      <w:b w:val="0"/>
      <w:bCs w:val="0"/>
      <w:noProof w:val="0"/>
      <w:color w:val="2F5496" w:themeColor="accent1" w:themeShade="BF"/>
      <w:sz w:val="32"/>
      <w:szCs w:val="32"/>
      <w:lang w:val="en-US"/>
    </w:rPr>
  </w:style>
  <w:style w:type="paragraph" w:styleId="TOC2">
    <w:name w:val="toc 2"/>
    <w:basedOn w:val="Normal"/>
    <w:next w:val="Normal"/>
    <w:autoRedefine/>
    <w:uiPriority w:val="39"/>
    <w:unhideWhenUsed/>
    <w:rsid w:val="004C10A9"/>
    <w:pPr>
      <w:spacing w:after="100"/>
      <w:ind w:left="240"/>
    </w:pPr>
  </w:style>
  <w:style w:type="paragraph" w:styleId="BalloonText">
    <w:name w:val="Balloon Text"/>
    <w:basedOn w:val="Normal"/>
    <w:link w:val="BalloonTextChar"/>
    <w:uiPriority w:val="99"/>
    <w:semiHidden/>
    <w:unhideWhenUsed/>
    <w:rsid w:val="00403DD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DD8"/>
    <w:rPr>
      <w:rFonts w:ascii="Tahoma"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487874">
      <w:bodyDiv w:val="1"/>
      <w:marLeft w:val="0"/>
      <w:marRight w:val="0"/>
      <w:marTop w:val="0"/>
      <w:marBottom w:val="0"/>
      <w:divBdr>
        <w:top w:val="none" w:sz="0" w:space="0" w:color="auto"/>
        <w:left w:val="none" w:sz="0" w:space="0" w:color="auto"/>
        <w:bottom w:val="none" w:sz="0" w:space="0" w:color="auto"/>
        <w:right w:val="none" w:sz="0" w:space="0" w:color="auto"/>
      </w:divBdr>
    </w:div>
    <w:div w:id="535393381">
      <w:bodyDiv w:val="1"/>
      <w:marLeft w:val="0"/>
      <w:marRight w:val="0"/>
      <w:marTop w:val="0"/>
      <w:marBottom w:val="0"/>
      <w:divBdr>
        <w:top w:val="none" w:sz="0" w:space="0" w:color="auto"/>
        <w:left w:val="none" w:sz="0" w:space="0" w:color="auto"/>
        <w:bottom w:val="none" w:sz="0" w:space="0" w:color="auto"/>
        <w:right w:val="none" w:sz="0" w:space="0" w:color="auto"/>
      </w:divBdr>
    </w:div>
    <w:div w:id="628703947">
      <w:bodyDiv w:val="1"/>
      <w:marLeft w:val="0"/>
      <w:marRight w:val="0"/>
      <w:marTop w:val="0"/>
      <w:marBottom w:val="0"/>
      <w:divBdr>
        <w:top w:val="none" w:sz="0" w:space="0" w:color="auto"/>
        <w:left w:val="none" w:sz="0" w:space="0" w:color="auto"/>
        <w:bottom w:val="none" w:sz="0" w:space="0" w:color="auto"/>
        <w:right w:val="none" w:sz="0" w:space="0" w:color="auto"/>
      </w:divBdr>
    </w:div>
    <w:div w:id="806046855">
      <w:bodyDiv w:val="1"/>
      <w:marLeft w:val="0"/>
      <w:marRight w:val="0"/>
      <w:marTop w:val="0"/>
      <w:marBottom w:val="0"/>
      <w:divBdr>
        <w:top w:val="none" w:sz="0" w:space="0" w:color="auto"/>
        <w:left w:val="none" w:sz="0" w:space="0" w:color="auto"/>
        <w:bottom w:val="none" w:sz="0" w:space="0" w:color="auto"/>
        <w:right w:val="none" w:sz="0" w:space="0" w:color="auto"/>
      </w:divBdr>
    </w:div>
    <w:div w:id="1023241379">
      <w:bodyDiv w:val="1"/>
      <w:marLeft w:val="0"/>
      <w:marRight w:val="0"/>
      <w:marTop w:val="0"/>
      <w:marBottom w:val="0"/>
      <w:divBdr>
        <w:top w:val="none" w:sz="0" w:space="0" w:color="auto"/>
        <w:left w:val="none" w:sz="0" w:space="0" w:color="auto"/>
        <w:bottom w:val="none" w:sz="0" w:space="0" w:color="auto"/>
        <w:right w:val="none" w:sz="0" w:space="0" w:color="auto"/>
      </w:divBdr>
      <w:divsChild>
        <w:div w:id="1178497857">
          <w:marLeft w:val="0"/>
          <w:marRight w:val="0"/>
          <w:marTop w:val="0"/>
          <w:marBottom w:val="0"/>
          <w:divBdr>
            <w:top w:val="none" w:sz="0" w:space="0" w:color="auto"/>
            <w:left w:val="none" w:sz="0" w:space="0" w:color="auto"/>
            <w:bottom w:val="none" w:sz="0" w:space="0" w:color="auto"/>
            <w:right w:val="none" w:sz="0" w:space="0" w:color="auto"/>
          </w:divBdr>
          <w:divsChild>
            <w:div w:id="1351373588">
              <w:marLeft w:val="0"/>
              <w:marRight w:val="0"/>
              <w:marTop w:val="0"/>
              <w:marBottom w:val="240"/>
              <w:divBdr>
                <w:top w:val="none" w:sz="0" w:space="0" w:color="auto"/>
                <w:left w:val="none" w:sz="0" w:space="0" w:color="auto"/>
                <w:bottom w:val="none" w:sz="0" w:space="0" w:color="auto"/>
                <w:right w:val="none" w:sz="0" w:space="0" w:color="auto"/>
              </w:divBdr>
            </w:div>
            <w:div w:id="1249463875">
              <w:marLeft w:val="0"/>
              <w:marRight w:val="0"/>
              <w:marTop w:val="0"/>
              <w:marBottom w:val="240"/>
              <w:divBdr>
                <w:top w:val="none" w:sz="0" w:space="0" w:color="auto"/>
                <w:left w:val="none" w:sz="0" w:space="0" w:color="auto"/>
                <w:bottom w:val="none" w:sz="0" w:space="0" w:color="auto"/>
                <w:right w:val="none" w:sz="0" w:space="0" w:color="auto"/>
              </w:divBdr>
            </w:div>
            <w:div w:id="5598227">
              <w:marLeft w:val="0"/>
              <w:marRight w:val="0"/>
              <w:marTop w:val="0"/>
              <w:marBottom w:val="240"/>
              <w:divBdr>
                <w:top w:val="none" w:sz="0" w:space="0" w:color="auto"/>
                <w:left w:val="none" w:sz="0" w:space="0" w:color="auto"/>
                <w:bottom w:val="none" w:sz="0" w:space="0" w:color="auto"/>
                <w:right w:val="none" w:sz="0" w:space="0" w:color="auto"/>
              </w:divBdr>
            </w:div>
            <w:div w:id="1092434955">
              <w:marLeft w:val="0"/>
              <w:marRight w:val="0"/>
              <w:marTop w:val="0"/>
              <w:marBottom w:val="240"/>
              <w:divBdr>
                <w:top w:val="none" w:sz="0" w:space="0" w:color="auto"/>
                <w:left w:val="none" w:sz="0" w:space="0" w:color="auto"/>
                <w:bottom w:val="none" w:sz="0" w:space="0" w:color="auto"/>
                <w:right w:val="none" w:sz="0" w:space="0" w:color="auto"/>
              </w:divBdr>
            </w:div>
            <w:div w:id="406459373">
              <w:marLeft w:val="0"/>
              <w:marRight w:val="0"/>
              <w:marTop w:val="0"/>
              <w:marBottom w:val="240"/>
              <w:divBdr>
                <w:top w:val="none" w:sz="0" w:space="0" w:color="auto"/>
                <w:left w:val="none" w:sz="0" w:space="0" w:color="auto"/>
                <w:bottom w:val="none" w:sz="0" w:space="0" w:color="auto"/>
                <w:right w:val="none" w:sz="0" w:space="0" w:color="auto"/>
              </w:divBdr>
            </w:div>
            <w:div w:id="2075661493">
              <w:marLeft w:val="0"/>
              <w:marRight w:val="0"/>
              <w:marTop w:val="0"/>
              <w:marBottom w:val="240"/>
              <w:divBdr>
                <w:top w:val="none" w:sz="0" w:space="0" w:color="auto"/>
                <w:left w:val="none" w:sz="0" w:space="0" w:color="auto"/>
                <w:bottom w:val="none" w:sz="0" w:space="0" w:color="auto"/>
                <w:right w:val="none" w:sz="0" w:space="0" w:color="auto"/>
              </w:divBdr>
            </w:div>
            <w:div w:id="2052918884">
              <w:marLeft w:val="0"/>
              <w:marRight w:val="0"/>
              <w:marTop w:val="0"/>
              <w:marBottom w:val="240"/>
              <w:divBdr>
                <w:top w:val="none" w:sz="0" w:space="0" w:color="auto"/>
                <w:left w:val="none" w:sz="0" w:space="0" w:color="auto"/>
                <w:bottom w:val="none" w:sz="0" w:space="0" w:color="auto"/>
                <w:right w:val="none" w:sz="0" w:space="0" w:color="auto"/>
              </w:divBdr>
            </w:div>
            <w:div w:id="658384182">
              <w:marLeft w:val="0"/>
              <w:marRight w:val="0"/>
              <w:marTop w:val="0"/>
              <w:marBottom w:val="240"/>
              <w:divBdr>
                <w:top w:val="none" w:sz="0" w:space="0" w:color="auto"/>
                <w:left w:val="none" w:sz="0" w:space="0" w:color="auto"/>
                <w:bottom w:val="none" w:sz="0" w:space="0" w:color="auto"/>
                <w:right w:val="none" w:sz="0" w:space="0" w:color="auto"/>
              </w:divBdr>
            </w:div>
            <w:div w:id="420181009">
              <w:marLeft w:val="0"/>
              <w:marRight w:val="0"/>
              <w:marTop w:val="0"/>
              <w:marBottom w:val="240"/>
              <w:divBdr>
                <w:top w:val="none" w:sz="0" w:space="0" w:color="auto"/>
                <w:left w:val="none" w:sz="0" w:space="0" w:color="auto"/>
                <w:bottom w:val="none" w:sz="0" w:space="0" w:color="auto"/>
                <w:right w:val="none" w:sz="0" w:space="0" w:color="auto"/>
              </w:divBdr>
            </w:div>
            <w:div w:id="14033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050651">
      <w:bodyDiv w:val="1"/>
      <w:marLeft w:val="0"/>
      <w:marRight w:val="0"/>
      <w:marTop w:val="0"/>
      <w:marBottom w:val="0"/>
      <w:divBdr>
        <w:top w:val="none" w:sz="0" w:space="0" w:color="auto"/>
        <w:left w:val="none" w:sz="0" w:space="0" w:color="auto"/>
        <w:bottom w:val="none" w:sz="0" w:space="0" w:color="auto"/>
        <w:right w:val="none" w:sz="0" w:space="0" w:color="auto"/>
      </w:divBdr>
    </w:div>
    <w:div w:id="123786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352250X23000246" TargetMode="External"/><Relationship Id="rId13" Type="http://schemas.openxmlformats.org/officeDocument/2006/relationships/hyperlink" Target="https://www.torrossa.com/it/resources/an/5909106" TargetMode="External"/><Relationship Id="rId3" Type="http://schemas.openxmlformats.org/officeDocument/2006/relationships/settings" Target="settings.xml"/><Relationship Id="rId7" Type="http://schemas.openxmlformats.org/officeDocument/2006/relationships/hyperlink" Target="https://doi.org/10.1186/s40985-020-00142-5" TargetMode="External"/><Relationship Id="rId12" Type="http://schemas.openxmlformats.org/officeDocument/2006/relationships/hyperlink" Target="https://books.google.com/books?hl=en&amp;lr=&amp;id=hXHnDwAAQBAJ&amp;oi=fnd&amp;pg=PR10&amp;dq=psychological+theories+relevant+to+adult+development+and+wellbeing+in+health+and+social+care.&amp;ots=FX4557PBNm&amp;sig=UzBrbqmtkwsi5HUynacCA2boOS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frontiersin.org/journals/medicine/articles/10.3389/fmed.2021.517226/full" TargetMode="External"/><Relationship Id="rId11" Type="http://schemas.openxmlformats.org/officeDocument/2006/relationships/hyperlink" Target="https://www.torrossa.com/gs/resourceProxy?an=5730599&amp;publisher=FZ7200" TargetMode="External"/><Relationship Id="rId5" Type="http://schemas.openxmlformats.org/officeDocument/2006/relationships/hyperlink" Target="https://psycnet.apa.org/record/2020-29966-006" TargetMode="External"/><Relationship Id="rId15" Type="http://schemas.openxmlformats.org/officeDocument/2006/relationships/fontTable" Target="fontTable.xml"/><Relationship Id="rId10" Type="http://schemas.openxmlformats.org/officeDocument/2006/relationships/hyperlink" Target="https://doi.org/10.1177/23337214211002951" TargetMode="External"/><Relationship Id="rId4" Type="http://schemas.openxmlformats.org/officeDocument/2006/relationships/webSettings" Target="webSettings.xml"/><Relationship Id="rId9" Type="http://schemas.openxmlformats.org/officeDocument/2006/relationships/hyperlink" Target="http://www.jocss.com/index.php/multidiscipline/article/view/233" TargetMode="External"/><Relationship Id="rId14" Type="http://schemas.openxmlformats.org/officeDocument/2006/relationships/hyperlink" Target="https://books.google.com/books?hl=en&amp;lr=&amp;id=6vC1EQAAQBAJ&amp;oi=fnd&amp;pg=PR12&amp;dq=psychological+theories+relevant+to+adult+development+and+wellbeing+in+health+and+social+care.&amp;ots=4gpHQATfNT&amp;sig=h1NpixmXkPq1dgO-3_nSvfkfA9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7DF12-A4F5-4020-B235-A4B6FBF8C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AUTHOR;Jose Ngonga</dc:creator>
  <cp:lastModifiedBy>jose ngonga</cp:lastModifiedBy>
  <cp:revision>16</cp:revision>
  <dcterms:created xsi:type="dcterms:W3CDTF">2026-04-10T15:38:00Z</dcterms:created>
  <dcterms:modified xsi:type="dcterms:W3CDTF">2026-04-16T13:57:00Z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f20cd2ac-6263-42cb-bc06-ddb7a1b0a6c7</vt:lpwstr>
  </property>
</Properties>
</file>