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EE1C94" w14:textId="77777777" w:rsidR="005036C4" w:rsidRPr="00B4558A" w:rsidRDefault="005036C4" w:rsidP="005036C4">
      <w:pPr>
        <w:spacing w:line="360" w:lineRule="auto"/>
        <w:jc w:val="center"/>
        <w:rPr>
          <w:rFonts w:ascii="Times New Roman" w:hAnsi="Times New Roman" w:cs="Times New Roman"/>
          <w:b/>
          <w:bCs/>
          <w:sz w:val="32"/>
          <w:szCs w:val="32"/>
        </w:rPr>
      </w:pPr>
      <w:r>
        <w:rPr>
          <w:noProof/>
        </w:rPr>
        <w:drawing>
          <wp:anchor distT="0" distB="0" distL="114300" distR="114300" simplePos="0" relativeHeight="251659264" behindDoc="0" locked="0" layoutInCell="1" allowOverlap="1" wp14:anchorId="1FCE2D19" wp14:editId="43A4D67F">
            <wp:simplePos x="0" y="0"/>
            <wp:positionH relativeFrom="column">
              <wp:posOffset>-627493</wp:posOffset>
            </wp:positionH>
            <wp:positionV relativeFrom="page">
              <wp:posOffset>436729</wp:posOffset>
            </wp:positionV>
            <wp:extent cx="1350645" cy="1350645"/>
            <wp:effectExtent l="0" t="0" r="1905" b="1905"/>
            <wp:wrapSquare wrapText="bothSides"/>
            <wp:docPr id="1991135309" name="Picture 1" descr="The University of Wales Trinity Saint David (UWTSD) - Logistics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The University of Wales Trinity Saint David (UWTSD) - Logistics Educa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50645" cy="13506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4558A">
        <w:rPr>
          <w:rFonts w:ascii="Times New Roman" w:hAnsi="Times New Roman" w:cs="Times New Roman"/>
          <w:b/>
          <w:bCs/>
          <w:sz w:val="32"/>
          <w:szCs w:val="32"/>
        </w:rPr>
        <w:t>UNIVERSITY OF WALES TRINITY SAINT DAVID (UWTSD)</w:t>
      </w:r>
      <w:r w:rsidRPr="00B4558A">
        <w:rPr>
          <w:rFonts w:ascii="Times New Roman" w:hAnsi="Times New Roman" w:cs="Times New Roman"/>
          <w:b/>
          <w:bCs/>
          <w:sz w:val="32"/>
          <w:szCs w:val="32"/>
        </w:rPr>
        <w:br/>
      </w:r>
    </w:p>
    <w:p w14:paraId="51CB30E8" w14:textId="77777777" w:rsidR="005036C4" w:rsidRPr="00B4558A" w:rsidRDefault="005036C4" w:rsidP="005036C4">
      <w:pPr>
        <w:spacing w:line="360" w:lineRule="auto"/>
        <w:jc w:val="both"/>
        <w:rPr>
          <w:rFonts w:ascii="Times New Roman" w:hAnsi="Times New Roman" w:cs="Times New Roman"/>
        </w:rPr>
      </w:pPr>
    </w:p>
    <w:p w14:paraId="7B2017A2" w14:textId="77777777" w:rsidR="005036C4" w:rsidRPr="00B4558A" w:rsidRDefault="005036C4" w:rsidP="005036C4">
      <w:pPr>
        <w:spacing w:line="360" w:lineRule="auto"/>
        <w:jc w:val="both"/>
        <w:rPr>
          <w:rFonts w:ascii="Times New Roman" w:hAnsi="Times New Roman" w:cs="Times New Roman"/>
        </w:rPr>
      </w:pPr>
    </w:p>
    <w:p w14:paraId="19379C83" w14:textId="77777777" w:rsidR="005036C4" w:rsidRPr="00B4558A" w:rsidRDefault="005036C4" w:rsidP="005036C4">
      <w:pPr>
        <w:spacing w:line="360" w:lineRule="auto"/>
        <w:jc w:val="both"/>
        <w:rPr>
          <w:rFonts w:ascii="Times New Roman" w:hAnsi="Times New Roman" w:cs="Times New Roman"/>
        </w:rPr>
      </w:pPr>
    </w:p>
    <w:p w14:paraId="057C0E68" w14:textId="77777777" w:rsidR="005036C4" w:rsidRPr="00B4558A" w:rsidRDefault="005036C4" w:rsidP="005036C4">
      <w:pPr>
        <w:spacing w:line="360" w:lineRule="auto"/>
        <w:jc w:val="both"/>
        <w:rPr>
          <w:rFonts w:ascii="Times New Roman" w:hAnsi="Times New Roman" w:cs="Times New Roman"/>
        </w:rPr>
      </w:pPr>
    </w:p>
    <w:p w14:paraId="034163D5" w14:textId="77777777" w:rsidR="005036C4" w:rsidRPr="00B4558A" w:rsidRDefault="005036C4" w:rsidP="005036C4">
      <w:pPr>
        <w:spacing w:line="360" w:lineRule="auto"/>
        <w:jc w:val="both"/>
        <w:rPr>
          <w:rFonts w:ascii="Times New Roman" w:hAnsi="Times New Roman" w:cs="Times New Roman"/>
        </w:rPr>
      </w:pPr>
    </w:p>
    <w:p w14:paraId="7E9F90C2" w14:textId="77777777" w:rsidR="005036C4" w:rsidRPr="005836E9" w:rsidRDefault="005036C4" w:rsidP="005036C4">
      <w:pPr>
        <w:spacing w:line="360" w:lineRule="auto"/>
        <w:jc w:val="center"/>
        <w:rPr>
          <w:rFonts w:ascii="Times New Roman" w:hAnsi="Times New Roman" w:cs="Times New Roman"/>
          <w:b/>
          <w:bCs/>
          <w:color w:val="4472C4" w:themeColor="accent1"/>
          <w:sz w:val="40"/>
          <w:szCs w:val="40"/>
        </w:rPr>
      </w:pPr>
      <w:r w:rsidRPr="005836E9">
        <w:rPr>
          <w:rFonts w:ascii="Times New Roman" w:hAnsi="Times New Roman" w:cs="Times New Roman"/>
          <w:b/>
          <w:bCs/>
          <w:color w:val="4472C4" w:themeColor="accent1"/>
          <w:sz w:val="40"/>
          <w:szCs w:val="40"/>
        </w:rPr>
        <w:t>LCBB6015 Strategic Management and Sustainability</w:t>
      </w:r>
    </w:p>
    <w:p w14:paraId="5D74DB56" w14:textId="12C0350B" w:rsidR="005036C4" w:rsidRPr="005036C4" w:rsidRDefault="005036C4" w:rsidP="005036C4">
      <w:pPr>
        <w:spacing w:line="360" w:lineRule="auto"/>
        <w:jc w:val="center"/>
        <w:rPr>
          <w:rFonts w:ascii="Times New Roman" w:hAnsi="Times New Roman" w:cs="Times New Roman"/>
          <w:b/>
          <w:bCs/>
          <w:sz w:val="32"/>
          <w:szCs w:val="32"/>
        </w:rPr>
      </w:pPr>
      <w:r w:rsidRPr="005036C4">
        <w:rPr>
          <w:rFonts w:ascii="Times New Roman" w:hAnsi="Times New Roman" w:cs="Times New Roman"/>
          <w:b/>
          <w:bCs/>
          <w:sz w:val="32"/>
          <w:szCs w:val="32"/>
        </w:rPr>
        <w:t>STRATEGIC MANAGEMENT &amp; AUTOMOTIVE INDUSTRIAL ECONOMICS</w:t>
      </w:r>
    </w:p>
    <w:p w14:paraId="5D630FDE" w14:textId="3F6739A9" w:rsidR="005036C4" w:rsidRPr="005036C4" w:rsidRDefault="005036C4" w:rsidP="005036C4">
      <w:pPr>
        <w:spacing w:line="360" w:lineRule="auto"/>
        <w:jc w:val="center"/>
        <w:rPr>
          <w:rFonts w:ascii="Times New Roman" w:hAnsi="Times New Roman" w:cs="Times New Roman"/>
          <w:b/>
          <w:bCs/>
          <w:sz w:val="32"/>
          <w:szCs w:val="32"/>
        </w:rPr>
      </w:pPr>
      <w:r w:rsidRPr="005036C4">
        <w:rPr>
          <w:rFonts w:ascii="Times New Roman" w:hAnsi="Times New Roman" w:cs="Times New Roman"/>
          <w:b/>
          <w:bCs/>
          <w:sz w:val="32"/>
          <w:szCs w:val="32"/>
        </w:rPr>
        <w:t>VOLVO CAR GROUP</w:t>
      </w:r>
    </w:p>
    <w:p w14:paraId="670F4B41" w14:textId="77777777" w:rsidR="005036C4" w:rsidRPr="00B4558A" w:rsidRDefault="005036C4" w:rsidP="005036C4">
      <w:pPr>
        <w:spacing w:line="360" w:lineRule="auto"/>
        <w:jc w:val="both"/>
        <w:rPr>
          <w:rFonts w:ascii="Times New Roman" w:hAnsi="Times New Roman" w:cs="Times New Roman"/>
        </w:rPr>
      </w:pPr>
    </w:p>
    <w:p w14:paraId="50C6F4B9" w14:textId="77777777" w:rsidR="005036C4" w:rsidRPr="00B4558A" w:rsidRDefault="005036C4" w:rsidP="005036C4">
      <w:pPr>
        <w:spacing w:line="360" w:lineRule="auto"/>
        <w:jc w:val="both"/>
        <w:rPr>
          <w:rFonts w:ascii="Times New Roman" w:hAnsi="Times New Roman" w:cs="Times New Roman"/>
        </w:rPr>
      </w:pPr>
    </w:p>
    <w:p w14:paraId="7BA73D90" w14:textId="77777777" w:rsidR="005036C4" w:rsidRPr="00B4558A" w:rsidRDefault="005036C4" w:rsidP="005036C4">
      <w:pPr>
        <w:spacing w:line="360" w:lineRule="auto"/>
        <w:jc w:val="both"/>
        <w:rPr>
          <w:rFonts w:ascii="Times New Roman" w:hAnsi="Times New Roman" w:cs="Times New Roman"/>
        </w:rPr>
      </w:pPr>
    </w:p>
    <w:p w14:paraId="59F1ADC7" w14:textId="77777777" w:rsidR="005036C4" w:rsidRPr="00B4558A" w:rsidRDefault="005036C4" w:rsidP="005036C4">
      <w:pPr>
        <w:spacing w:line="360" w:lineRule="auto"/>
        <w:jc w:val="both"/>
        <w:rPr>
          <w:rFonts w:ascii="Times New Roman" w:hAnsi="Times New Roman" w:cs="Times New Roman"/>
        </w:rPr>
      </w:pPr>
    </w:p>
    <w:p w14:paraId="27A49DDC" w14:textId="77777777" w:rsidR="005036C4" w:rsidRPr="005836E9" w:rsidRDefault="005036C4" w:rsidP="005036C4">
      <w:pPr>
        <w:spacing w:line="360" w:lineRule="auto"/>
        <w:jc w:val="both"/>
        <w:rPr>
          <w:rFonts w:ascii="Times New Roman" w:hAnsi="Times New Roman" w:cs="Times New Roman"/>
          <w:b/>
          <w:bCs/>
          <w:sz w:val="32"/>
          <w:szCs w:val="32"/>
        </w:rPr>
      </w:pPr>
    </w:p>
    <w:p w14:paraId="7148D058" w14:textId="77777777" w:rsidR="005036C4" w:rsidRPr="005836E9" w:rsidRDefault="005036C4" w:rsidP="005036C4">
      <w:pPr>
        <w:spacing w:line="360" w:lineRule="auto"/>
        <w:jc w:val="both"/>
        <w:rPr>
          <w:rFonts w:ascii="Times New Roman" w:hAnsi="Times New Roman" w:cs="Times New Roman"/>
          <w:b/>
          <w:bCs/>
          <w:sz w:val="32"/>
          <w:szCs w:val="32"/>
        </w:rPr>
      </w:pPr>
      <w:r w:rsidRPr="005836E9">
        <w:rPr>
          <w:rFonts w:ascii="Times New Roman" w:hAnsi="Times New Roman" w:cs="Times New Roman"/>
          <w:b/>
          <w:bCs/>
          <w:sz w:val="32"/>
          <w:szCs w:val="32"/>
        </w:rPr>
        <w:t>STUDENT NAME: CODRIN-IOAN CHIRCIU</w:t>
      </w:r>
    </w:p>
    <w:p w14:paraId="116DAE7E" w14:textId="77777777" w:rsidR="005036C4" w:rsidRPr="005836E9" w:rsidRDefault="005036C4" w:rsidP="005036C4">
      <w:pPr>
        <w:spacing w:line="360" w:lineRule="auto"/>
        <w:jc w:val="both"/>
        <w:rPr>
          <w:rFonts w:ascii="Times New Roman" w:hAnsi="Times New Roman" w:cs="Times New Roman"/>
          <w:b/>
          <w:bCs/>
          <w:sz w:val="32"/>
          <w:szCs w:val="32"/>
        </w:rPr>
      </w:pPr>
      <w:r w:rsidRPr="005836E9">
        <w:rPr>
          <w:rFonts w:ascii="Times New Roman" w:hAnsi="Times New Roman" w:cs="Times New Roman"/>
          <w:b/>
          <w:bCs/>
          <w:sz w:val="32"/>
          <w:szCs w:val="32"/>
        </w:rPr>
        <w:t>STUDENT ID: 2027548</w:t>
      </w:r>
    </w:p>
    <w:p w14:paraId="5B7268BA" w14:textId="77777777" w:rsidR="003F3AA8" w:rsidRDefault="003F3AA8" w:rsidP="00D16EE1">
      <w:pPr>
        <w:jc w:val="both"/>
        <w:rPr>
          <w:b/>
          <w:bCs/>
        </w:rPr>
      </w:pPr>
    </w:p>
    <w:sdt>
      <w:sdtPr>
        <w:id w:val="-1141567262"/>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14:paraId="004F4A42" w14:textId="638457B1" w:rsidR="005036C4" w:rsidRDefault="005036C4">
          <w:pPr>
            <w:pStyle w:val="TOCHeading"/>
          </w:pPr>
          <w:r>
            <w:t>Contents</w:t>
          </w:r>
        </w:p>
        <w:p w14:paraId="79D645D1" w14:textId="32CE55CE" w:rsidR="005036C4" w:rsidRDefault="005036C4">
          <w:pPr>
            <w:pStyle w:val="TOC1"/>
            <w:tabs>
              <w:tab w:val="right" w:leader="dot" w:pos="9350"/>
            </w:tabs>
            <w:rPr>
              <w:noProof/>
            </w:rPr>
          </w:pPr>
          <w:r>
            <w:fldChar w:fldCharType="begin"/>
          </w:r>
          <w:r>
            <w:instrText xml:space="preserve"> TOC \o "1-3" \h \z \u </w:instrText>
          </w:r>
          <w:r>
            <w:fldChar w:fldCharType="separate"/>
          </w:r>
          <w:hyperlink w:anchor="_Toc237898929" w:history="1">
            <w:r w:rsidRPr="000F08EF">
              <w:rPr>
                <w:rStyle w:val="Hyperlink"/>
                <w:rFonts w:ascii="Times New Roman" w:hAnsi="Times New Roman" w:cs="Times New Roman"/>
                <w:noProof/>
              </w:rPr>
              <w:t>1. EXECUTIVE SUMMARY</w:t>
            </w:r>
            <w:r>
              <w:rPr>
                <w:noProof/>
                <w:webHidden/>
              </w:rPr>
              <w:tab/>
            </w:r>
            <w:r>
              <w:rPr>
                <w:noProof/>
                <w:webHidden/>
              </w:rPr>
              <w:fldChar w:fldCharType="begin"/>
            </w:r>
            <w:r>
              <w:rPr>
                <w:noProof/>
                <w:webHidden/>
              </w:rPr>
              <w:instrText xml:space="preserve"> PAGEREF _Toc237898929 \h </w:instrText>
            </w:r>
            <w:r>
              <w:rPr>
                <w:noProof/>
                <w:webHidden/>
              </w:rPr>
            </w:r>
            <w:r>
              <w:rPr>
                <w:noProof/>
                <w:webHidden/>
              </w:rPr>
              <w:fldChar w:fldCharType="separate"/>
            </w:r>
            <w:r>
              <w:rPr>
                <w:noProof/>
                <w:webHidden/>
              </w:rPr>
              <w:t>3</w:t>
            </w:r>
            <w:r>
              <w:rPr>
                <w:noProof/>
                <w:webHidden/>
              </w:rPr>
              <w:fldChar w:fldCharType="end"/>
            </w:r>
          </w:hyperlink>
        </w:p>
        <w:p w14:paraId="2C4163A7" w14:textId="1B4B3153" w:rsidR="005036C4" w:rsidRDefault="005036C4">
          <w:pPr>
            <w:pStyle w:val="TOC1"/>
            <w:tabs>
              <w:tab w:val="right" w:leader="dot" w:pos="9350"/>
            </w:tabs>
            <w:rPr>
              <w:noProof/>
            </w:rPr>
          </w:pPr>
          <w:hyperlink w:anchor="_Toc237898930" w:history="1">
            <w:r w:rsidRPr="000F08EF">
              <w:rPr>
                <w:rStyle w:val="Hyperlink"/>
                <w:rFonts w:ascii="Times New Roman" w:hAnsi="Times New Roman" w:cs="Times New Roman"/>
                <w:noProof/>
              </w:rPr>
              <w:t>2. INTRODUCTION TO THE STRATEGY</w:t>
            </w:r>
            <w:r>
              <w:rPr>
                <w:noProof/>
                <w:webHidden/>
              </w:rPr>
              <w:tab/>
            </w:r>
            <w:r>
              <w:rPr>
                <w:noProof/>
                <w:webHidden/>
              </w:rPr>
              <w:fldChar w:fldCharType="begin"/>
            </w:r>
            <w:r>
              <w:rPr>
                <w:noProof/>
                <w:webHidden/>
              </w:rPr>
              <w:instrText xml:space="preserve"> PAGEREF _Toc237898930 \h </w:instrText>
            </w:r>
            <w:r>
              <w:rPr>
                <w:noProof/>
                <w:webHidden/>
              </w:rPr>
            </w:r>
            <w:r>
              <w:rPr>
                <w:noProof/>
                <w:webHidden/>
              </w:rPr>
              <w:fldChar w:fldCharType="separate"/>
            </w:r>
            <w:r>
              <w:rPr>
                <w:noProof/>
                <w:webHidden/>
              </w:rPr>
              <w:t>4</w:t>
            </w:r>
            <w:r>
              <w:rPr>
                <w:noProof/>
                <w:webHidden/>
              </w:rPr>
              <w:fldChar w:fldCharType="end"/>
            </w:r>
          </w:hyperlink>
        </w:p>
        <w:p w14:paraId="6398D9E7" w14:textId="2F9DB76D" w:rsidR="005036C4" w:rsidRDefault="005036C4">
          <w:pPr>
            <w:pStyle w:val="TOC1"/>
            <w:tabs>
              <w:tab w:val="right" w:leader="dot" w:pos="9350"/>
            </w:tabs>
            <w:rPr>
              <w:noProof/>
            </w:rPr>
          </w:pPr>
          <w:hyperlink w:anchor="_Toc237898931" w:history="1">
            <w:r w:rsidRPr="000F08EF">
              <w:rPr>
                <w:rStyle w:val="Hyperlink"/>
                <w:rFonts w:ascii="Times New Roman" w:hAnsi="Times New Roman" w:cs="Times New Roman"/>
                <w:noProof/>
              </w:rPr>
              <w:t>3. OVERVIEW AND BACKGROUND OF THE FIRM</w:t>
            </w:r>
            <w:r>
              <w:rPr>
                <w:noProof/>
                <w:webHidden/>
              </w:rPr>
              <w:tab/>
            </w:r>
            <w:r>
              <w:rPr>
                <w:noProof/>
                <w:webHidden/>
              </w:rPr>
              <w:fldChar w:fldCharType="begin"/>
            </w:r>
            <w:r>
              <w:rPr>
                <w:noProof/>
                <w:webHidden/>
              </w:rPr>
              <w:instrText xml:space="preserve"> PAGEREF _Toc237898931 \h </w:instrText>
            </w:r>
            <w:r>
              <w:rPr>
                <w:noProof/>
                <w:webHidden/>
              </w:rPr>
            </w:r>
            <w:r>
              <w:rPr>
                <w:noProof/>
                <w:webHidden/>
              </w:rPr>
              <w:fldChar w:fldCharType="separate"/>
            </w:r>
            <w:r>
              <w:rPr>
                <w:noProof/>
                <w:webHidden/>
              </w:rPr>
              <w:t>5</w:t>
            </w:r>
            <w:r>
              <w:rPr>
                <w:noProof/>
                <w:webHidden/>
              </w:rPr>
              <w:fldChar w:fldCharType="end"/>
            </w:r>
          </w:hyperlink>
        </w:p>
        <w:p w14:paraId="79EC63C2" w14:textId="260BB794" w:rsidR="005036C4" w:rsidRDefault="005036C4">
          <w:pPr>
            <w:pStyle w:val="TOC1"/>
            <w:tabs>
              <w:tab w:val="right" w:leader="dot" w:pos="9350"/>
            </w:tabs>
            <w:rPr>
              <w:noProof/>
            </w:rPr>
          </w:pPr>
          <w:hyperlink w:anchor="_Toc237898932" w:history="1">
            <w:r w:rsidRPr="000F08EF">
              <w:rPr>
                <w:rStyle w:val="Hyperlink"/>
                <w:rFonts w:ascii="Times New Roman" w:hAnsi="Times New Roman" w:cs="Times New Roman"/>
                <w:noProof/>
              </w:rPr>
              <w:t>4. STRATEGIC INTENT</w:t>
            </w:r>
            <w:r>
              <w:rPr>
                <w:noProof/>
                <w:webHidden/>
              </w:rPr>
              <w:tab/>
            </w:r>
            <w:r>
              <w:rPr>
                <w:noProof/>
                <w:webHidden/>
              </w:rPr>
              <w:fldChar w:fldCharType="begin"/>
            </w:r>
            <w:r>
              <w:rPr>
                <w:noProof/>
                <w:webHidden/>
              </w:rPr>
              <w:instrText xml:space="preserve"> PAGEREF _Toc237898932 \h </w:instrText>
            </w:r>
            <w:r>
              <w:rPr>
                <w:noProof/>
                <w:webHidden/>
              </w:rPr>
            </w:r>
            <w:r>
              <w:rPr>
                <w:noProof/>
                <w:webHidden/>
              </w:rPr>
              <w:fldChar w:fldCharType="separate"/>
            </w:r>
            <w:r>
              <w:rPr>
                <w:noProof/>
                <w:webHidden/>
              </w:rPr>
              <w:t>6</w:t>
            </w:r>
            <w:r>
              <w:rPr>
                <w:noProof/>
                <w:webHidden/>
              </w:rPr>
              <w:fldChar w:fldCharType="end"/>
            </w:r>
          </w:hyperlink>
        </w:p>
        <w:p w14:paraId="7CBBF871" w14:textId="3289A74B" w:rsidR="005036C4" w:rsidRDefault="005036C4">
          <w:pPr>
            <w:pStyle w:val="TOC1"/>
            <w:tabs>
              <w:tab w:val="right" w:leader="dot" w:pos="9350"/>
            </w:tabs>
            <w:rPr>
              <w:noProof/>
            </w:rPr>
          </w:pPr>
          <w:hyperlink w:anchor="_Toc237898933" w:history="1">
            <w:r w:rsidRPr="000F08EF">
              <w:rPr>
                <w:rStyle w:val="Hyperlink"/>
                <w:rFonts w:ascii="Times New Roman" w:hAnsi="Times New Roman" w:cs="Times New Roman"/>
                <w:noProof/>
              </w:rPr>
              <w:t>5. COMPANY’S CURRENT PERFORMANCE</w:t>
            </w:r>
            <w:r>
              <w:rPr>
                <w:noProof/>
                <w:webHidden/>
              </w:rPr>
              <w:tab/>
            </w:r>
            <w:r>
              <w:rPr>
                <w:noProof/>
                <w:webHidden/>
              </w:rPr>
              <w:fldChar w:fldCharType="begin"/>
            </w:r>
            <w:r>
              <w:rPr>
                <w:noProof/>
                <w:webHidden/>
              </w:rPr>
              <w:instrText xml:space="preserve"> PAGEREF _Toc237898933 \h </w:instrText>
            </w:r>
            <w:r>
              <w:rPr>
                <w:noProof/>
                <w:webHidden/>
              </w:rPr>
            </w:r>
            <w:r>
              <w:rPr>
                <w:noProof/>
                <w:webHidden/>
              </w:rPr>
              <w:fldChar w:fldCharType="separate"/>
            </w:r>
            <w:r>
              <w:rPr>
                <w:noProof/>
                <w:webHidden/>
              </w:rPr>
              <w:t>7</w:t>
            </w:r>
            <w:r>
              <w:rPr>
                <w:noProof/>
                <w:webHidden/>
              </w:rPr>
              <w:fldChar w:fldCharType="end"/>
            </w:r>
          </w:hyperlink>
        </w:p>
        <w:p w14:paraId="523707B4" w14:textId="6935AA3A" w:rsidR="005036C4" w:rsidRDefault="005036C4">
          <w:pPr>
            <w:pStyle w:val="TOC1"/>
            <w:tabs>
              <w:tab w:val="right" w:leader="dot" w:pos="9350"/>
            </w:tabs>
            <w:rPr>
              <w:noProof/>
            </w:rPr>
          </w:pPr>
          <w:hyperlink w:anchor="_Toc237898934" w:history="1">
            <w:r w:rsidRPr="000F08EF">
              <w:rPr>
                <w:rStyle w:val="Hyperlink"/>
                <w:rFonts w:ascii="Times New Roman" w:hAnsi="Times New Roman" w:cs="Times New Roman"/>
                <w:noProof/>
              </w:rPr>
              <w:t>6. STRATEGY ANALYSIS</w:t>
            </w:r>
            <w:r>
              <w:rPr>
                <w:noProof/>
                <w:webHidden/>
              </w:rPr>
              <w:tab/>
            </w:r>
            <w:r>
              <w:rPr>
                <w:noProof/>
                <w:webHidden/>
              </w:rPr>
              <w:fldChar w:fldCharType="begin"/>
            </w:r>
            <w:r>
              <w:rPr>
                <w:noProof/>
                <w:webHidden/>
              </w:rPr>
              <w:instrText xml:space="preserve"> PAGEREF _Toc237898934 \h </w:instrText>
            </w:r>
            <w:r>
              <w:rPr>
                <w:noProof/>
                <w:webHidden/>
              </w:rPr>
            </w:r>
            <w:r>
              <w:rPr>
                <w:noProof/>
                <w:webHidden/>
              </w:rPr>
              <w:fldChar w:fldCharType="separate"/>
            </w:r>
            <w:r>
              <w:rPr>
                <w:noProof/>
                <w:webHidden/>
              </w:rPr>
              <w:t>8</w:t>
            </w:r>
            <w:r>
              <w:rPr>
                <w:noProof/>
                <w:webHidden/>
              </w:rPr>
              <w:fldChar w:fldCharType="end"/>
            </w:r>
          </w:hyperlink>
        </w:p>
        <w:p w14:paraId="242F5996" w14:textId="39D4B6C0" w:rsidR="005036C4" w:rsidRDefault="005036C4">
          <w:pPr>
            <w:pStyle w:val="TOC2"/>
            <w:tabs>
              <w:tab w:val="right" w:leader="dot" w:pos="9350"/>
            </w:tabs>
            <w:rPr>
              <w:noProof/>
            </w:rPr>
          </w:pPr>
          <w:hyperlink w:anchor="_Toc237898935" w:history="1">
            <w:r w:rsidRPr="000F08EF">
              <w:rPr>
                <w:rStyle w:val="Hyperlink"/>
                <w:rFonts w:ascii="Times New Roman" w:hAnsi="Times New Roman" w:cs="Times New Roman"/>
                <w:noProof/>
              </w:rPr>
              <w:t>6.1 External Environmental Audit</w:t>
            </w:r>
            <w:r>
              <w:rPr>
                <w:noProof/>
                <w:webHidden/>
              </w:rPr>
              <w:tab/>
            </w:r>
            <w:r>
              <w:rPr>
                <w:noProof/>
                <w:webHidden/>
              </w:rPr>
              <w:fldChar w:fldCharType="begin"/>
            </w:r>
            <w:r>
              <w:rPr>
                <w:noProof/>
                <w:webHidden/>
              </w:rPr>
              <w:instrText xml:space="preserve"> PAGEREF _Toc237898935 \h </w:instrText>
            </w:r>
            <w:r>
              <w:rPr>
                <w:noProof/>
                <w:webHidden/>
              </w:rPr>
            </w:r>
            <w:r>
              <w:rPr>
                <w:noProof/>
                <w:webHidden/>
              </w:rPr>
              <w:fldChar w:fldCharType="separate"/>
            </w:r>
            <w:r>
              <w:rPr>
                <w:noProof/>
                <w:webHidden/>
              </w:rPr>
              <w:t>8</w:t>
            </w:r>
            <w:r>
              <w:rPr>
                <w:noProof/>
                <w:webHidden/>
              </w:rPr>
              <w:fldChar w:fldCharType="end"/>
            </w:r>
          </w:hyperlink>
        </w:p>
        <w:p w14:paraId="478C9720" w14:textId="60829AF4" w:rsidR="005036C4" w:rsidRDefault="005036C4">
          <w:pPr>
            <w:pStyle w:val="TOC3"/>
            <w:tabs>
              <w:tab w:val="right" w:leader="dot" w:pos="9350"/>
            </w:tabs>
            <w:rPr>
              <w:noProof/>
            </w:rPr>
          </w:pPr>
          <w:hyperlink w:anchor="_Toc237898936" w:history="1">
            <w:r w:rsidRPr="000F08EF">
              <w:rPr>
                <w:rStyle w:val="Hyperlink"/>
                <w:rFonts w:ascii="Times New Roman" w:hAnsi="Times New Roman" w:cs="Times New Roman"/>
                <w:noProof/>
              </w:rPr>
              <w:t>6.1.1 PESTEL Analysis</w:t>
            </w:r>
            <w:r>
              <w:rPr>
                <w:noProof/>
                <w:webHidden/>
              </w:rPr>
              <w:tab/>
            </w:r>
            <w:r>
              <w:rPr>
                <w:noProof/>
                <w:webHidden/>
              </w:rPr>
              <w:fldChar w:fldCharType="begin"/>
            </w:r>
            <w:r>
              <w:rPr>
                <w:noProof/>
                <w:webHidden/>
              </w:rPr>
              <w:instrText xml:space="preserve"> PAGEREF _Toc237898936 \h </w:instrText>
            </w:r>
            <w:r>
              <w:rPr>
                <w:noProof/>
                <w:webHidden/>
              </w:rPr>
            </w:r>
            <w:r>
              <w:rPr>
                <w:noProof/>
                <w:webHidden/>
              </w:rPr>
              <w:fldChar w:fldCharType="separate"/>
            </w:r>
            <w:r>
              <w:rPr>
                <w:noProof/>
                <w:webHidden/>
              </w:rPr>
              <w:t>8</w:t>
            </w:r>
            <w:r>
              <w:rPr>
                <w:noProof/>
                <w:webHidden/>
              </w:rPr>
              <w:fldChar w:fldCharType="end"/>
            </w:r>
          </w:hyperlink>
        </w:p>
        <w:p w14:paraId="778E72F9" w14:textId="6A92C646" w:rsidR="005036C4" w:rsidRDefault="005036C4">
          <w:pPr>
            <w:pStyle w:val="TOC3"/>
            <w:tabs>
              <w:tab w:val="right" w:leader="dot" w:pos="9350"/>
            </w:tabs>
            <w:rPr>
              <w:noProof/>
            </w:rPr>
          </w:pPr>
          <w:hyperlink w:anchor="_Toc237898937" w:history="1">
            <w:r w:rsidRPr="000F08EF">
              <w:rPr>
                <w:rStyle w:val="Hyperlink"/>
                <w:rFonts w:ascii="Times New Roman" w:hAnsi="Times New Roman" w:cs="Times New Roman"/>
                <w:noProof/>
              </w:rPr>
              <w:t>6.1.2 Porter’s Five Forces Analysis</w:t>
            </w:r>
            <w:r>
              <w:rPr>
                <w:noProof/>
                <w:webHidden/>
              </w:rPr>
              <w:tab/>
            </w:r>
            <w:r>
              <w:rPr>
                <w:noProof/>
                <w:webHidden/>
              </w:rPr>
              <w:fldChar w:fldCharType="begin"/>
            </w:r>
            <w:r>
              <w:rPr>
                <w:noProof/>
                <w:webHidden/>
              </w:rPr>
              <w:instrText xml:space="preserve"> PAGEREF _Toc237898937 \h </w:instrText>
            </w:r>
            <w:r>
              <w:rPr>
                <w:noProof/>
                <w:webHidden/>
              </w:rPr>
            </w:r>
            <w:r>
              <w:rPr>
                <w:noProof/>
                <w:webHidden/>
              </w:rPr>
              <w:fldChar w:fldCharType="separate"/>
            </w:r>
            <w:r>
              <w:rPr>
                <w:noProof/>
                <w:webHidden/>
              </w:rPr>
              <w:t>9</w:t>
            </w:r>
            <w:r>
              <w:rPr>
                <w:noProof/>
                <w:webHidden/>
              </w:rPr>
              <w:fldChar w:fldCharType="end"/>
            </w:r>
          </w:hyperlink>
        </w:p>
        <w:p w14:paraId="2EDDBE2F" w14:textId="324DDB89" w:rsidR="005036C4" w:rsidRDefault="005036C4">
          <w:pPr>
            <w:pStyle w:val="TOC2"/>
            <w:tabs>
              <w:tab w:val="right" w:leader="dot" w:pos="9350"/>
            </w:tabs>
            <w:rPr>
              <w:noProof/>
            </w:rPr>
          </w:pPr>
          <w:hyperlink w:anchor="_Toc237898938" w:history="1">
            <w:r w:rsidRPr="000F08EF">
              <w:rPr>
                <w:rStyle w:val="Hyperlink"/>
                <w:rFonts w:cstheme="majorHAnsi"/>
                <w:noProof/>
              </w:rPr>
              <w:t>6.2 Internal Environmental Audit</w:t>
            </w:r>
            <w:r>
              <w:rPr>
                <w:noProof/>
                <w:webHidden/>
              </w:rPr>
              <w:tab/>
            </w:r>
            <w:r>
              <w:rPr>
                <w:noProof/>
                <w:webHidden/>
              </w:rPr>
              <w:fldChar w:fldCharType="begin"/>
            </w:r>
            <w:r>
              <w:rPr>
                <w:noProof/>
                <w:webHidden/>
              </w:rPr>
              <w:instrText xml:space="preserve"> PAGEREF _Toc237898938 \h </w:instrText>
            </w:r>
            <w:r>
              <w:rPr>
                <w:noProof/>
                <w:webHidden/>
              </w:rPr>
            </w:r>
            <w:r>
              <w:rPr>
                <w:noProof/>
                <w:webHidden/>
              </w:rPr>
              <w:fldChar w:fldCharType="separate"/>
            </w:r>
            <w:r>
              <w:rPr>
                <w:noProof/>
                <w:webHidden/>
              </w:rPr>
              <w:t>10</w:t>
            </w:r>
            <w:r>
              <w:rPr>
                <w:noProof/>
                <w:webHidden/>
              </w:rPr>
              <w:fldChar w:fldCharType="end"/>
            </w:r>
          </w:hyperlink>
        </w:p>
        <w:p w14:paraId="0BD5D124" w14:textId="458F2F7A" w:rsidR="005036C4" w:rsidRDefault="005036C4">
          <w:pPr>
            <w:pStyle w:val="TOC3"/>
            <w:tabs>
              <w:tab w:val="right" w:leader="dot" w:pos="9350"/>
            </w:tabs>
            <w:rPr>
              <w:noProof/>
            </w:rPr>
          </w:pPr>
          <w:hyperlink w:anchor="_Toc237898939" w:history="1">
            <w:r w:rsidRPr="000F08EF">
              <w:rPr>
                <w:rStyle w:val="Hyperlink"/>
                <w:rFonts w:ascii="Times New Roman" w:hAnsi="Times New Roman" w:cs="Times New Roman"/>
                <w:noProof/>
              </w:rPr>
              <w:t>6.2.1 Value Chain Analysis</w:t>
            </w:r>
            <w:r>
              <w:rPr>
                <w:noProof/>
                <w:webHidden/>
              </w:rPr>
              <w:tab/>
            </w:r>
            <w:r>
              <w:rPr>
                <w:noProof/>
                <w:webHidden/>
              </w:rPr>
              <w:fldChar w:fldCharType="begin"/>
            </w:r>
            <w:r>
              <w:rPr>
                <w:noProof/>
                <w:webHidden/>
              </w:rPr>
              <w:instrText xml:space="preserve"> PAGEREF _Toc237898939 \h </w:instrText>
            </w:r>
            <w:r>
              <w:rPr>
                <w:noProof/>
                <w:webHidden/>
              </w:rPr>
            </w:r>
            <w:r>
              <w:rPr>
                <w:noProof/>
                <w:webHidden/>
              </w:rPr>
              <w:fldChar w:fldCharType="separate"/>
            </w:r>
            <w:r>
              <w:rPr>
                <w:noProof/>
                <w:webHidden/>
              </w:rPr>
              <w:t>10</w:t>
            </w:r>
            <w:r>
              <w:rPr>
                <w:noProof/>
                <w:webHidden/>
              </w:rPr>
              <w:fldChar w:fldCharType="end"/>
            </w:r>
          </w:hyperlink>
        </w:p>
        <w:p w14:paraId="24C5112B" w14:textId="7B5057C0" w:rsidR="005036C4" w:rsidRDefault="005036C4">
          <w:pPr>
            <w:pStyle w:val="TOC3"/>
            <w:tabs>
              <w:tab w:val="right" w:leader="dot" w:pos="9350"/>
            </w:tabs>
            <w:rPr>
              <w:noProof/>
            </w:rPr>
          </w:pPr>
          <w:hyperlink w:anchor="_Toc237898940" w:history="1">
            <w:r w:rsidRPr="000F08EF">
              <w:rPr>
                <w:rStyle w:val="Hyperlink"/>
                <w:rFonts w:ascii="Times New Roman" w:hAnsi="Times New Roman" w:cs="Times New Roman"/>
                <w:noProof/>
              </w:rPr>
              <w:t>6.2.2 VRIO Framework Analysis</w:t>
            </w:r>
            <w:r>
              <w:rPr>
                <w:noProof/>
                <w:webHidden/>
              </w:rPr>
              <w:tab/>
            </w:r>
            <w:r>
              <w:rPr>
                <w:noProof/>
                <w:webHidden/>
              </w:rPr>
              <w:fldChar w:fldCharType="begin"/>
            </w:r>
            <w:r>
              <w:rPr>
                <w:noProof/>
                <w:webHidden/>
              </w:rPr>
              <w:instrText xml:space="preserve"> PAGEREF _Toc237898940 \h </w:instrText>
            </w:r>
            <w:r>
              <w:rPr>
                <w:noProof/>
                <w:webHidden/>
              </w:rPr>
            </w:r>
            <w:r>
              <w:rPr>
                <w:noProof/>
                <w:webHidden/>
              </w:rPr>
              <w:fldChar w:fldCharType="separate"/>
            </w:r>
            <w:r>
              <w:rPr>
                <w:noProof/>
                <w:webHidden/>
              </w:rPr>
              <w:t>11</w:t>
            </w:r>
            <w:r>
              <w:rPr>
                <w:noProof/>
                <w:webHidden/>
              </w:rPr>
              <w:fldChar w:fldCharType="end"/>
            </w:r>
          </w:hyperlink>
        </w:p>
        <w:p w14:paraId="37307637" w14:textId="35675F5B" w:rsidR="005036C4" w:rsidRDefault="005036C4">
          <w:pPr>
            <w:pStyle w:val="TOC3"/>
            <w:tabs>
              <w:tab w:val="right" w:leader="dot" w:pos="9350"/>
            </w:tabs>
            <w:rPr>
              <w:noProof/>
            </w:rPr>
          </w:pPr>
          <w:hyperlink w:anchor="_Toc237898941" w:history="1">
            <w:r w:rsidRPr="000F08EF">
              <w:rPr>
                <w:rStyle w:val="Hyperlink"/>
                <w:rFonts w:ascii="Times New Roman" w:hAnsi="Times New Roman" w:cs="Times New Roman"/>
                <w:noProof/>
              </w:rPr>
              <w:t>6.2.3 Boston Consulting Group (BCG) Matrix</w:t>
            </w:r>
            <w:r>
              <w:rPr>
                <w:noProof/>
                <w:webHidden/>
              </w:rPr>
              <w:tab/>
            </w:r>
            <w:r>
              <w:rPr>
                <w:noProof/>
                <w:webHidden/>
              </w:rPr>
              <w:fldChar w:fldCharType="begin"/>
            </w:r>
            <w:r>
              <w:rPr>
                <w:noProof/>
                <w:webHidden/>
              </w:rPr>
              <w:instrText xml:space="preserve"> PAGEREF _Toc237898941 \h </w:instrText>
            </w:r>
            <w:r>
              <w:rPr>
                <w:noProof/>
                <w:webHidden/>
              </w:rPr>
            </w:r>
            <w:r>
              <w:rPr>
                <w:noProof/>
                <w:webHidden/>
              </w:rPr>
              <w:fldChar w:fldCharType="separate"/>
            </w:r>
            <w:r>
              <w:rPr>
                <w:noProof/>
                <w:webHidden/>
              </w:rPr>
              <w:t>12</w:t>
            </w:r>
            <w:r>
              <w:rPr>
                <w:noProof/>
                <w:webHidden/>
              </w:rPr>
              <w:fldChar w:fldCharType="end"/>
            </w:r>
          </w:hyperlink>
        </w:p>
        <w:p w14:paraId="5933DC6B" w14:textId="03D8FCD7" w:rsidR="005036C4" w:rsidRDefault="005036C4">
          <w:pPr>
            <w:pStyle w:val="TOC1"/>
            <w:tabs>
              <w:tab w:val="right" w:leader="dot" w:pos="9350"/>
            </w:tabs>
            <w:rPr>
              <w:noProof/>
            </w:rPr>
          </w:pPr>
          <w:hyperlink w:anchor="_Toc237898942" w:history="1">
            <w:r w:rsidRPr="000F08EF">
              <w:rPr>
                <w:rStyle w:val="Hyperlink"/>
                <w:rFonts w:ascii="Times New Roman" w:hAnsi="Times New Roman" w:cs="Times New Roman"/>
                <w:noProof/>
              </w:rPr>
              <w:t>7. STRATEGY FORMULATION</w:t>
            </w:r>
            <w:r>
              <w:rPr>
                <w:noProof/>
                <w:webHidden/>
              </w:rPr>
              <w:tab/>
            </w:r>
            <w:r>
              <w:rPr>
                <w:noProof/>
                <w:webHidden/>
              </w:rPr>
              <w:fldChar w:fldCharType="begin"/>
            </w:r>
            <w:r>
              <w:rPr>
                <w:noProof/>
                <w:webHidden/>
              </w:rPr>
              <w:instrText xml:space="preserve"> PAGEREF _Toc237898942 \h </w:instrText>
            </w:r>
            <w:r>
              <w:rPr>
                <w:noProof/>
                <w:webHidden/>
              </w:rPr>
            </w:r>
            <w:r>
              <w:rPr>
                <w:noProof/>
                <w:webHidden/>
              </w:rPr>
              <w:fldChar w:fldCharType="separate"/>
            </w:r>
            <w:r>
              <w:rPr>
                <w:noProof/>
                <w:webHidden/>
              </w:rPr>
              <w:t>14</w:t>
            </w:r>
            <w:r>
              <w:rPr>
                <w:noProof/>
                <w:webHidden/>
              </w:rPr>
              <w:fldChar w:fldCharType="end"/>
            </w:r>
          </w:hyperlink>
        </w:p>
        <w:p w14:paraId="359BD6CE" w14:textId="61EE3338" w:rsidR="005036C4" w:rsidRDefault="005036C4">
          <w:pPr>
            <w:pStyle w:val="TOC2"/>
            <w:tabs>
              <w:tab w:val="right" w:leader="dot" w:pos="9350"/>
            </w:tabs>
            <w:rPr>
              <w:noProof/>
            </w:rPr>
          </w:pPr>
          <w:hyperlink w:anchor="_Toc237898943" w:history="1">
            <w:r w:rsidRPr="000F08EF">
              <w:rPr>
                <w:rStyle w:val="Hyperlink"/>
                <w:rFonts w:ascii="Times New Roman" w:hAnsi="Times New Roman" w:cs="Times New Roman"/>
                <w:noProof/>
              </w:rPr>
              <w:t>7.1 TOWS Formulation Analysis</w:t>
            </w:r>
            <w:r>
              <w:rPr>
                <w:noProof/>
                <w:webHidden/>
              </w:rPr>
              <w:tab/>
            </w:r>
            <w:r>
              <w:rPr>
                <w:noProof/>
                <w:webHidden/>
              </w:rPr>
              <w:fldChar w:fldCharType="begin"/>
            </w:r>
            <w:r>
              <w:rPr>
                <w:noProof/>
                <w:webHidden/>
              </w:rPr>
              <w:instrText xml:space="preserve"> PAGEREF _Toc237898943 \h </w:instrText>
            </w:r>
            <w:r>
              <w:rPr>
                <w:noProof/>
                <w:webHidden/>
              </w:rPr>
            </w:r>
            <w:r>
              <w:rPr>
                <w:noProof/>
                <w:webHidden/>
              </w:rPr>
              <w:fldChar w:fldCharType="separate"/>
            </w:r>
            <w:r>
              <w:rPr>
                <w:noProof/>
                <w:webHidden/>
              </w:rPr>
              <w:t>14</w:t>
            </w:r>
            <w:r>
              <w:rPr>
                <w:noProof/>
                <w:webHidden/>
              </w:rPr>
              <w:fldChar w:fldCharType="end"/>
            </w:r>
          </w:hyperlink>
        </w:p>
        <w:p w14:paraId="368C5FD3" w14:textId="69BFDECC" w:rsidR="005036C4" w:rsidRDefault="005036C4">
          <w:pPr>
            <w:pStyle w:val="TOC2"/>
            <w:tabs>
              <w:tab w:val="right" w:leader="dot" w:pos="9350"/>
            </w:tabs>
            <w:rPr>
              <w:noProof/>
            </w:rPr>
          </w:pPr>
          <w:hyperlink w:anchor="_Toc237898944" w:history="1">
            <w:r w:rsidRPr="000F08EF">
              <w:rPr>
                <w:rStyle w:val="Hyperlink"/>
                <w:rFonts w:ascii="Times New Roman" w:hAnsi="Times New Roman" w:cs="Times New Roman"/>
                <w:noProof/>
              </w:rPr>
              <w:t>7.2 The New Strategy: "The Sovereign Circularity &amp; SDV Framework"</w:t>
            </w:r>
            <w:r>
              <w:rPr>
                <w:noProof/>
                <w:webHidden/>
              </w:rPr>
              <w:tab/>
            </w:r>
            <w:r>
              <w:rPr>
                <w:noProof/>
                <w:webHidden/>
              </w:rPr>
              <w:fldChar w:fldCharType="begin"/>
            </w:r>
            <w:r>
              <w:rPr>
                <w:noProof/>
                <w:webHidden/>
              </w:rPr>
              <w:instrText xml:space="preserve"> PAGEREF _Toc237898944 \h </w:instrText>
            </w:r>
            <w:r>
              <w:rPr>
                <w:noProof/>
                <w:webHidden/>
              </w:rPr>
            </w:r>
            <w:r>
              <w:rPr>
                <w:noProof/>
                <w:webHidden/>
              </w:rPr>
              <w:fldChar w:fldCharType="separate"/>
            </w:r>
            <w:r>
              <w:rPr>
                <w:noProof/>
                <w:webHidden/>
              </w:rPr>
              <w:t>15</w:t>
            </w:r>
            <w:r>
              <w:rPr>
                <w:noProof/>
                <w:webHidden/>
              </w:rPr>
              <w:fldChar w:fldCharType="end"/>
            </w:r>
          </w:hyperlink>
        </w:p>
        <w:p w14:paraId="4244E3F7" w14:textId="421B871F" w:rsidR="005036C4" w:rsidRDefault="005036C4">
          <w:pPr>
            <w:pStyle w:val="TOC1"/>
            <w:tabs>
              <w:tab w:val="right" w:leader="dot" w:pos="9350"/>
            </w:tabs>
            <w:rPr>
              <w:noProof/>
            </w:rPr>
          </w:pPr>
          <w:hyperlink w:anchor="_Toc237898945" w:history="1">
            <w:r w:rsidRPr="000F08EF">
              <w:rPr>
                <w:rStyle w:val="Hyperlink"/>
                <w:rFonts w:ascii="Times New Roman" w:hAnsi="Times New Roman" w:cs="Times New Roman"/>
                <w:noProof/>
              </w:rPr>
              <w:t>8. CONCLUSION AND RECOMMENDATIONS</w:t>
            </w:r>
            <w:r>
              <w:rPr>
                <w:noProof/>
                <w:webHidden/>
              </w:rPr>
              <w:tab/>
            </w:r>
            <w:r>
              <w:rPr>
                <w:noProof/>
                <w:webHidden/>
              </w:rPr>
              <w:fldChar w:fldCharType="begin"/>
            </w:r>
            <w:r>
              <w:rPr>
                <w:noProof/>
                <w:webHidden/>
              </w:rPr>
              <w:instrText xml:space="preserve"> PAGEREF _Toc237898945 \h </w:instrText>
            </w:r>
            <w:r>
              <w:rPr>
                <w:noProof/>
                <w:webHidden/>
              </w:rPr>
            </w:r>
            <w:r>
              <w:rPr>
                <w:noProof/>
                <w:webHidden/>
              </w:rPr>
              <w:fldChar w:fldCharType="separate"/>
            </w:r>
            <w:r>
              <w:rPr>
                <w:noProof/>
                <w:webHidden/>
              </w:rPr>
              <w:t>16</w:t>
            </w:r>
            <w:r>
              <w:rPr>
                <w:noProof/>
                <w:webHidden/>
              </w:rPr>
              <w:fldChar w:fldCharType="end"/>
            </w:r>
          </w:hyperlink>
        </w:p>
        <w:p w14:paraId="67EA4B0D" w14:textId="7E56F004" w:rsidR="005036C4" w:rsidRDefault="005036C4">
          <w:pPr>
            <w:pStyle w:val="TOC1"/>
            <w:tabs>
              <w:tab w:val="right" w:leader="dot" w:pos="9350"/>
            </w:tabs>
            <w:rPr>
              <w:noProof/>
            </w:rPr>
          </w:pPr>
          <w:hyperlink w:anchor="_Toc237898946" w:history="1">
            <w:r w:rsidRPr="000F08EF">
              <w:rPr>
                <w:rStyle w:val="Hyperlink"/>
                <w:rFonts w:ascii="Times New Roman" w:hAnsi="Times New Roman" w:cs="Times New Roman"/>
                <w:noProof/>
              </w:rPr>
              <w:t>9. REFERENCES</w:t>
            </w:r>
            <w:r>
              <w:rPr>
                <w:noProof/>
                <w:webHidden/>
              </w:rPr>
              <w:tab/>
            </w:r>
            <w:r>
              <w:rPr>
                <w:noProof/>
                <w:webHidden/>
              </w:rPr>
              <w:fldChar w:fldCharType="begin"/>
            </w:r>
            <w:r>
              <w:rPr>
                <w:noProof/>
                <w:webHidden/>
              </w:rPr>
              <w:instrText xml:space="preserve"> PAGEREF _Toc237898946 \h </w:instrText>
            </w:r>
            <w:r>
              <w:rPr>
                <w:noProof/>
                <w:webHidden/>
              </w:rPr>
            </w:r>
            <w:r>
              <w:rPr>
                <w:noProof/>
                <w:webHidden/>
              </w:rPr>
              <w:fldChar w:fldCharType="separate"/>
            </w:r>
            <w:r>
              <w:rPr>
                <w:noProof/>
                <w:webHidden/>
              </w:rPr>
              <w:t>18</w:t>
            </w:r>
            <w:r>
              <w:rPr>
                <w:noProof/>
                <w:webHidden/>
              </w:rPr>
              <w:fldChar w:fldCharType="end"/>
            </w:r>
          </w:hyperlink>
        </w:p>
        <w:p w14:paraId="7CE065BE" w14:textId="6842BE1D" w:rsidR="005036C4" w:rsidRDefault="005036C4">
          <w:r>
            <w:rPr>
              <w:b/>
              <w:bCs/>
              <w:noProof/>
            </w:rPr>
            <w:fldChar w:fldCharType="end"/>
          </w:r>
        </w:p>
      </w:sdtContent>
    </w:sdt>
    <w:p w14:paraId="5C338FF7" w14:textId="4C6E0369" w:rsidR="003F3AA8" w:rsidRDefault="003F3AA8" w:rsidP="00D16EE1">
      <w:pPr>
        <w:jc w:val="both"/>
        <w:rPr>
          <w:b/>
          <w:bCs/>
        </w:rPr>
      </w:pPr>
    </w:p>
    <w:p w14:paraId="23B50CA6" w14:textId="77777777" w:rsidR="005036C4" w:rsidRDefault="005036C4" w:rsidP="00D16EE1">
      <w:pPr>
        <w:jc w:val="both"/>
        <w:rPr>
          <w:b/>
          <w:bCs/>
        </w:rPr>
      </w:pPr>
    </w:p>
    <w:p w14:paraId="33DC0F5D" w14:textId="77777777" w:rsidR="005036C4" w:rsidRDefault="005036C4" w:rsidP="00D16EE1">
      <w:pPr>
        <w:jc w:val="both"/>
        <w:rPr>
          <w:b/>
          <w:bCs/>
        </w:rPr>
      </w:pPr>
    </w:p>
    <w:p w14:paraId="4A0FC025" w14:textId="77777777" w:rsidR="005036C4" w:rsidRDefault="005036C4" w:rsidP="00D16EE1">
      <w:pPr>
        <w:jc w:val="both"/>
        <w:rPr>
          <w:b/>
          <w:bCs/>
        </w:rPr>
      </w:pPr>
    </w:p>
    <w:p w14:paraId="35C7AB77" w14:textId="77777777" w:rsidR="005036C4" w:rsidRDefault="005036C4" w:rsidP="00D16EE1">
      <w:pPr>
        <w:jc w:val="both"/>
      </w:pPr>
    </w:p>
    <w:p w14:paraId="2C387AFA" w14:textId="77777777" w:rsidR="00D16EE1" w:rsidRDefault="00D16EE1" w:rsidP="00D16EE1">
      <w:pPr>
        <w:jc w:val="both"/>
      </w:pPr>
    </w:p>
    <w:p w14:paraId="61E85F65" w14:textId="77777777" w:rsidR="00D16EE1" w:rsidRDefault="00D16EE1" w:rsidP="00D16EE1">
      <w:pPr>
        <w:jc w:val="both"/>
      </w:pPr>
    </w:p>
    <w:p w14:paraId="154F9F59" w14:textId="77777777" w:rsidR="00D16EE1" w:rsidRPr="003F3AA8" w:rsidRDefault="00D16EE1" w:rsidP="00D16EE1">
      <w:pPr>
        <w:jc w:val="both"/>
      </w:pPr>
    </w:p>
    <w:p w14:paraId="4126CD0C" w14:textId="77777777" w:rsidR="003F3AA8" w:rsidRPr="00D16EE1" w:rsidRDefault="003F3AA8" w:rsidP="00D16EE1">
      <w:pPr>
        <w:pStyle w:val="Heading1"/>
        <w:jc w:val="center"/>
        <w:rPr>
          <w:rFonts w:ascii="Times New Roman" w:hAnsi="Times New Roman" w:cs="Times New Roman"/>
          <w:sz w:val="36"/>
          <w:szCs w:val="36"/>
        </w:rPr>
      </w:pPr>
      <w:bookmarkStart w:id="0" w:name="_Toc237898929"/>
      <w:r w:rsidRPr="00D16EE1">
        <w:rPr>
          <w:rFonts w:ascii="Times New Roman" w:hAnsi="Times New Roman" w:cs="Times New Roman"/>
          <w:sz w:val="36"/>
          <w:szCs w:val="36"/>
        </w:rPr>
        <w:lastRenderedPageBreak/>
        <w:t>1. EXECUTIVE SUMMARY</w:t>
      </w:r>
      <w:bookmarkEnd w:id="0"/>
    </w:p>
    <w:p w14:paraId="089528CB" w14:textId="77777777" w:rsidR="003F3AA8" w:rsidRPr="00D16EE1" w:rsidRDefault="003F3AA8" w:rsidP="00D16EE1">
      <w:pPr>
        <w:spacing w:line="360" w:lineRule="auto"/>
        <w:jc w:val="both"/>
        <w:rPr>
          <w:rFonts w:ascii="Times New Roman" w:hAnsi="Times New Roman" w:cs="Times New Roman"/>
        </w:rPr>
      </w:pPr>
      <w:r w:rsidRPr="00D16EE1">
        <w:rPr>
          <w:rFonts w:ascii="Times New Roman" w:hAnsi="Times New Roman" w:cs="Times New Roman"/>
        </w:rPr>
        <w:t>This strategic report provides a comprehensive, evidence-based strategy formulation plan for Volvo Car Group (Volvo Cars) as it navigates structural transformations in the global automotive sector. The industry is currently defined by four major shifts: electrification, software-defined vehicle (SDV) architectures, localized supply chain pressures, and a transition from product-ownership models to continuous Mobility-as-a-Service (</w:t>
      </w:r>
      <w:proofErr w:type="spellStart"/>
      <w:r w:rsidRPr="00D16EE1">
        <w:rPr>
          <w:rFonts w:ascii="Times New Roman" w:hAnsi="Times New Roman" w:cs="Times New Roman"/>
        </w:rPr>
        <w:t>MaaS</w:t>
      </w:r>
      <w:proofErr w:type="spellEnd"/>
      <w:r w:rsidRPr="00D16EE1">
        <w:rPr>
          <w:rFonts w:ascii="Times New Roman" w:hAnsi="Times New Roman" w:cs="Times New Roman"/>
        </w:rPr>
        <w:t>) platforms.</w:t>
      </w:r>
    </w:p>
    <w:p w14:paraId="5D4AA8A5" w14:textId="77777777" w:rsidR="003F3AA8" w:rsidRPr="00D16EE1" w:rsidRDefault="003F3AA8" w:rsidP="00D16EE1">
      <w:pPr>
        <w:spacing w:line="360" w:lineRule="auto"/>
        <w:jc w:val="both"/>
        <w:rPr>
          <w:rFonts w:ascii="Times New Roman" w:hAnsi="Times New Roman" w:cs="Times New Roman"/>
        </w:rPr>
      </w:pPr>
      <w:r w:rsidRPr="00D16EE1">
        <w:rPr>
          <w:rFonts w:ascii="Times New Roman" w:hAnsi="Times New Roman" w:cs="Times New Roman"/>
        </w:rPr>
        <w:t>Using external analytical frameworks, including PESTEL and Porter’s Five Forces, this report maps the regulatory pressures of net-zero mandates alongside intense competition from digital-native premium electric vehicle (EV) manufacturers. Internally, a comprehensive capabilities audit using VRIO, the Boston Consulting Group (BCG) Matrix, and Value Chain Analysis shows that Volvo's core competitive advantage lies in its world-renowned safety heritage, advanced scalable vehicle architectures, and its close industrial backing from Geely Holding Group. However, the company faces internal challenges, particularly regarding high software development costs and capital dependencies.</w:t>
      </w:r>
    </w:p>
    <w:p w14:paraId="1434A4ED" w14:textId="77777777" w:rsidR="003F3AA8" w:rsidRPr="00D16EE1" w:rsidRDefault="003F3AA8" w:rsidP="00D16EE1">
      <w:pPr>
        <w:spacing w:line="360" w:lineRule="auto"/>
        <w:jc w:val="both"/>
        <w:rPr>
          <w:rFonts w:ascii="Times New Roman" w:hAnsi="Times New Roman" w:cs="Times New Roman"/>
        </w:rPr>
      </w:pPr>
      <w:r w:rsidRPr="00D16EE1">
        <w:rPr>
          <w:rFonts w:ascii="Times New Roman" w:hAnsi="Times New Roman" w:cs="Times New Roman"/>
        </w:rPr>
        <w:t xml:space="preserve">By synthesizing these findings into a TOWS strategic formulation matrix, this report builds an academic defense for a new forward-looking strategy: </w:t>
      </w:r>
      <w:r w:rsidRPr="00D16EE1">
        <w:rPr>
          <w:rFonts w:ascii="Times New Roman" w:hAnsi="Times New Roman" w:cs="Times New Roman"/>
          <w:b/>
          <w:bCs/>
        </w:rPr>
        <w:t>"The Sovereign Circularity &amp; SDV Framework."</w:t>
      </w:r>
      <w:r w:rsidRPr="00D16EE1">
        <w:rPr>
          <w:rFonts w:ascii="Times New Roman" w:hAnsi="Times New Roman" w:cs="Times New Roman"/>
        </w:rPr>
        <w:t xml:space="preserve"> This strategy focuses on securing direct vertical integration of its battery supply chain, establishing an agile, proprietary operating system (</w:t>
      </w:r>
      <w:proofErr w:type="spellStart"/>
      <w:r w:rsidRPr="00D16EE1">
        <w:rPr>
          <w:rFonts w:ascii="Times New Roman" w:hAnsi="Times New Roman" w:cs="Times New Roman"/>
        </w:rPr>
        <w:t>VolvoOS</w:t>
      </w:r>
      <w:proofErr w:type="spellEnd"/>
      <w:r w:rsidRPr="00D16EE1">
        <w:rPr>
          <w:rFonts w:ascii="Times New Roman" w:hAnsi="Times New Roman" w:cs="Times New Roman"/>
        </w:rPr>
        <w:t>) developed with tech partners, and moving toward a direct-to-consumer subscription model. These actionable recommendations aim to protect Volvo’s market share, expand its operating margins, and ensure it achieves its goal of becoming a fully circular, climate-neutral enterprise.</w:t>
      </w:r>
    </w:p>
    <w:p w14:paraId="42A7C98D" w14:textId="52303475" w:rsidR="003F3AA8" w:rsidRDefault="003F3AA8" w:rsidP="00D16EE1">
      <w:pPr>
        <w:jc w:val="both"/>
      </w:pPr>
    </w:p>
    <w:p w14:paraId="61BE71B5" w14:textId="77777777" w:rsidR="00D16EE1" w:rsidRDefault="00D16EE1" w:rsidP="00D16EE1">
      <w:pPr>
        <w:jc w:val="both"/>
      </w:pPr>
    </w:p>
    <w:p w14:paraId="12A35814" w14:textId="77777777" w:rsidR="00D16EE1" w:rsidRDefault="00D16EE1" w:rsidP="00D16EE1">
      <w:pPr>
        <w:jc w:val="both"/>
      </w:pPr>
    </w:p>
    <w:p w14:paraId="271685F9" w14:textId="77777777" w:rsidR="00D16EE1" w:rsidRDefault="00D16EE1" w:rsidP="00D16EE1">
      <w:pPr>
        <w:jc w:val="both"/>
      </w:pPr>
    </w:p>
    <w:p w14:paraId="76FD4BDA" w14:textId="77777777" w:rsidR="00D16EE1" w:rsidRDefault="00D16EE1" w:rsidP="00D16EE1">
      <w:pPr>
        <w:jc w:val="both"/>
      </w:pPr>
    </w:p>
    <w:p w14:paraId="2385261D" w14:textId="77777777" w:rsidR="00D16EE1" w:rsidRPr="003F3AA8" w:rsidRDefault="00D16EE1" w:rsidP="00D16EE1">
      <w:pPr>
        <w:jc w:val="both"/>
      </w:pPr>
    </w:p>
    <w:p w14:paraId="0DA1F44A" w14:textId="19256F8F" w:rsidR="00D16EE1" w:rsidRPr="00D16EE1" w:rsidRDefault="003F3AA8" w:rsidP="00D16EE1">
      <w:pPr>
        <w:pStyle w:val="Heading1"/>
        <w:jc w:val="center"/>
        <w:rPr>
          <w:rFonts w:ascii="Times New Roman" w:hAnsi="Times New Roman" w:cs="Times New Roman"/>
          <w:sz w:val="36"/>
          <w:szCs w:val="36"/>
        </w:rPr>
      </w:pPr>
      <w:bookmarkStart w:id="1" w:name="_Toc237898930"/>
      <w:r w:rsidRPr="00D16EE1">
        <w:rPr>
          <w:rFonts w:ascii="Times New Roman" w:hAnsi="Times New Roman" w:cs="Times New Roman"/>
          <w:sz w:val="36"/>
          <w:szCs w:val="36"/>
        </w:rPr>
        <w:lastRenderedPageBreak/>
        <w:t>2. INTRODUCTION TO THE STRATEGY</w:t>
      </w:r>
      <w:bookmarkEnd w:id="1"/>
    </w:p>
    <w:p w14:paraId="2D1EBF3F" w14:textId="77777777" w:rsidR="003F3AA8" w:rsidRPr="00D16EE1" w:rsidRDefault="003F3AA8" w:rsidP="00D16EE1">
      <w:pPr>
        <w:spacing w:line="360" w:lineRule="auto"/>
        <w:jc w:val="both"/>
        <w:rPr>
          <w:rFonts w:ascii="Times New Roman" w:hAnsi="Times New Roman" w:cs="Times New Roman"/>
        </w:rPr>
      </w:pPr>
      <w:r w:rsidRPr="00D16EE1">
        <w:rPr>
          <w:rFonts w:ascii="Times New Roman" w:hAnsi="Times New Roman" w:cs="Times New Roman"/>
        </w:rPr>
        <w:t>Strategic management is the systematic process through which an organization aligns its internal capabilities, resources, and core competencies with highly volatile external macro-environmental and competitive forces (Johnson, Whittington and Scholes, 2020). In asset-heavy, capital-intensive manufacturing sectors like the automotive industry, strategic management is an essential tool for long-term commercial survival. It gives corporate leaders a structured approach to anticipate sudden technology shifts, manage multi-billion-pound research and development cycles, and implement flexible manufacturing systems that prevent industrial obsolescence (Grant, 2022).</w:t>
      </w:r>
    </w:p>
    <w:p w14:paraId="0F9B9800" w14:textId="77777777" w:rsidR="003F3AA8" w:rsidRPr="00D16EE1" w:rsidRDefault="003F3AA8" w:rsidP="00D16EE1">
      <w:pPr>
        <w:spacing w:line="360" w:lineRule="auto"/>
        <w:jc w:val="both"/>
        <w:rPr>
          <w:rFonts w:ascii="Times New Roman" w:hAnsi="Times New Roman" w:cs="Times New Roman"/>
        </w:rPr>
      </w:pPr>
      <w:r w:rsidRPr="00D16EE1">
        <w:rPr>
          <w:rFonts w:ascii="Times New Roman" w:hAnsi="Times New Roman" w:cs="Times New Roman"/>
        </w:rPr>
        <w:t>The primary purpose of this report is to formulate a rigorous, forward-looking strategic plan for Volvo Car Group. The report is structured to provide an academic evaluation of Volvo's strategic position. It begins with a detailed overview of the firm's background, current global operations, and core strategic intent.</w:t>
      </w:r>
    </w:p>
    <w:p w14:paraId="5F22EFBF" w14:textId="77777777" w:rsidR="003F3AA8" w:rsidRPr="00D16EE1" w:rsidRDefault="003F3AA8" w:rsidP="00D16EE1">
      <w:pPr>
        <w:spacing w:line="360" w:lineRule="auto"/>
        <w:jc w:val="both"/>
        <w:rPr>
          <w:rFonts w:ascii="Times New Roman" w:hAnsi="Times New Roman" w:cs="Times New Roman"/>
        </w:rPr>
      </w:pPr>
      <w:r w:rsidRPr="00D16EE1">
        <w:rPr>
          <w:rFonts w:ascii="Times New Roman" w:hAnsi="Times New Roman" w:cs="Times New Roman"/>
        </w:rPr>
        <w:t>Next, it reviews the company's current financial and operational performance. The report then conducts an in-depth environment analysis, using PESTEL and Porter's Five Forces for the external audit, and VRIO, BCG Matrix, and Value Chain Analysis for the internal capabilities audit. Finally, these insights are synthesized to propose a new, data-driven strategy alongside a set of actionable recommendations designed to deliver long-term competitive advantage.</w:t>
      </w:r>
    </w:p>
    <w:p w14:paraId="5A54519F" w14:textId="77777777" w:rsidR="003F3AA8" w:rsidRPr="003F3AA8" w:rsidRDefault="003F3AA8" w:rsidP="00D16EE1">
      <w:pPr>
        <w:jc w:val="both"/>
      </w:pPr>
      <w:r w:rsidRPr="003F3AA8">
        <w:t>┌────────────────────────────────────────────────────────────────────────┐</w:t>
      </w:r>
    </w:p>
    <w:p w14:paraId="6FCC156E" w14:textId="77777777" w:rsidR="003F3AA8" w:rsidRPr="003F3AA8" w:rsidRDefault="003F3AA8" w:rsidP="00D16EE1">
      <w:pPr>
        <w:jc w:val="both"/>
      </w:pPr>
      <w:r w:rsidRPr="003F3AA8">
        <w:t>│                        REPORT ARCHITECTURE                             │</w:t>
      </w:r>
    </w:p>
    <w:p w14:paraId="035F008B" w14:textId="77777777" w:rsidR="003F3AA8" w:rsidRPr="003F3AA8" w:rsidRDefault="003F3AA8" w:rsidP="00D16EE1">
      <w:pPr>
        <w:jc w:val="both"/>
      </w:pPr>
      <w:r w:rsidRPr="003F3AA8">
        <w:rPr>
          <w:rFonts w:ascii="MS Gothic" w:eastAsia="MS Gothic" w:hAnsi="MS Gothic" w:cs="MS Gothic" w:hint="eastAsia"/>
        </w:rPr>
        <w:t>├</w:t>
      </w:r>
      <w:r w:rsidRPr="003F3AA8">
        <w:rPr>
          <w:rFonts w:ascii="Calibri" w:hAnsi="Calibri" w:cs="Calibri"/>
        </w:rPr>
        <w:t>────────────────────────────────────────────────────────────────────────</w:t>
      </w:r>
      <w:r w:rsidRPr="003F3AA8">
        <w:rPr>
          <w:rFonts w:ascii="MS Gothic" w:eastAsia="MS Gothic" w:hAnsi="MS Gothic" w:cs="MS Gothic" w:hint="eastAsia"/>
        </w:rPr>
        <w:t>┤</w:t>
      </w:r>
    </w:p>
    <w:p w14:paraId="6EA49768" w14:textId="77777777" w:rsidR="003F3AA8" w:rsidRPr="003F3AA8" w:rsidRDefault="003F3AA8" w:rsidP="00D16EE1">
      <w:pPr>
        <w:jc w:val="both"/>
      </w:pPr>
      <w:r w:rsidRPr="003F3AA8">
        <w:t>│  1. Profile &amp; Intent  ──&gt; 2. Performance Audit ──&gt; 3. Strategic Audits │</w:t>
      </w:r>
    </w:p>
    <w:p w14:paraId="3B51527D" w14:textId="77777777" w:rsidR="003F3AA8" w:rsidRPr="003F3AA8" w:rsidRDefault="003F3AA8" w:rsidP="00D16EE1">
      <w:pPr>
        <w:jc w:val="both"/>
      </w:pPr>
      <w:r w:rsidRPr="003F3AA8">
        <w:t>│  (Context Setting)        (Financial/KPIs)         (PESTEL/VRIO/BCG)   │</w:t>
      </w:r>
    </w:p>
    <w:p w14:paraId="39D659DB" w14:textId="77777777" w:rsidR="003F3AA8" w:rsidRPr="003F3AA8" w:rsidRDefault="003F3AA8" w:rsidP="00D16EE1">
      <w:pPr>
        <w:jc w:val="both"/>
      </w:pPr>
      <w:r w:rsidRPr="003F3AA8">
        <w:t>│                                                            │           │</w:t>
      </w:r>
    </w:p>
    <w:p w14:paraId="6F41F53B" w14:textId="77777777" w:rsidR="003F3AA8" w:rsidRPr="003F3AA8" w:rsidRDefault="003F3AA8" w:rsidP="00D16EE1">
      <w:pPr>
        <w:jc w:val="both"/>
      </w:pPr>
      <w:r w:rsidRPr="003F3AA8">
        <w:t xml:space="preserve">│                                                            </w:t>
      </w:r>
      <w:r w:rsidRPr="003F3AA8">
        <w:rPr>
          <w:rFonts w:ascii="Arial" w:hAnsi="Arial" w:cs="Arial"/>
        </w:rPr>
        <w:t>▼</w:t>
      </w:r>
      <w:r w:rsidRPr="003F3AA8">
        <w:t xml:space="preserve">           </w:t>
      </w:r>
      <w:r w:rsidRPr="003F3AA8">
        <w:rPr>
          <w:rFonts w:ascii="Calibri" w:hAnsi="Calibri" w:cs="Calibri"/>
        </w:rPr>
        <w:t>│</w:t>
      </w:r>
    </w:p>
    <w:p w14:paraId="5069CDFF" w14:textId="77777777" w:rsidR="003F3AA8" w:rsidRPr="003F3AA8" w:rsidRDefault="003F3AA8" w:rsidP="00D16EE1">
      <w:pPr>
        <w:jc w:val="both"/>
      </w:pPr>
      <w:r w:rsidRPr="003F3AA8">
        <w:t>│  5. Actionable Roadmap &lt;── 4. Strategy Formulation &lt;───────┘           │</w:t>
      </w:r>
    </w:p>
    <w:p w14:paraId="06108954" w14:textId="77777777" w:rsidR="003F3AA8" w:rsidRPr="003F3AA8" w:rsidRDefault="003F3AA8" w:rsidP="00D16EE1">
      <w:pPr>
        <w:jc w:val="both"/>
      </w:pPr>
      <w:r w:rsidRPr="003F3AA8">
        <w:t>│  (Recommendations)         (The New SDV Blueprint)                     │</w:t>
      </w:r>
    </w:p>
    <w:p w14:paraId="65C8BBE1" w14:textId="3DBCBD5C" w:rsidR="003F3AA8" w:rsidRPr="003F3AA8" w:rsidRDefault="003F3AA8" w:rsidP="00D16EE1">
      <w:pPr>
        <w:jc w:val="both"/>
      </w:pPr>
      <w:r w:rsidRPr="003F3AA8">
        <w:t>└────────────────────────────────────────────────────────────────────────┘</w:t>
      </w:r>
    </w:p>
    <w:p w14:paraId="60DC9A93" w14:textId="77777777" w:rsidR="003F3AA8" w:rsidRDefault="003F3AA8" w:rsidP="00D16EE1">
      <w:pPr>
        <w:pStyle w:val="Heading1"/>
        <w:jc w:val="center"/>
        <w:rPr>
          <w:rFonts w:ascii="Times New Roman" w:hAnsi="Times New Roman" w:cs="Times New Roman"/>
          <w:sz w:val="36"/>
          <w:szCs w:val="36"/>
        </w:rPr>
      </w:pPr>
      <w:bookmarkStart w:id="2" w:name="_Toc237898931"/>
      <w:r w:rsidRPr="00D16EE1">
        <w:rPr>
          <w:rFonts w:ascii="Times New Roman" w:hAnsi="Times New Roman" w:cs="Times New Roman"/>
          <w:sz w:val="36"/>
          <w:szCs w:val="36"/>
        </w:rPr>
        <w:lastRenderedPageBreak/>
        <w:t>3. OVERVIEW AND BACKGROUND OF THE FIRM</w:t>
      </w:r>
      <w:bookmarkEnd w:id="2"/>
    </w:p>
    <w:p w14:paraId="647636CB" w14:textId="77777777" w:rsidR="00D16EE1" w:rsidRPr="00D16EE1" w:rsidRDefault="00D16EE1" w:rsidP="00D16EE1"/>
    <w:p w14:paraId="0A22F291" w14:textId="77777777" w:rsidR="003F3AA8" w:rsidRPr="00D16EE1" w:rsidRDefault="003F3AA8" w:rsidP="00D16EE1">
      <w:pPr>
        <w:spacing w:line="360" w:lineRule="auto"/>
        <w:jc w:val="both"/>
        <w:rPr>
          <w:rFonts w:ascii="Times New Roman" w:hAnsi="Times New Roman" w:cs="Times New Roman"/>
        </w:rPr>
      </w:pPr>
      <w:r w:rsidRPr="00D16EE1">
        <w:rPr>
          <w:rFonts w:ascii="Times New Roman" w:hAnsi="Times New Roman" w:cs="Times New Roman"/>
        </w:rPr>
        <w:t xml:space="preserve">Founded in 1927 in Gothenburg, Sweden, Volvo Car Group (Volvo </w:t>
      </w:r>
      <w:proofErr w:type="spellStart"/>
      <w:r w:rsidRPr="00D16EE1">
        <w:rPr>
          <w:rFonts w:ascii="Times New Roman" w:hAnsi="Times New Roman" w:cs="Times New Roman"/>
        </w:rPr>
        <w:t>Personvagnar</w:t>
      </w:r>
      <w:proofErr w:type="spellEnd"/>
      <w:r w:rsidRPr="00D16EE1">
        <w:rPr>
          <w:rFonts w:ascii="Times New Roman" w:hAnsi="Times New Roman" w:cs="Times New Roman"/>
        </w:rPr>
        <w:t xml:space="preserve"> AB) operates as a leading designer, manufacturer, and distributor of premium consumer passenger vehicles. It functions within the premium market segment of the global automotive manufacturing industry. Following historical periods of ownership under Ford Motor Company, Volvo Cars was acquired in 2010 by the Chinese industrial conglomerate Zhejiang Geely Holding Group, a milestone that provided the capital necessary to completely re-engineer its product platforms (Volvo Car Group, 2025).</w:t>
      </w:r>
    </w:p>
    <w:p w14:paraId="79C04D22" w14:textId="77777777" w:rsidR="003F3AA8" w:rsidRPr="00D16EE1" w:rsidRDefault="003F3AA8" w:rsidP="00D16EE1">
      <w:pPr>
        <w:spacing w:line="360" w:lineRule="auto"/>
        <w:jc w:val="both"/>
        <w:rPr>
          <w:rFonts w:ascii="Times New Roman" w:hAnsi="Times New Roman" w:cs="Times New Roman"/>
        </w:rPr>
      </w:pPr>
      <w:r w:rsidRPr="00D16EE1">
        <w:rPr>
          <w:rFonts w:ascii="Times New Roman" w:hAnsi="Times New Roman" w:cs="Times New Roman"/>
        </w:rPr>
        <w:t>Volvo’s core product portfolio consists of premium internal combustion engines (ICE), plug-in hybrids (PHEV), and battery electric vehicles (BEV) spread across three primary vehicle segments: SUVs (XC90, XC60, XC40, EX90, EX30), Estates (V90, V60), and Saloons (S90, S60). Headquartered in Gothenburg, Sweden, Volvo operates a highly synchronized, localized global manufacturing and R&amp;D network.</w:t>
      </w:r>
    </w:p>
    <w:p w14:paraId="615C14D9" w14:textId="77777777" w:rsidR="003F3AA8" w:rsidRPr="00D16EE1" w:rsidRDefault="003F3AA8" w:rsidP="00D16EE1">
      <w:pPr>
        <w:spacing w:line="360" w:lineRule="auto"/>
        <w:jc w:val="both"/>
        <w:rPr>
          <w:rFonts w:ascii="Times New Roman" w:hAnsi="Times New Roman" w:cs="Times New Roman"/>
        </w:rPr>
      </w:pPr>
      <w:r w:rsidRPr="00D16EE1">
        <w:rPr>
          <w:rFonts w:ascii="Times New Roman" w:hAnsi="Times New Roman" w:cs="Times New Roman"/>
        </w:rPr>
        <w:t>Its primary assembly facilities are strategically positioned across Europe (</w:t>
      </w:r>
      <w:proofErr w:type="spellStart"/>
      <w:r w:rsidRPr="00D16EE1">
        <w:rPr>
          <w:rFonts w:ascii="Times New Roman" w:hAnsi="Times New Roman" w:cs="Times New Roman"/>
        </w:rPr>
        <w:t>Torslanda</w:t>
      </w:r>
      <w:proofErr w:type="spellEnd"/>
      <w:r w:rsidRPr="00D16EE1">
        <w:rPr>
          <w:rFonts w:ascii="Times New Roman" w:hAnsi="Times New Roman" w:cs="Times New Roman"/>
        </w:rPr>
        <w:t>, Sweden; Ghent, Belgium), Asia (</w:t>
      </w:r>
      <w:proofErr w:type="spellStart"/>
      <w:r w:rsidRPr="00D16EE1">
        <w:rPr>
          <w:rFonts w:ascii="Times New Roman" w:hAnsi="Times New Roman" w:cs="Times New Roman"/>
        </w:rPr>
        <w:t>Da</w:t>
      </w:r>
      <w:r w:rsidRPr="00D16EE1">
        <w:rPr>
          <w:rFonts w:ascii="Times New Roman" w:eastAsia="MS Gothic" w:hAnsi="Times New Roman" w:cs="Times New Roman"/>
        </w:rPr>
        <w:t>慶</w:t>
      </w:r>
      <w:proofErr w:type="spellEnd"/>
      <w:r w:rsidRPr="00D16EE1">
        <w:rPr>
          <w:rFonts w:ascii="Times New Roman" w:hAnsi="Times New Roman" w:cs="Times New Roman"/>
        </w:rPr>
        <w:t>, Chengdu, and Taizhou, China), and North America (Ridgeville, South Carolina). This distributed footprint allows the company to protect its operations against regional supply chain shocks and international trade tariffs.</w:t>
      </w:r>
    </w:p>
    <w:p w14:paraId="2498C0A5" w14:textId="2620E742" w:rsidR="003F3AA8" w:rsidRDefault="003F3AA8" w:rsidP="00D16EE1">
      <w:pPr>
        <w:jc w:val="both"/>
      </w:pPr>
    </w:p>
    <w:p w14:paraId="6411404A" w14:textId="77777777" w:rsidR="00D16EE1" w:rsidRDefault="00D16EE1" w:rsidP="00D16EE1">
      <w:pPr>
        <w:jc w:val="both"/>
      </w:pPr>
    </w:p>
    <w:p w14:paraId="0F48AF3E" w14:textId="77777777" w:rsidR="00D16EE1" w:rsidRDefault="00D16EE1" w:rsidP="00D16EE1">
      <w:pPr>
        <w:jc w:val="both"/>
      </w:pPr>
    </w:p>
    <w:p w14:paraId="71D9E976" w14:textId="77777777" w:rsidR="00D16EE1" w:rsidRDefault="00D16EE1" w:rsidP="00D16EE1">
      <w:pPr>
        <w:jc w:val="both"/>
      </w:pPr>
    </w:p>
    <w:p w14:paraId="1BB431AC" w14:textId="77777777" w:rsidR="00D16EE1" w:rsidRDefault="00D16EE1" w:rsidP="00D16EE1">
      <w:pPr>
        <w:jc w:val="both"/>
      </w:pPr>
    </w:p>
    <w:p w14:paraId="08EB18F6" w14:textId="77777777" w:rsidR="00D16EE1" w:rsidRDefault="00D16EE1" w:rsidP="00D16EE1">
      <w:pPr>
        <w:jc w:val="both"/>
      </w:pPr>
    </w:p>
    <w:p w14:paraId="18E789D9" w14:textId="77777777" w:rsidR="00D16EE1" w:rsidRPr="003F3AA8" w:rsidRDefault="00D16EE1" w:rsidP="00D16EE1">
      <w:pPr>
        <w:jc w:val="both"/>
      </w:pPr>
    </w:p>
    <w:p w14:paraId="13233E6E" w14:textId="77777777" w:rsidR="003F3AA8" w:rsidRPr="00D16EE1" w:rsidRDefault="003F3AA8" w:rsidP="00D16EE1">
      <w:pPr>
        <w:pStyle w:val="Heading1"/>
        <w:jc w:val="center"/>
        <w:rPr>
          <w:rFonts w:ascii="Times New Roman" w:hAnsi="Times New Roman" w:cs="Times New Roman"/>
          <w:sz w:val="36"/>
          <w:szCs w:val="36"/>
        </w:rPr>
      </w:pPr>
      <w:bookmarkStart w:id="3" w:name="_Toc237898932"/>
      <w:r w:rsidRPr="00D16EE1">
        <w:rPr>
          <w:rFonts w:ascii="Times New Roman" w:hAnsi="Times New Roman" w:cs="Times New Roman"/>
          <w:sz w:val="36"/>
          <w:szCs w:val="36"/>
        </w:rPr>
        <w:lastRenderedPageBreak/>
        <w:t>4. STRATEGIC INTENT</w:t>
      </w:r>
      <w:bookmarkEnd w:id="3"/>
    </w:p>
    <w:p w14:paraId="4A1EB630" w14:textId="77777777" w:rsidR="003F3AA8" w:rsidRPr="00D16EE1" w:rsidRDefault="003F3AA8" w:rsidP="00D16EE1">
      <w:pPr>
        <w:spacing w:line="360" w:lineRule="auto"/>
        <w:jc w:val="both"/>
        <w:rPr>
          <w:rFonts w:ascii="Times New Roman" w:hAnsi="Times New Roman" w:cs="Times New Roman"/>
        </w:rPr>
      </w:pPr>
      <w:r w:rsidRPr="00D16EE1">
        <w:rPr>
          <w:rFonts w:ascii="Times New Roman" w:hAnsi="Times New Roman" w:cs="Times New Roman"/>
        </w:rPr>
        <w:t>Volvo Cars’ strategic intent is designed to completely separate corporate growth from environmental degradation, repositioning the brand as an ethical pioneer in sustainable, premium smart mobility (Teece, 2023).</w:t>
      </w:r>
    </w:p>
    <w:p w14:paraId="17401A12" w14:textId="77777777" w:rsidR="003F3AA8" w:rsidRPr="00D16EE1" w:rsidRDefault="003F3AA8" w:rsidP="00D16EE1">
      <w:pPr>
        <w:numPr>
          <w:ilvl w:val="0"/>
          <w:numId w:val="1"/>
        </w:numPr>
        <w:spacing w:line="360" w:lineRule="auto"/>
        <w:jc w:val="both"/>
        <w:rPr>
          <w:rFonts w:ascii="Times New Roman" w:hAnsi="Times New Roman" w:cs="Times New Roman"/>
        </w:rPr>
      </w:pPr>
      <w:r w:rsidRPr="00D16EE1">
        <w:rPr>
          <w:rFonts w:ascii="Times New Roman" w:hAnsi="Times New Roman" w:cs="Times New Roman"/>
          <w:b/>
          <w:bCs/>
        </w:rPr>
        <w:t>Vision Statement:</w:t>
      </w:r>
      <w:r w:rsidRPr="00D16EE1">
        <w:rPr>
          <w:rFonts w:ascii="Times New Roman" w:hAnsi="Times New Roman" w:cs="Times New Roman"/>
        </w:rPr>
        <w:t xml:space="preserve"> To deliver the freedom to move in a personal, sustainable, and safe way, creating a future where vehicular transport results in zero collisions and leaves zero environmental footprint.</w:t>
      </w:r>
    </w:p>
    <w:p w14:paraId="1134D4B9" w14:textId="77777777" w:rsidR="003F3AA8" w:rsidRPr="00D16EE1" w:rsidRDefault="003F3AA8" w:rsidP="00D16EE1">
      <w:pPr>
        <w:numPr>
          <w:ilvl w:val="0"/>
          <w:numId w:val="1"/>
        </w:numPr>
        <w:spacing w:line="360" w:lineRule="auto"/>
        <w:jc w:val="both"/>
        <w:rPr>
          <w:rFonts w:ascii="Times New Roman" w:hAnsi="Times New Roman" w:cs="Times New Roman"/>
        </w:rPr>
      </w:pPr>
      <w:r w:rsidRPr="00D16EE1">
        <w:rPr>
          <w:rFonts w:ascii="Times New Roman" w:hAnsi="Times New Roman" w:cs="Times New Roman"/>
          <w:b/>
          <w:bCs/>
        </w:rPr>
        <w:t>Mission Statement:</w:t>
      </w:r>
      <w:r w:rsidRPr="00D16EE1">
        <w:rPr>
          <w:rFonts w:ascii="Times New Roman" w:hAnsi="Times New Roman" w:cs="Times New Roman"/>
        </w:rPr>
        <w:t xml:space="preserve"> To protect and celebrate life by setting the highest possible industrial standards for automotive safety, environmental sustainability, and human-centric technological innovation.</w:t>
      </w:r>
    </w:p>
    <w:p w14:paraId="32D168D1" w14:textId="77777777" w:rsidR="003F3AA8" w:rsidRPr="00D16EE1" w:rsidRDefault="003F3AA8" w:rsidP="00D16EE1">
      <w:pPr>
        <w:numPr>
          <w:ilvl w:val="0"/>
          <w:numId w:val="1"/>
        </w:numPr>
        <w:spacing w:line="360" w:lineRule="auto"/>
        <w:jc w:val="both"/>
        <w:rPr>
          <w:rFonts w:ascii="Times New Roman" w:hAnsi="Times New Roman" w:cs="Times New Roman"/>
        </w:rPr>
      </w:pPr>
      <w:r w:rsidRPr="00D16EE1">
        <w:rPr>
          <w:rFonts w:ascii="Times New Roman" w:hAnsi="Times New Roman" w:cs="Times New Roman"/>
          <w:b/>
          <w:bCs/>
        </w:rPr>
        <w:t>Key Corporate Objectives:</w:t>
      </w:r>
    </w:p>
    <w:p w14:paraId="26AEE8D4" w14:textId="77777777" w:rsidR="003F3AA8" w:rsidRPr="00D16EE1" w:rsidRDefault="003F3AA8" w:rsidP="00D16EE1">
      <w:pPr>
        <w:numPr>
          <w:ilvl w:val="1"/>
          <w:numId w:val="1"/>
        </w:numPr>
        <w:spacing w:line="360" w:lineRule="auto"/>
        <w:jc w:val="both"/>
        <w:rPr>
          <w:rFonts w:ascii="Times New Roman" w:hAnsi="Times New Roman" w:cs="Times New Roman"/>
        </w:rPr>
      </w:pPr>
      <w:r w:rsidRPr="00D16EE1">
        <w:rPr>
          <w:rFonts w:ascii="Times New Roman" w:hAnsi="Times New Roman" w:cs="Times New Roman"/>
          <w:b/>
          <w:bCs/>
        </w:rPr>
        <w:t>Complete Electrification Transition:</w:t>
      </w:r>
      <w:r w:rsidRPr="00D16EE1">
        <w:rPr>
          <w:rFonts w:ascii="Times New Roman" w:hAnsi="Times New Roman" w:cs="Times New Roman"/>
        </w:rPr>
        <w:t xml:space="preserve"> Ensure that battery electric vehicles (BEVs) represent the vast majority of global sales volumes by the turn of the decade, backed by flexible hybrid architectures during the transition period.</w:t>
      </w:r>
    </w:p>
    <w:p w14:paraId="1F26CAC2" w14:textId="77777777" w:rsidR="003F3AA8" w:rsidRPr="00D16EE1" w:rsidRDefault="003F3AA8" w:rsidP="00D16EE1">
      <w:pPr>
        <w:numPr>
          <w:ilvl w:val="1"/>
          <w:numId w:val="1"/>
        </w:numPr>
        <w:spacing w:line="360" w:lineRule="auto"/>
        <w:jc w:val="both"/>
        <w:rPr>
          <w:rFonts w:ascii="Times New Roman" w:hAnsi="Times New Roman" w:cs="Times New Roman"/>
        </w:rPr>
      </w:pPr>
      <w:r w:rsidRPr="00D16EE1">
        <w:rPr>
          <w:rFonts w:ascii="Times New Roman" w:hAnsi="Times New Roman" w:cs="Times New Roman"/>
          <w:b/>
          <w:bCs/>
        </w:rPr>
        <w:t>Industrial Circularity &amp; Net-Zero Target:</w:t>
      </w:r>
      <w:r w:rsidRPr="00D16EE1">
        <w:rPr>
          <w:rFonts w:ascii="Times New Roman" w:hAnsi="Times New Roman" w:cs="Times New Roman"/>
        </w:rPr>
        <w:t xml:space="preserve"> Achieve absolute climate neutrality across the entire global value chain, operations, and product lifecycles by the target year of </w:t>
      </w:r>
      <w:r w:rsidRPr="00D16EE1">
        <w:rPr>
          <w:rFonts w:ascii="Times New Roman" w:hAnsi="Times New Roman" w:cs="Times New Roman"/>
          <w:b/>
          <w:bCs/>
        </w:rPr>
        <w:t>2040</w:t>
      </w:r>
      <w:r w:rsidRPr="00D16EE1">
        <w:rPr>
          <w:rFonts w:ascii="Times New Roman" w:hAnsi="Times New Roman" w:cs="Times New Roman"/>
        </w:rPr>
        <w:t xml:space="preserve"> (Volvo Car Group, 2026).</w:t>
      </w:r>
    </w:p>
    <w:p w14:paraId="2E3D41BB" w14:textId="77777777" w:rsidR="003F3AA8" w:rsidRPr="00D16EE1" w:rsidRDefault="003F3AA8" w:rsidP="00D16EE1">
      <w:pPr>
        <w:numPr>
          <w:ilvl w:val="1"/>
          <w:numId w:val="1"/>
        </w:numPr>
        <w:spacing w:line="360" w:lineRule="auto"/>
        <w:jc w:val="both"/>
        <w:rPr>
          <w:rFonts w:ascii="Times New Roman" w:hAnsi="Times New Roman" w:cs="Times New Roman"/>
        </w:rPr>
      </w:pPr>
      <w:r w:rsidRPr="00D16EE1">
        <w:rPr>
          <w:rFonts w:ascii="Times New Roman" w:hAnsi="Times New Roman" w:cs="Times New Roman"/>
          <w:b/>
          <w:bCs/>
        </w:rPr>
        <w:t>Financial Resilience:</w:t>
      </w:r>
      <w:r w:rsidRPr="00D16EE1">
        <w:rPr>
          <w:rFonts w:ascii="Times New Roman" w:hAnsi="Times New Roman" w:cs="Times New Roman"/>
        </w:rPr>
        <w:t xml:space="preserve"> Secure a sustained operating profit margin (EBIT) of 8-10% while driving continuous revenue growth through direct digital sales channels and premium vehicle subscription platforms.</w:t>
      </w:r>
    </w:p>
    <w:p w14:paraId="7F0F60D2" w14:textId="0BB38C30" w:rsidR="003F3AA8" w:rsidRDefault="003F3AA8" w:rsidP="00D16EE1">
      <w:pPr>
        <w:jc w:val="both"/>
      </w:pPr>
    </w:p>
    <w:p w14:paraId="19D2A8F2" w14:textId="77777777" w:rsidR="00D16EE1" w:rsidRDefault="00D16EE1" w:rsidP="00D16EE1">
      <w:pPr>
        <w:jc w:val="both"/>
      </w:pPr>
    </w:p>
    <w:p w14:paraId="68813F86" w14:textId="77777777" w:rsidR="00D16EE1" w:rsidRDefault="00D16EE1" w:rsidP="00D16EE1">
      <w:pPr>
        <w:jc w:val="both"/>
      </w:pPr>
    </w:p>
    <w:p w14:paraId="54266474" w14:textId="77777777" w:rsidR="00D16EE1" w:rsidRDefault="00D16EE1" w:rsidP="00D16EE1">
      <w:pPr>
        <w:jc w:val="both"/>
      </w:pPr>
    </w:p>
    <w:p w14:paraId="7752E894" w14:textId="77777777" w:rsidR="00D16EE1" w:rsidRPr="003F3AA8" w:rsidRDefault="00D16EE1" w:rsidP="00D16EE1">
      <w:pPr>
        <w:jc w:val="both"/>
      </w:pPr>
    </w:p>
    <w:p w14:paraId="0C0259D8" w14:textId="77777777" w:rsidR="003F3AA8" w:rsidRPr="00D16EE1" w:rsidRDefault="003F3AA8" w:rsidP="00D16EE1">
      <w:pPr>
        <w:pStyle w:val="Heading1"/>
        <w:jc w:val="both"/>
        <w:rPr>
          <w:rFonts w:ascii="Times New Roman" w:hAnsi="Times New Roman" w:cs="Times New Roman"/>
          <w:sz w:val="36"/>
          <w:szCs w:val="36"/>
        </w:rPr>
      </w:pPr>
      <w:bookmarkStart w:id="4" w:name="_Toc237898933"/>
      <w:r w:rsidRPr="00D16EE1">
        <w:rPr>
          <w:rFonts w:ascii="Times New Roman" w:hAnsi="Times New Roman" w:cs="Times New Roman"/>
          <w:sz w:val="36"/>
          <w:szCs w:val="36"/>
        </w:rPr>
        <w:lastRenderedPageBreak/>
        <w:t>5. COMPANY’S CURRENT PERFORMANCE</w:t>
      </w:r>
      <w:bookmarkEnd w:id="4"/>
    </w:p>
    <w:p w14:paraId="513D6931" w14:textId="77777777" w:rsidR="003F3AA8" w:rsidRPr="00D16EE1" w:rsidRDefault="003F3AA8" w:rsidP="00D16EE1">
      <w:pPr>
        <w:spacing w:line="360" w:lineRule="auto"/>
        <w:jc w:val="both"/>
        <w:rPr>
          <w:rFonts w:ascii="Times New Roman" w:hAnsi="Times New Roman" w:cs="Times New Roman"/>
        </w:rPr>
      </w:pPr>
      <w:r w:rsidRPr="00D16EE1">
        <w:rPr>
          <w:rFonts w:ascii="Times New Roman" w:hAnsi="Times New Roman" w:cs="Times New Roman"/>
        </w:rPr>
        <w:t>Volvo Cars has delivered resilient financial and operational performance, maintaining stable profitability despite high global inflation, supply chain bottlenecks, and volatile electric vehicle adoption curves. In its recent annual financial disclosures, Volvo Cars reported record-breaking global sales retail volumes, delivering over 708,000 vehicles annually, which generated corporate revenues exceeding SEK 399 billion (Volvo Car Group, 2025; 2026). This growth was driven primarily by the strong performance of its fully electrified "Recharge" product line.</w:t>
      </w:r>
    </w:p>
    <w:p w14:paraId="3BF95FB5" w14:textId="77777777" w:rsidR="003F3AA8" w:rsidRPr="00D16EE1" w:rsidRDefault="003F3AA8" w:rsidP="00D16EE1">
      <w:pPr>
        <w:spacing w:line="360" w:lineRule="auto"/>
        <w:jc w:val="both"/>
        <w:rPr>
          <w:rFonts w:ascii="Times New Roman" w:hAnsi="Times New Roman" w:cs="Times New Roman"/>
        </w:rPr>
      </w:pPr>
      <w:r w:rsidRPr="00D16EE1">
        <w:rPr>
          <w:rFonts w:ascii="Times New Roman" w:hAnsi="Times New Roman" w:cs="Times New Roman"/>
        </w:rPr>
        <w:t>VOLVO CARS REPORTED ANNUAL EBIT MARGIN PERFORMANCE TREND</w:t>
      </w:r>
    </w:p>
    <w:p w14:paraId="68D97399" w14:textId="63EBAEF3" w:rsidR="003F3AA8" w:rsidRPr="003F3AA8" w:rsidRDefault="003F3AA8" w:rsidP="00D16EE1">
      <w:pPr>
        <w:jc w:val="both"/>
      </w:pPr>
      <w:r w:rsidRPr="003F3AA8">
        <w:t>─────────────────────────────────────────────────────────</w:t>
      </w:r>
    </w:p>
    <w:p w14:paraId="7934B468" w14:textId="77777777" w:rsidR="003F3AA8" w:rsidRPr="003F3AA8" w:rsidRDefault="003F3AA8" w:rsidP="00D16EE1">
      <w:pPr>
        <w:jc w:val="both"/>
      </w:pPr>
      <w:r w:rsidRPr="003F3AA8">
        <w:t>Target Core Operating Corridor: [ 8.0% - 10.0% ]</w:t>
      </w:r>
    </w:p>
    <w:p w14:paraId="75F9F556" w14:textId="77777777" w:rsidR="003F3AA8" w:rsidRPr="003F3AA8" w:rsidRDefault="003F3AA8" w:rsidP="00D16EE1">
      <w:pPr>
        <w:jc w:val="both"/>
      </w:pPr>
    </w:p>
    <w:p w14:paraId="1145D251" w14:textId="77777777" w:rsidR="003F3AA8" w:rsidRPr="003F3AA8" w:rsidRDefault="003F3AA8" w:rsidP="00D16EE1">
      <w:pPr>
        <w:jc w:val="both"/>
      </w:pPr>
      <w:r w:rsidRPr="003F3AA8">
        <w:t xml:space="preserve">2024 Actual EBIT (Core):  </w:t>
      </w:r>
      <w:r w:rsidRPr="003F3AA8">
        <w:rPr>
          <w:rFonts w:ascii="Arial" w:hAnsi="Arial" w:cs="Arial"/>
        </w:rPr>
        <w:t>█</w:t>
      </w:r>
      <w:r w:rsidRPr="003F3AA8">
        <w:t xml:space="preserve"> </w:t>
      </w:r>
      <w:r w:rsidRPr="003F3AA8">
        <w:rPr>
          <w:rFonts w:ascii="Arial" w:hAnsi="Arial" w:cs="Arial"/>
        </w:rPr>
        <w:t>█</w:t>
      </w:r>
      <w:r w:rsidRPr="003F3AA8">
        <w:t xml:space="preserve"> </w:t>
      </w:r>
      <w:r w:rsidRPr="003F3AA8">
        <w:rPr>
          <w:rFonts w:ascii="Arial" w:hAnsi="Arial" w:cs="Arial"/>
        </w:rPr>
        <w:t>█</w:t>
      </w:r>
      <w:r w:rsidRPr="003F3AA8">
        <w:t xml:space="preserve"> </w:t>
      </w:r>
      <w:r w:rsidRPr="003F3AA8">
        <w:rPr>
          <w:rFonts w:ascii="Arial" w:hAnsi="Arial" w:cs="Arial"/>
        </w:rPr>
        <w:t>█</w:t>
      </w:r>
      <w:r w:rsidRPr="003F3AA8">
        <w:t xml:space="preserve"> </w:t>
      </w:r>
      <w:r w:rsidRPr="003F3AA8">
        <w:rPr>
          <w:rFonts w:ascii="Arial" w:hAnsi="Arial" w:cs="Arial"/>
        </w:rPr>
        <w:t>█</w:t>
      </w:r>
      <w:r w:rsidRPr="003F3AA8">
        <w:t xml:space="preserve"> </w:t>
      </w:r>
      <w:r w:rsidRPr="003F3AA8">
        <w:rPr>
          <w:rFonts w:ascii="Arial" w:hAnsi="Arial" w:cs="Arial"/>
        </w:rPr>
        <w:t>█</w:t>
      </w:r>
      <w:r w:rsidRPr="003F3AA8">
        <w:t xml:space="preserve"> </w:t>
      </w:r>
      <w:r w:rsidRPr="003F3AA8">
        <w:rPr>
          <w:rFonts w:ascii="Arial" w:hAnsi="Arial" w:cs="Arial"/>
        </w:rPr>
        <w:t>█</w:t>
      </w:r>
      <w:r w:rsidRPr="003F3AA8">
        <w:t xml:space="preserve"> </w:t>
      </w:r>
      <w:r w:rsidRPr="003F3AA8">
        <w:rPr>
          <w:rFonts w:ascii="Arial" w:hAnsi="Arial" w:cs="Arial"/>
        </w:rPr>
        <w:t>█</w:t>
      </w:r>
      <w:r w:rsidRPr="003F3AA8">
        <w:t xml:space="preserve"> </w:t>
      </w:r>
      <w:r w:rsidRPr="003F3AA8">
        <w:rPr>
          <w:rFonts w:ascii="Arial" w:hAnsi="Arial" w:cs="Arial"/>
        </w:rPr>
        <w:t>█</w:t>
      </w:r>
      <w:r w:rsidRPr="003F3AA8">
        <w:t xml:space="preserve">  (6.8%)</w:t>
      </w:r>
    </w:p>
    <w:p w14:paraId="3EA21A75" w14:textId="77777777" w:rsidR="003F3AA8" w:rsidRPr="003F3AA8" w:rsidRDefault="003F3AA8" w:rsidP="00D16EE1">
      <w:pPr>
        <w:jc w:val="both"/>
      </w:pPr>
      <w:r w:rsidRPr="003F3AA8">
        <w:t xml:space="preserve">2025 Actual EBIT (Core):  </w:t>
      </w:r>
      <w:r w:rsidRPr="003F3AA8">
        <w:rPr>
          <w:rFonts w:ascii="Arial" w:hAnsi="Arial" w:cs="Arial"/>
        </w:rPr>
        <w:t>█</w:t>
      </w:r>
      <w:r w:rsidRPr="003F3AA8">
        <w:t xml:space="preserve"> </w:t>
      </w:r>
      <w:r w:rsidRPr="003F3AA8">
        <w:rPr>
          <w:rFonts w:ascii="Arial" w:hAnsi="Arial" w:cs="Arial"/>
        </w:rPr>
        <w:t>█</w:t>
      </w:r>
      <w:r w:rsidRPr="003F3AA8">
        <w:t xml:space="preserve"> </w:t>
      </w:r>
      <w:r w:rsidRPr="003F3AA8">
        <w:rPr>
          <w:rFonts w:ascii="Arial" w:hAnsi="Arial" w:cs="Arial"/>
        </w:rPr>
        <w:t>█</w:t>
      </w:r>
      <w:r w:rsidRPr="003F3AA8">
        <w:t xml:space="preserve"> </w:t>
      </w:r>
      <w:r w:rsidRPr="003F3AA8">
        <w:rPr>
          <w:rFonts w:ascii="Arial" w:hAnsi="Arial" w:cs="Arial"/>
        </w:rPr>
        <w:t>█</w:t>
      </w:r>
      <w:r w:rsidRPr="003F3AA8">
        <w:t xml:space="preserve"> </w:t>
      </w:r>
      <w:r w:rsidRPr="003F3AA8">
        <w:rPr>
          <w:rFonts w:ascii="Arial" w:hAnsi="Arial" w:cs="Arial"/>
        </w:rPr>
        <w:t>█</w:t>
      </w:r>
      <w:r w:rsidRPr="003F3AA8">
        <w:t xml:space="preserve"> </w:t>
      </w:r>
      <w:r w:rsidRPr="003F3AA8">
        <w:rPr>
          <w:rFonts w:ascii="Arial" w:hAnsi="Arial" w:cs="Arial"/>
        </w:rPr>
        <w:t>█</w:t>
      </w:r>
      <w:r w:rsidRPr="003F3AA8">
        <w:t xml:space="preserve"> </w:t>
      </w:r>
      <w:r w:rsidRPr="003F3AA8">
        <w:rPr>
          <w:rFonts w:ascii="Arial" w:hAnsi="Arial" w:cs="Arial"/>
        </w:rPr>
        <w:t>█</w:t>
      </w:r>
      <w:r w:rsidRPr="003F3AA8">
        <w:t xml:space="preserve"> </w:t>
      </w:r>
      <w:r w:rsidRPr="003F3AA8">
        <w:rPr>
          <w:rFonts w:ascii="Arial" w:hAnsi="Arial" w:cs="Arial"/>
        </w:rPr>
        <w:t>█</w:t>
      </w:r>
      <w:r w:rsidRPr="003F3AA8">
        <w:t xml:space="preserve"> </w:t>
      </w:r>
      <w:r w:rsidRPr="003F3AA8">
        <w:rPr>
          <w:rFonts w:ascii="Arial" w:hAnsi="Arial" w:cs="Arial"/>
        </w:rPr>
        <w:t>█</w:t>
      </w:r>
      <w:r w:rsidRPr="003F3AA8">
        <w:t xml:space="preserve"> </w:t>
      </w:r>
      <w:r w:rsidRPr="003F3AA8">
        <w:rPr>
          <w:rFonts w:ascii="Arial" w:hAnsi="Arial" w:cs="Arial"/>
        </w:rPr>
        <w:t>█</w:t>
      </w:r>
      <w:r w:rsidRPr="003F3AA8">
        <w:t xml:space="preserve"> </w:t>
      </w:r>
      <w:r w:rsidRPr="003F3AA8">
        <w:rPr>
          <w:rFonts w:ascii="Arial" w:hAnsi="Arial" w:cs="Arial"/>
        </w:rPr>
        <w:t>█</w:t>
      </w:r>
      <w:r w:rsidRPr="003F3AA8">
        <w:t xml:space="preserve">  (7.2%)</w:t>
      </w:r>
    </w:p>
    <w:p w14:paraId="6BDDDAB6" w14:textId="77777777" w:rsidR="003F3AA8" w:rsidRPr="003F3AA8" w:rsidRDefault="003F3AA8" w:rsidP="00D16EE1">
      <w:pPr>
        <w:jc w:val="both"/>
      </w:pPr>
      <w:r w:rsidRPr="003F3AA8">
        <w:t xml:space="preserve">2026 Projected Target:    </w:t>
      </w:r>
      <w:r w:rsidRPr="003F3AA8">
        <w:rPr>
          <w:rFonts w:ascii="Arial" w:hAnsi="Arial" w:cs="Arial"/>
        </w:rPr>
        <w:t>█</w:t>
      </w:r>
      <w:r w:rsidRPr="003F3AA8">
        <w:t xml:space="preserve"> </w:t>
      </w:r>
      <w:r w:rsidRPr="003F3AA8">
        <w:rPr>
          <w:rFonts w:ascii="Arial" w:hAnsi="Arial" w:cs="Arial"/>
        </w:rPr>
        <w:t>█</w:t>
      </w:r>
      <w:r w:rsidRPr="003F3AA8">
        <w:t xml:space="preserve"> </w:t>
      </w:r>
      <w:r w:rsidRPr="003F3AA8">
        <w:rPr>
          <w:rFonts w:ascii="Arial" w:hAnsi="Arial" w:cs="Arial"/>
        </w:rPr>
        <w:t>█</w:t>
      </w:r>
      <w:r w:rsidRPr="003F3AA8">
        <w:t xml:space="preserve"> </w:t>
      </w:r>
      <w:r w:rsidRPr="003F3AA8">
        <w:rPr>
          <w:rFonts w:ascii="Arial" w:hAnsi="Arial" w:cs="Arial"/>
        </w:rPr>
        <w:t>█</w:t>
      </w:r>
      <w:r w:rsidRPr="003F3AA8">
        <w:t xml:space="preserve"> </w:t>
      </w:r>
      <w:r w:rsidRPr="003F3AA8">
        <w:rPr>
          <w:rFonts w:ascii="Arial" w:hAnsi="Arial" w:cs="Arial"/>
        </w:rPr>
        <w:t>█</w:t>
      </w:r>
      <w:r w:rsidRPr="003F3AA8">
        <w:t xml:space="preserve"> </w:t>
      </w:r>
      <w:r w:rsidRPr="003F3AA8">
        <w:rPr>
          <w:rFonts w:ascii="Arial" w:hAnsi="Arial" w:cs="Arial"/>
        </w:rPr>
        <w:t>█</w:t>
      </w:r>
      <w:r w:rsidRPr="003F3AA8">
        <w:t xml:space="preserve"> </w:t>
      </w:r>
      <w:r w:rsidRPr="003F3AA8">
        <w:rPr>
          <w:rFonts w:ascii="Arial" w:hAnsi="Arial" w:cs="Arial"/>
        </w:rPr>
        <w:t>█</w:t>
      </w:r>
      <w:r w:rsidRPr="003F3AA8">
        <w:t xml:space="preserve"> </w:t>
      </w:r>
      <w:r w:rsidRPr="003F3AA8">
        <w:rPr>
          <w:rFonts w:ascii="Arial" w:hAnsi="Arial" w:cs="Arial"/>
        </w:rPr>
        <w:t>█</w:t>
      </w:r>
      <w:r w:rsidRPr="003F3AA8">
        <w:t xml:space="preserve"> </w:t>
      </w:r>
      <w:r w:rsidRPr="003F3AA8">
        <w:rPr>
          <w:rFonts w:ascii="Arial" w:hAnsi="Arial" w:cs="Arial"/>
        </w:rPr>
        <w:t>█</w:t>
      </w:r>
      <w:r w:rsidRPr="003F3AA8">
        <w:t xml:space="preserve"> </w:t>
      </w:r>
      <w:r w:rsidRPr="003F3AA8">
        <w:rPr>
          <w:rFonts w:ascii="Arial" w:hAnsi="Arial" w:cs="Arial"/>
        </w:rPr>
        <w:t>█</w:t>
      </w:r>
      <w:r w:rsidRPr="003F3AA8">
        <w:t xml:space="preserve"> </w:t>
      </w:r>
      <w:r w:rsidRPr="003F3AA8">
        <w:rPr>
          <w:rFonts w:ascii="Arial" w:hAnsi="Arial" w:cs="Arial"/>
        </w:rPr>
        <w:t>█</w:t>
      </w:r>
      <w:r w:rsidRPr="003F3AA8">
        <w:t xml:space="preserve"> </w:t>
      </w:r>
      <w:r w:rsidRPr="003F3AA8">
        <w:rPr>
          <w:rFonts w:ascii="Arial" w:hAnsi="Arial" w:cs="Arial"/>
        </w:rPr>
        <w:t>█</w:t>
      </w:r>
      <w:r w:rsidRPr="003F3AA8">
        <w:t xml:space="preserve"> </w:t>
      </w:r>
      <w:r w:rsidRPr="003F3AA8">
        <w:rPr>
          <w:rFonts w:ascii="Arial" w:hAnsi="Arial" w:cs="Arial"/>
        </w:rPr>
        <w:t>█</w:t>
      </w:r>
      <w:r w:rsidRPr="003F3AA8">
        <w:t xml:space="preserve"> (8.5%)</w:t>
      </w:r>
    </w:p>
    <w:p w14:paraId="391C5AA6" w14:textId="77777777" w:rsidR="003F3AA8" w:rsidRPr="003F3AA8" w:rsidRDefault="003F3AA8" w:rsidP="00D16EE1">
      <w:pPr>
        <w:jc w:val="both"/>
      </w:pPr>
      <w:r w:rsidRPr="003F3AA8">
        <w:t>──────────────────────────────────────────────────────────</w:t>
      </w:r>
    </w:p>
    <w:p w14:paraId="0FCE66C1"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The company's core operating profit margin (EBIT, excluding joint ventures and associates) has consolidated within a stable 6.8% to 7.2% corridor. This structural stability stems directly from strong consumer demand for its high-margin premium SUV segments, alongside the successful global launch of its entry-level, high-efficiency EX30 fully electric compact crossover.</w:t>
      </w:r>
    </w:p>
    <w:p w14:paraId="7C48A26C"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Operationally, Volvo has achieved a high share of electrified vehicles within its total sales mix. Fully electric models and plug-in hybrids now account for over 45% of its total global retail volume, placing Volvo ahead of many traditional premium competitors in the electrification race (SMMT, 2025).</w:t>
      </w:r>
    </w:p>
    <w:p w14:paraId="5ABAB1CC" w14:textId="20BBA429"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However, high capital expenditure requirements needed to fund parallel architecture developments, rising costs for critical raw battery materials, and ongoing investment in software-defined capabilities continue to put pressure on free cash flow metrics. This dynamic highlights the critical need for strict strategic cost management and targeted, efficient resource allocation.</w:t>
      </w:r>
    </w:p>
    <w:p w14:paraId="4743C935" w14:textId="77777777" w:rsidR="003F3AA8" w:rsidRPr="00D16EE1" w:rsidRDefault="003F3AA8" w:rsidP="005036C4">
      <w:pPr>
        <w:pStyle w:val="Heading1"/>
        <w:jc w:val="center"/>
        <w:rPr>
          <w:rFonts w:ascii="Times New Roman" w:hAnsi="Times New Roman" w:cs="Times New Roman"/>
          <w:sz w:val="36"/>
          <w:szCs w:val="36"/>
        </w:rPr>
      </w:pPr>
      <w:bookmarkStart w:id="5" w:name="_Toc237898934"/>
      <w:r w:rsidRPr="00D16EE1">
        <w:rPr>
          <w:rFonts w:ascii="Times New Roman" w:hAnsi="Times New Roman" w:cs="Times New Roman"/>
          <w:sz w:val="36"/>
          <w:szCs w:val="36"/>
        </w:rPr>
        <w:lastRenderedPageBreak/>
        <w:t>6. STRATEGY ANALYSIS</w:t>
      </w:r>
      <w:bookmarkEnd w:id="5"/>
    </w:p>
    <w:p w14:paraId="0E8AD7E4" w14:textId="77777777" w:rsidR="003F3AA8" w:rsidRPr="005036C4" w:rsidRDefault="003F3AA8" w:rsidP="005036C4">
      <w:pPr>
        <w:pStyle w:val="Heading2"/>
        <w:rPr>
          <w:rFonts w:ascii="Times New Roman" w:hAnsi="Times New Roman" w:cs="Times New Roman"/>
          <w:sz w:val="28"/>
          <w:szCs w:val="28"/>
        </w:rPr>
      </w:pPr>
      <w:bookmarkStart w:id="6" w:name="_Toc237898935"/>
      <w:r w:rsidRPr="005036C4">
        <w:rPr>
          <w:rFonts w:ascii="Times New Roman" w:hAnsi="Times New Roman" w:cs="Times New Roman"/>
          <w:sz w:val="28"/>
          <w:szCs w:val="28"/>
        </w:rPr>
        <w:t>6.1 External Environmental Audit</w:t>
      </w:r>
      <w:bookmarkEnd w:id="6"/>
    </w:p>
    <w:p w14:paraId="7F88ECF0" w14:textId="77777777" w:rsidR="003F3AA8" w:rsidRPr="005036C4" w:rsidRDefault="003F3AA8" w:rsidP="005036C4">
      <w:pPr>
        <w:pStyle w:val="Heading3"/>
        <w:rPr>
          <w:rFonts w:ascii="Times New Roman" w:hAnsi="Times New Roman" w:cs="Times New Roman"/>
          <w:sz w:val="24"/>
          <w:szCs w:val="24"/>
        </w:rPr>
      </w:pPr>
      <w:bookmarkStart w:id="7" w:name="_Toc237898936"/>
      <w:r w:rsidRPr="005036C4">
        <w:rPr>
          <w:rFonts w:ascii="Times New Roman" w:hAnsi="Times New Roman" w:cs="Times New Roman"/>
          <w:sz w:val="24"/>
          <w:szCs w:val="24"/>
        </w:rPr>
        <w:t>6.1.1 PESTEL Analysis</w:t>
      </w:r>
      <w:bookmarkEnd w:id="7"/>
    </w:p>
    <w:p w14:paraId="42F6AC59" w14:textId="77777777" w:rsidR="003F3AA8" w:rsidRPr="005036C4" w:rsidRDefault="003F3AA8" w:rsidP="005036C4">
      <w:pPr>
        <w:numPr>
          <w:ilvl w:val="0"/>
          <w:numId w:val="2"/>
        </w:numPr>
        <w:spacing w:line="360" w:lineRule="auto"/>
        <w:jc w:val="both"/>
        <w:rPr>
          <w:rFonts w:ascii="Times New Roman" w:hAnsi="Times New Roman" w:cs="Times New Roman"/>
        </w:rPr>
      </w:pPr>
      <w:r w:rsidRPr="005036C4">
        <w:rPr>
          <w:rFonts w:ascii="Times New Roman" w:hAnsi="Times New Roman" w:cs="Times New Roman"/>
          <w:b/>
          <w:bCs/>
        </w:rPr>
        <w:t>Political:</w:t>
      </w:r>
      <w:r w:rsidRPr="005036C4">
        <w:rPr>
          <w:rFonts w:ascii="Times New Roman" w:hAnsi="Times New Roman" w:cs="Times New Roman"/>
        </w:rPr>
        <w:t xml:space="preserve"> The global premium automotive sector is highly exposed to shifting geopolitical trade policies and international tariff regimes. The introduction of substantial import duties on Chinese-manufactured electric vehicles by both the European Commission and the United States government creates structural challenges for Volvo's global assembly network (ACEA, 2024). To protect its margins, Volvo must adapt its production strategies, shifting manufacturing volumes for vehicles like the EX30 from Chinese hubs to European facilities like Ghent, Belgium.</w:t>
      </w:r>
    </w:p>
    <w:p w14:paraId="0C3EA13C" w14:textId="77777777" w:rsidR="003F3AA8" w:rsidRPr="005036C4" w:rsidRDefault="003F3AA8" w:rsidP="005036C4">
      <w:pPr>
        <w:numPr>
          <w:ilvl w:val="0"/>
          <w:numId w:val="2"/>
        </w:numPr>
        <w:spacing w:line="360" w:lineRule="auto"/>
        <w:jc w:val="both"/>
        <w:rPr>
          <w:rFonts w:ascii="Times New Roman" w:hAnsi="Times New Roman" w:cs="Times New Roman"/>
        </w:rPr>
      </w:pPr>
      <w:r w:rsidRPr="005036C4">
        <w:rPr>
          <w:rFonts w:ascii="Times New Roman" w:hAnsi="Times New Roman" w:cs="Times New Roman"/>
          <w:b/>
          <w:bCs/>
        </w:rPr>
        <w:t>Economic:</w:t>
      </w:r>
      <w:r w:rsidRPr="005036C4">
        <w:rPr>
          <w:rFonts w:ascii="Times New Roman" w:hAnsi="Times New Roman" w:cs="Times New Roman"/>
        </w:rPr>
        <w:t xml:space="preserve"> Macroeconomic conditions—including high interest rates, persistent inflation in material costs, and fluctuating energy prices across European industrial hubs—directly impact consumer purchasing power. Elevated financing costs put pressure on traditional luxury vehicle financing models, requiring Volvo to develop flexible alternative user options, such as vehicle subscriptions.</w:t>
      </w:r>
    </w:p>
    <w:p w14:paraId="59BC3889" w14:textId="77777777" w:rsidR="003F3AA8" w:rsidRPr="005036C4" w:rsidRDefault="003F3AA8" w:rsidP="005036C4">
      <w:pPr>
        <w:numPr>
          <w:ilvl w:val="0"/>
          <w:numId w:val="2"/>
        </w:numPr>
        <w:spacing w:line="360" w:lineRule="auto"/>
        <w:jc w:val="both"/>
        <w:rPr>
          <w:rFonts w:ascii="Times New Roman" w:hAnsi="Times New Roman" w:cs="Times New Roman"/>
        </w:rPr>
      </w:pPr>
      <w:r w:rsidRPr="005036C4">
        <w:rPr>
          <w:rFonts w:ascii="Times New Roman" w:hAnsi="Times New Roman" w:cs="Times New Roman"/>
          <w:b/>
          <w:bCs/>
        </w:rPr>
        <w:t>Social:</w:t>
      </w:r>
      <w:r w:rsidRPr="005036C4">
        <w:rPr>
          <w:rFonts w:ascii="Times New Roman" w:hAnsi="Times New Roman" w:cs="Times New Roman"/>
        </w:rPr>
        <w:t xml:space="preserve"> Modern consumer demographics are increasingly prioritizing corporate environmental action, transparency, and data ethics. Buyers expect vehicle interiors to use premium, circular, and non-animal materials. At the same time, urban consumer expectations are shifting away from traditional vehicle ownership toward flexible, on-demand mobility solutions and subscription models.</w:t>
      </w:r>
    </w:p>
    <w:p w14:paraId="24D1D363" w14:textId="77777777" w:rsidR="003F3AA8" w:rsidRPr="005036C4" w:rsidRDefault="003F3AA8" w:rsidP="005036C4">
      <w:pPr>
        <w:numPr>
          <w:ilvl w:val="0"/>
          <w:numId w:val="2"/>
        </w:numPr>
        <w:spacing w:line="360" w:lineRule="auto"/>
        <w:jc w:val="both"/>
        <w:rPr>
          <w:rFonts w:ascii="Times New Roman" w:hAnsi="Times New Roman" w:cs="Times New Roman"/>
        </w:rPr>
      </w:pPr>
      <w:r w:rsidRPr="005036C4">
        <w:rPr>
          <w:rFonts w:ascii="Times New Roman" w:hAnsi="Times New Roman" w:cs="Times New Roman"/>
          <w:b/>
          <w:bCs/>
        </w:rPr>
        <w:t>Technological:</w:t>
      </w:r>
      <w:r w:rsidRPr="005036C4">
        <w:rPr>
          <w:rFonts w:ascii="Times New Roman" w:hAnsi="Times New Roman" w:cs="Times New Roman"/>
        </w:rPr>
        <w:t xml:space="preserve"> The industry is undergoing a significant technological shift toward software-defined vehicles (SDVs), central electronic compute platforms, and advanced driver assistance systems (ADAS). The vehicle's value proposition is moving away from mechanical engineering toward digital user interfaces and over-the-air (OTA) software update capabilities.</w:t>
      </w:r>
    </w:p>
    <w:p w14:paraId="20A73ADC" w14:textId="77777777" w:rsidR="003F3AA8" w:rsidRPr="005036C4" w:rsidRDefault="003F3AA8" w:rsidP="005036C4">
      <w:pPr>
        <w:numPr>
          <w:ilvl w:val="0"/>
          <w:numId w:val="2"/>
        </w:numPr>
        <w:spacing w:line="360" w:lineRule="auto"/>
        <w:jc w:val="both"/>
        <w:rPr>
          <w:rFonts w:ascii="Times New Roman" w:hAnsi="Times New Roman" w:cs="Times New Roman"/>
        </w:rPr>
      </w:pPr>
      <w:r w:rsidRPr="005036C4">
        <w:rPr>
          <w:rFonts w:ascii="Times New Roman" w:hAnsi="Times New Roman" w:cs="Times New Roman"/>
          <w:b/>
          <w:bCs/>
        </w:rPr>
        <w:t>Environmental:</w:t>
      </w:r>
      <w:r w:rsidRPr="005036C4">
        <w:rPr>
          <w:rFonts w:ascii="Times New Roman" w:hAnsi="Times New Roman" w:cs="Times New Roman"/>
        </w:rPr>
        <w:t xml:space="preserve"> Strict legislative mandates—such as the UK’s Zero Emission Vehicle (ZEV) mandate and the European Union’s tightening fleet-wide CO2 emission targets—impose severe financial penalties on manufacturers that fail to meet progressive zero-emission sales quotas (SMMT, 2025). Furthermore, incoming extended producer </w:t>
      </w:r>
      <w:r w:rsidRPr="005036C4">
        <w:rPr>
          <w:rFonts w:ascii="Times New Roman" w:hAnsi="Times New Roman" w:cs="Times New Roman"/>
        </w:rPr>
        <w:lastRenderedPageBreak/>
        <w:t>responsibility (EPR) laws require automotive brands to build closed-loop recycling infrastructure for industrial batteries.</w:t>
      </w:r>
    </w:p>
    <w:p w14:paraId="4A89BEBF" w14:textId="77777777" w:rsidR="003F3AA8" w:rsidRPr="005036C4" w:rsidRDefault="003F3AA8" w:rsidP="005036C4">
      <w:pPr>
        <w:numPr>
          <w:ilvl w:val="0"/>
          <w:numId w:val="2"/>
        </w:numPr>
        <w:spacing w:line="360" w:lineRule="auto"/>
        <w:jc w:val="both"/>
        <w:rPr>
          <w:rFonts w:ascii="Times New Roman" w:hAnsi="Times New Roman" w:cs="Times New Roman"/>
        </w:rPr>
      </w:pPr>
      <w:r w:rsidRPr="005036C4">
        <w:rPr>
          <w:rFonts w:ascii="Times New Roman" w:hAnsi="Times New Roman" w:cs="Times New Roman"/>
          <w:b/>
          <w:bCs/>
        </w:rPr>
        <w:t>Legal:</w:t>
      </w:r>
      <w:r w:rsidRPr="005036C4">
        <w:rPr>
          <w:rFonts w:ascii="Times New Roman" w:hAnsi="Times New Roman" w:cs="Times New Roman"/>
        </w:rPr>
        <w:t xml:space="preserve"> Volvo operates within a complex global legal framework that includes strict vehicle safety ratings (Euro NCAP), evolving product liability laws for autonomous driving systems, and demanding data privacy mandates like GDPR. Because connected vehicles gather real-time telemetry and user data, Volvo must make continuous investments in vehicle cybersecurity systems.</w:t>
      </w:r>
    </w:p>
    <w:p w14:paraId="21678167" w14:textId="77777777" w:rsidR="003F3AA8" w:rsidRPr="005036C4" w:rsidRDefault="003F3AA8" w:rsidP="005036C4">
      <w:pPr>
        <w:pStyle w:val="Heading3"/>
        <w:rPr>
          <w:rFonts w:ascii="Times New Roman" w:hAnsi="Times New Roman" w:cs="Times New Roman"/>
          <w:sz w:val="24"/>
          <w:szCs w:val="24"/>
        </w:rPr>
      </w:pPr>
      <w:bookmarkStart w:id="8" w:name="_Toc237898937"/>
      <w:r w:rsidRPr="005036C4">
        <w:rPr>
          <w:rFonts w:ascii="Times New Roman" w:hAnsi="Times New Roman" w:cs="Times New Roman"/>
          <w:sz w:val="24"/>
          <w:szCs w:val="24"/>
        </w:rPr>
        <w:t>6.1.2 Porter’s Five Forces Analysis</w:t>
      </w:r>
      <w:bookmarkEnd w:id="8"/>
    </w:p>
    <w:p w14:paraId="1ADC01FF" w14:textId="77777777" w:rsidR="003F3AA8" w:rsidRPr="005036C4" w:rsidRDefault="003F3AA8" w:rsidP="005036C4">
      <w:pPr>
        <w:numPr>
          <w:ilvl w:val="0"/>
          <w:numId w:val="3"/>
        </w:numPr>
        <w:spacing w:line="360" w:lineRule="auto"/>
        <w:jc w:val="both"/>
        <w:rPr>
          <w:rFonts w:ascii="Times New Roman" w:hAnsi="Times New Roman" w:cs="Times New Roman"/>
        </w:rPr>
      </w:pPr>
      <w:r w:rsidRPr="005036C4">
        <w:rPr>
          <w:rFonts w:ascii="Times New Roman" w:hAnsi="Times New Roman" w:cs="Times New Roman"/>
          <w:b/>
          <w:bCs/>
        </w:rPr>
        <w:t>Threat of New Entrants (Moderate):</w:t>
      </w:r>
      <w:r w:rsidRPr="005036C4">
        <w:rPr>
          <w:rFonts w:ascii="Times New Roman" w:hAnsi="Times New Roman" w:cs="Times New Roman"/>
        </w:rPr>
        <w:t xml:space="preserve"> While traditional internal combustion vehicle manufacturing has exceptionally high barriers to entry, the shift to electric powertrains has allowed digital-first manufacturers and agile Chinese brands to enter the global premium EV space. However, building long-term brand trust, establishing international service networks, and meeting complex safety requirements remain high barriers.</w:t>
      </w:r>
    </w:p>
    <w:p w14:paraId="0545423F" w14:textId="77777777" w:rsidR="003F3AA8" w:rsidRPr="005036C4" w:rsidRDefault="003F3AA8" w:rsidP="005036C4">
      <w:pPr>
        <w:numPr>
          <w:ilvl w:val="0"/>
          <w:numId w:val="3"/>
        </w:numPr>
        <w:spacing w:line="360" w:lineRule="auto"/>
        <w:jc w:val="both"/>
        <w:rPr>
          <w:rFonts w:ascii="Times New Roman" w:hAnsi="Times New Roman" w:cs="Times New Roman"/>
        </w:rPr>
      </w:pPr>
      <w:r w:rsidRPr="005036C4">
        <w:rPr>
          <w:rFonts w:ascii="Times New Roman" w:hAnsi="Times New Roman" w:cs="Times New Roman"/>
          <w:b/>
          <w:bCs/>
        </w:rPr>
        <w:t>Bargaining Power of Suppliers (High):</w:t>
      </w:r>
      <w:r w:rsidRPr="005036C4">
        <w:rPr>
          <w:rFonts w:ascii="Times New Roman" w:hAnsi="Times New Roman" w:cs="Times New Roman"/>
        </w:rPr>
        <w:t xml:space="preserve"> The transition to battery electric powertrains concentrates supply chain leverage within a small group of specialized semiconductor foundries and battery cell suppliers. Volvo mitigates this risk through a deep joint venture with </w:t>
      </w:r>
      <w:proofErr w:type="spellStart"/>
      <w:r w:rsidRPr="005036C4">
        <w:rPr>
          <w:rFonts w:ascii="Times New Roman" w:hAnsi="Times New Roman" w:cs="Times New Roman"/>
        </w:rPr>
        <w:t>Northvolt</w:t>
      </w:r>
      <w:proofErr w:type="spellEnd"/>
      <w:r w:rsidRPr="005036C4">
        <w:rPr>
          <w:rFonts w:ascii="Times New Roman" w:hAnsi="Times New Roman" w:cs="Times New Roman"/>
        </w:rPr>
        <w:t>, securing a localized, long-term supply of battery cells.</w:t>
      </w:r>
    </w:p>
    <w:p w14:paraId="4D0B1D9D" w14:textId="77777777" w:rsidR="003F3AA8" w:rsidRPr="005036C4" w:rsidRDefault="003F3AA8" w:rsidP="005036C4">
      <w:pPr>
        <w:numPr>
          <w:ilvl w:val="0"/>
          <w:numId w:val="3"/>
        </w:numPr>
        <w:spacing w:line="360" w:lineRule="auto"/>
        <w:jc w:val="both"/>
        <w:rPr>
          <w:rFonts w:ascii="Times New Roman" w:hAnsi="Times New Roman" w:cs="Times New Roman"/>
        </w:rPr>
      </w:pPr>
      <w:r w:rsidRPr="005036C4">
        <w:rPr>
          <w:rFonts w:ascii="Times New Roman" w:hAnsi="Times New Roman" w:cs="Times New Roman"/>
          <w:b/>
          <w:bCs/>
        </w:rPr>
        <w:t>Bargaining Power of Buyers (High):</w:t>
      </w:r>
      <w:r w:rsidRPr="005036C4">
        <w:rPr>
          <w:rFonts w:ascii="Times New Roman" w:hAnsi="Times New Roman" w:cs="Times New Roman"/>
        </w:rPr>
        <w:t xml:space="preserve"> Premium consumer buyers have significant alternative options available from competing luxury brands. This choice expands their bargaining power, which Volvo manages by delivering highly differentiated safety technology, distinct Scandinavian design elements, and flexible subscription options.</w:t>
      </w:r>
    </w:p>
    <w:p w14:paraId="3E7BE8C0" w14:textId="77777777" w:rsidR="003F3AA8" w:rsidRPr="005036C4" w:rsidRDefault="003F3AA8" w:rsidP="005036C4">
      <w:pPr>
        <w:numPr>
          <w:ilvl w:val="0"/>
          <w:numId w:val="3"/>
        </w:numPr>
        <w:spacing w:line="360" w:lineRule="auto"/>
        <w:jc w:val="both"/>
        <w:rPr>
          <w:rFonts w:ascii="Times New Roman" w:hAnsi="Times New Roman" w:cs="Times New Roman"/>
        </w:rPr>
      </w:pPr>
      <w:r w:rsidRPr="005036C4">
        <w:rPr>
          <w:rFonts w:ascii="Times New Roman" w:hAnsi="Times New Roman" w:cs="Times New Roman"/>
          <w:b/>
          <w:bCs/>
        </w:rPr>
        <w:t>Threat of Substitutes (Low to Moderate):</w:t>
      </w:r>
      <w:r w:rsidRPr="005036C4">
        <w:rPr>
          <w:rFonts w:ascii="Times New Roman" w:hAnsi="Times New Roman" w:cs="Times New Roman"/>
        </w:rPr>
        <w:t xml:space="preserve"> In high-density urban markets, expanding public transport options, high-speed rail links, and multi-modal ride-sharing ecosystems act as functional substitutes. However, for long-distance travel, regional transport, and personal status representation, premium passenger vehicles remain the preferred choice.</w:t>
      </w:r>
    </w:p>
    <w:p w14:paraId="48C95963" w14:textId="3B5CD3EA" w:rsidR="003F3AA8" w:rsidRPr="005036C4" w:rsidRDefault="003F3AA8" w:rsidP="00D16EE1">
      <w:pPr>
        <w:numPr>
          <w:ilvl w:val="0"/>
          <w:numId w:val="3"/>
        </w:numPr>
        <w:spacing w:line="360" w:lineRule="auto"/>
        <w:jc w:val="both"/>
        <w:rPr>
          <w:rFonts w:ascii="Times New Roman" w:hAnsi="Times New Roman" w:cs="Times New Roman"/>
        </w:rPr>
      </w:pPr>
      <w:r w:rsidRPr="005036C4">
        <w:rPr>
          <w:rFonts w:ascii="Times New Roman" w:hAnsi="Times New Roman" w:cs="Times New Roman"/>
          <w:b/>
          <w:bCs/>
        </w:rPr>
        <w:t>Competitive Rivalry Among Existing Firms (Highest Force):</w:t>
      </w:r>
      <w:r w:rsidRPr="005036C4">
        <w:rPr>
          <w:rFonts w:ascii="Times New Roman" w:hAnsi="Times New Roman" w:cs="Times New Roman"/>
        </w:rPr>
        <w:t xml:space="preserve"> The premium automotive sector is intensely competitive. Volvo faces continuous pressure from traditional German luxury brands (Mercedes-Benz, BMW, Audi) and specialized EV manufacturers (Tesla, </w:t>
      </w:r>
      <w:r w:rsidRPr="005036C4">
        <w:rPr>
          <w:rFonts w:ascii="Times New Roman" w:hAnsi="Times New Roman" w:cs="Times New Roman"/>
        </w:rPr>
        <w:lastRenderedPageBreak/>
        <w:t>Polestar, Porsche), all of whom are investing heavily in digital connectivity, performance, and range capabilities (Porter, 2018).</w:t>
      </w:r>
    </w:p>
    <w:p w14:paraId="6F7719EE" w14:textId="77777777" w:rsidR="003F3AA8" w:rsidRPr="005036C4" w:rsidRDefault="003F3AA8" w:rsidP="005036C4">
      <w:pPr>
        <w:pStyle w:val="Heading2"/>
        <w:rPr>
          <w:rFonts w:cstheme="majorHAnsi"/>
          <w:sz w:val="28"/>
          <w:szCs w:val="28"/>
        </w:rPr>
      </w:pPr>
      <w:bookmarkStart w:id="9" w:name="_Toc237898938"/>
      <w:r w:rsidRPr="005036C4">
        <w:rPr>
          <w:rFonts w:cstheme="majorHAnsi"/>
          <w:sz w:val="28"/>
          <w:szCs w:val="28"/>
        </w:rPr>
        <w:t>6.2 Internal Environmental Audit</w:t>
      </w:r>
      <w:bookmarkEnd w:id="9"/>
    </w:p>
    <w:p w14:paraId="472AC00A" w14:textId="77777777" w:rsidR="003F3AA8" w:rsidRPr="005036C4" w:rsidRDefault="003F3AA8" w:rsidP="005036C4">
      <w:pPr>
        <w:pStyle w:val="Heading3"/>
        <w:rPr>
          <w:rFonts w:ascii="Times New Roman" w:hAnsi="Times New Roman" w:cs="Times New Roman"/>
          <w:sz w:val="24"/>
          <w:szCs w:val="24"/>
        </w:rPr>
      </w:pPr>
      <w:bookmarkStart w:id="10" w:name="_Toc237898939"/>
      <w:r w:rsidRPr="005036C4">
        <w:rPr>
          <w:rFonts w:ascii="Times New Roman" w:hAnsi="Times New Roman" w:cs="Times New Roman"/>
          <w:sz w:val="24"/>
          <w:szCs w:val="24"/>
        </w:rPr>
        <w:t>6.2.1 Value Chain Analysis</w:t>
      </w:r>
      <w:bookmarkEnd w:id="10"/>
    </w:p>
    <w:p w14:paraId="4E160DC8"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An analysis of Volvo’s value chain highlights how its primary and support activities are being re-engineered to support its premium digital and sustainable positioning (Kaplinsky and Morris, 2023).</w:t>
      </w:r>
    </w:p>
    <w:p w14:paraId="215B5AF0" w14:textId="0CA60C20"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 xml:space="preserve">│ SUPPORT ACTIVITIES                                                                   </w:t>
      </w:r>
    </w:p>
    <w:p w14:paraId="48BC6355" w14:textId="4F558318"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 xml:space="preserve"> Technology: Collaborative R&amp;D models with tech leaders to build the </w:t>
      </w:r>
      <w:proofErr w:type="spellStart"/>
      <w:r w:rsidRPr="005036C4">
        <w:rPr>
          <w:rFonts w:ascii="Times New Roman" w:hAnsi="Times New Roman" w:cs="Times New Roman"/>
        </w:rPr>
        <w:t>VolvoOS</w:t>
      </w:r>
      <w:proofErr w:type="spellEnd"/>
      <w:r w:rsidRPr="005036C4">
        <w:rPr>
          <w:rFonts w:ascii="Times New Roman" w:hAnsi="Times New Roman" w:cs="Times New Roman"/>
        </w:rPr>
        <w:t xml:space="preserve"> core.      </w:t>
      </w:r>
    </w:p>
    <w:p w14:paraId="7E3B8BEB" w14:textId="1E930510"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 xml:space="preserve"> HR Management: Transitioning manufacturing skills toward software and advanced robotics</w:t>
      </w:r>
    </w:p>
    <w:p w14:paraId="67E5BD1D"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 PRIMARY ACTIVITIES                                                                      │</w:t>
      </w:r>
    </w:p>
    <w:p w14:paraId="7394FB11" w14:textId="12E52B4F"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 xml:space="preserve">Inbound Log.  ──&gt; Operations     ──&gt; Outbound Log. ──&gt; Marketing/Sales ──&gt; Aftersales  </w:t>
      </w:r>
    </w:p>
    <w:p w14:paraId="26B3EA1E" w14:textId="4AA1A313"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 xml:space="preserve"> (Direct, local    (Flexible lines    (High-efficiency  (Transition to  (Connected care; raw battery       for mixed platform  global logistics  direct digital  continuous OTA  sourcing loops)   assembly options)   networks)     </w:t>
      </w:r>
    </w:p>
    <w:p w14:paraId="4ECA6A82" w14:textId="77777777" w:rsidR="003F3AA8" w:rsidRPr="005036C4" w:rsidRDefault="003F3AA8" w:rsidP="005036C4">
      <w:pPr>
        <w:spacing w:line="360" w:lineRule="auto"/>
        <w:ind w:left="720"/>
        <w:jc w:val="both"/>
        <w:rPr>
          <w:rFonts w:ascii="Times New Roman" w:hAnsi="Times New Roman" w:cs="Times New Roman"/>
        </w:rPr>
      </w:pPr>
      <w:r w:rsidRPr="005036C4">
        <w:rPr>
          <w:rFonts w:ascii="Times New Roman" w:hAnsi="Times New Roman" w:cs="Times New Roman"/>
          <w:b/>
          <w:bCs/>
        </w:rPr>
        <w:t>Inbound Logistics:</w:t>
      </w:r>
      <w:r w:rsidRPr="005036C4">
        <w:rPr>
          <w:rFonts w:ascii="Times New Roman" w:hAnsi="Times New Roman" w:cs="Times New Roman"/>
        </w:rPr>
        <w:t xml:space="preserve"> Transitioning from decentralized parts procurement to highly secure, integrated sourcing networks for critical battery chemistry components and central processing units, using localized sourcing loops to reduce transit disruptions.</w:t>
      </w:r>
    </w:p>
    <w:p w14:paraId="4664CD53" w14:textId="77777777" w:rsidR="003F3AA8" w:rsidRPr="005036C4" w:rsidRDefault="003F3AA8" w:rsidP="005036C4">
      <w:pPr>
        <w:numPr>
          <w:ilvl w:val="0"/>
          <w:numId w:val="4"/>
        </w:numPr>
        <w:spacing w:line="360" w:lineRule="auto"/>
        <w:jc w:val="both"/>
        <w:rPr>
          <w:rFonts w:ascii="Times New Roman" w:hAnsi="Times New Roman" w:cs="Times New Roman"/>
        </w:rPr>
      </w:pPr>
      <w:r w:rsidRPr="005036C4">
        <w:rPr>
          <w:rFonts w:ascii="Times New Roman" w:hAnsi="Times New Roman" w:cs="Times New Roman"/>
          <w:b/>
          <w:bCs/>
        </w:rPr>
        <w:t>Operations:</w:t>
      </w:r>
      <w:r w:rsidRPr="005036C4">
        <w:rPr>
          <w:rFonts w:ascii="Times New Roman" w:hAnsi="Times New Roman" w:cs="Times New Roman"/>
        </w:rPr>
        <w:t xml:space="preserve"> Leveraging highly flexible manufacturing architectures, such as the Scalable Product Architecture (SPA2) and Sustainable Experience Architecture (SEA). These systems allow Volvo to build alternative powertrain variants on the same assembly lines, optimizing capacity utilization.</w:t>
      </w:r>
    </w:p>
    <w:p w14:paraId="2425C9A9" w14:textId="77777777" w:rsidR="003F3AA8" w:rsidRPr="005036C4" w:rsidRDefault="003F3AA8" w:rsidP="005036C4">
      <w:pPr>
        <w:numPr>
          <w:ilvl w:val="0"/>
          <w:numId w:val="4"/>
        </w:numPr>
        <w:spacing w:line="360" w:lineRule="auto"/>
        <w:jc w:val="both"/>
        <w:rPr>
          <w:rFonts w:ascii="Times New Roman" w:hAnsi="Times New Roman" w:cs="Times New Roman"/>
        </w:rPr>
      </w:pPr>
      <w:r w:rsidRPr="005036C4">
        <w:rPr>
          <w:rFonts w:ascii="Times New Roman" w:hAnsi="Times New Roman" w:cs="Times New Roman"/>
          <w:b/>
          <w:bCs/>
        </w:rPr>
        <w:t>Outbound Logistics:</w:t>
      </w:r>
      <w:r w:rsidRPr="005036C4">
        <w:rPr>
          <w:rFonts w:ascii="Times New Roman" w:hAnsi="Times New Roman" w:cs="Times New Roman"/>
        </w:rPr>
        <w:t xml:space="preserve"> Running a high-efficiency international distribution network that balances factory output with real-time retail demand across North America, Europe, and Asia.</w:t>
      </w:r>
    </w:p>
    <w:p w14:paraId="58B6306F" w14:textId="77777777" w:rsidR="003F3AA8" w:rsidRPr="005036C4" w:rsidRDefault="003F3AA8" w:rsidP="005036C4">
      <w:pPr>
        <w:numPr>
          <w:ilvl w:val="0"/>
          <w:numId w:val="4"/>
        </w:numPr>
        <w:spacing w:line="360" w:lineRule="auto"/>
        <w:jc w:val="both"/>
        <w:rPr>
          <w:rFonts w:ascii="Times New Roman" w:hAnsi="Times New Roman" w:cs="Times New Roman"/>
        </w:rPr>
      </w:pPr>
      <w:r w:rsidRPr="005036C4">
        <w:rPr>
          <w:rFonts w:ascii="Times New Roman" w:hAnsi="Times New Roman" w:cs="Times New Roman"/>
          <w:b/>
          <w:bCs/>
        </w:rPr>
        <w:lastRenderedPageBreak/>
        <w:t>Marketing &amp; Sales:</w:t>
      </w:r>
      <w:r w:rsidRPr="005036C4">
        <w:rPr>
          <w:rFonts w:ascii="Times New Roman" w:hAnsi="Times New Roman" w:cs="Times New Roman"/>
        </w:rPr>
        <w:t xml:space="preserve"> Transitioning traditional dealership operations toward the direct-to-consumer "Care by Volvo" online subscription model, giving the company strict control over vehicle pricing and improving direct customer relationship management.</w:t>
      </w:r>
    </w:p>
    <w:p w14:paraId="606CFC92" w14:textId="77777777" w:rsidR="003F3AA8" w:rsidRPr="005036C4" w:rsidRDefault="003F3AA8" w:rsidP="005036C4">
      <w:pPr>
        <w:numPr>
          <w:ilvl w:val="0"/>
          <w:numId w:val="4"/>
        </w:numPr>
        <w:spacing w:line="360" w:lineRule="auto"/>
        <w:jc w:val="both"/>
        <w:rPr>
          <w:rFonts w:ascii="Times New Roman" w:hAnsi="Times New Roman" w:cs="Times New Roman"/>
        </w:rPr>
      </w:pPr>
      <w:r w:rsidRPr="005036C4">
        <w:rPr>
          <w:rFonts w:ascii="Times New Roman" w:hAnsi="Times New Roman" w:cs="Times New Roman"/>
          <w:b/>
          <w:bCs/>
        </w:rPr>
        <w:t>Aftersales Service:</w:t>
      </w:r>
      <w:r w:rsidRPr="005036C4">
        <w:rPr>
          <w:rFonts w:ascii="Times New Roman" w:hAnsi="Times New Roman" w:cs="Times New Roman"/>
        </w:rPr>
        <w:t xml:space="preserve"> Providing proactive, remote diagnostics and preventative vehicle maintenance over-the-air, building long-term customer loyalty after the initial point of sale.</w:t>
      </w:r>
    </w:p>
    <w:p w14:paraId="50225C9B" w14:textId="77777777" w:rsidR="003F3AA8" w:rsidRPr="005036C4" w:rsidRDefault="003F3AA8" w:rsidP="005036C4">
      <w:pPr>
        <w:pStyle w:val="Heading3"/>
        <w:rPr>
          <w:rFonts w:ascii="Times New Roman" w:hAnsi="Times New Roman" w:cs="Times New Roman"/>
          <w:sz w:val="24"/>
          <w:szCs w:val="24"/>
        </w:rPr>
      </w:pPr>
      <w:bookmarkStart w:id="11" w:name="_Toc237898940"/>
      <w:r w:rsidRPr="005036C4">
        <w:rPr>
          <w:rFonts w:ascii="Times New Roman" w:hAnsi="Times New Roman" w:cs="Times New Roman"/>
          <w:sz w:val="24"/>
          <w:szCs w:val="24"/>
        </w:rPr>
        <w:t>6.2.2 VRIO Framework Analysis</w:t>
      </w:r>
      <w:bookmarkEnd w:id="11"/>
    </w:p>
    <w:p w14:paraId="514791E8"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To evaluate whether Volvo’s internal capabilities provide a sustainable competitive advantage, core corporate assets are assessed using the VRIO criteria (Barney, 2021).</w:t>
      </w:r>
    </w:p>
    <w:tbl>
      <w:tblPr>
        <w:tblW w:w="5000" w:type="pct"/>
        <w:tblCellMar>
          <w:top w:w="15" w:type="dxa"/>
          <w:left w:w="15" w:type="dxa"/>
          <w:bottom w:w="15" w:type="dxa"/>
          <w:right w:w="15" w:type="dxa"/>
        </w:tblCellMar>
        <w:tblLook w:val="04A0" w:firstRow="1" w:lastRow="0" w:firstColumn="1" w:lastColumn="0" w:noHBand="0" w:noVBand="1"/>
      </w:tblPr>
      <w:tblGrid>
        <w:gridCol w:w="2271"/>
        <w:gridCol w:w="1229"/>
        <w:gridCol w:w="833"/>
        <w:gridCol w:w="1371"/>
        <w:gridCol w:w="1415"/>
        <w:gridCol w:w="2221"/>
      </w:tblGrid>
      <w:tr w:rsidR="003F3AA8" w:rsidRPr="005036C4" w14:paraId="3BDC814D"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B544D4" w14:textId="77777777" w:rsidR="003F3AA8" w:rsidRPr="005036C4" w:rsidRDefault="003F3AA8" w:rsidP="005036C4">
            <w:pPr>
              <w:spacing w:line="360" w:lineRule="auto"/>
              <w:jc w:val="both"/>
              <w:rPr>
                <w:rFonts w:ascii="Times New Roman" w:hAnsi="Times New Roman" w:cs="Times New Roman"/>
                <w:b/>
                <w:bCs/>
              </w:rPr>
            </w:pPr>
            <w:r w:rsidRPr="005036C4">
              <w:rPr>
                <w:rFonts w:ascii="Times New Roman" w:hAnsi="Times New Roman" w:cs="Times New Roman"/>
                <w:b/>
                <w:bCs/>
              </w:rPr>
              <w:t>Resource / Capability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1E40CC" w14:textId="77777777" w:rsidR="003F3AA8" w:rsidRPr="005036C4" w:rsidRDefault="003F3AA8" w:rsidP="005036C4">
            <w:pPr>
              <w:spacing w:line="360" w:lineRule="auto"/>
              <w:jc w:val="both"/>
              <w:rPr>
                <w:rFonts w:ascii="Times New Roman" w:hAnsi="Times New Roman" w:cs="Times New Roman"/>
                <w:b/>
                <w:bCs/>
              </w:rPr>
            </w:pPr>
            <w:r w:rsidRPr="005036C4">
              <w:rPr>
                <w:rFonts w:ascii="Times New Roman" w:hAnsi="Times New Roman" w:cs="Times New Roman"/>
                <w:b/>
                <w:bCs/>
              </w:rPr>
              <w:t>Valuable (V)</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A8AC66" w14:textId="77777777" w:rsidR="003F3AA8" w:rsidRPr="005036C4" w:rsidRDefault="003F3AA8" w:rsidP="005036C4">
            <w:pPr>
              <w:spacing w:line="360" w:lineRule="auto"/>
              <w:jc w:val="both"/>
              <w:rPr>
                <w:rFonts w:ascii="Times New Roman" w:hAnsi="Times New Roman" w:cs="Times New Roman"/>
                <w:b/>
                <w:bCs/>
              </w:rPr>
            </w:pPr>
            <w:r w:rsidRPr="005036C4">
              <w:rPr>
                <w:rFonts w:ascii="Times New Roman" w:hAnsi="Times New Roman" w:cs="Times New Roman"/>
                <w:b/>
                <w:bCs/>
              </w:rPr>
              <w:t>Rare (R)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EA9A2D" w14:textId="77777777" w:rsidR="003F3AA8" w:rsidRPr="005036C4" w:rsidRDefault="003F3AA8" w:rsidP="005036C4">
            <w:pPr>
              <w:spacing w:line="360" w:lineRule="auto"/>
              <w:jc w:val="both"/>
              <w:rPr>
                <w:rFonts w:ascii="Times New Roman" w:hAnsi="Times New Roman" w:cs="Times New Roman"/>
                <w:b/>
                <w:bCs/>
              </w:rPr>
            </w:pPr>
            <w:r w:rsidRPr="005036C4">
              <w:rPr>
                <w:rFonts w:ascii="Times New Roman" w:hAnsi="Times New Roman" w:cs="Times New Roman"/>
                <w:b/>
                <w:bCs/>
              </w:rPr>
              <w:t>Inimitable (I)</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297102" w14:textId="77777777" w:rsidR="003F3AA8" w:rsidRPr="005036C4" w:rsidRDefault="003F3AA8" w:rsidP="005036C4">
            <w:pPr>
              <w:spacing w:line="360" w:lineRule="auto"/>
              <w:jc w:val="both"/>
              <w:rPr>
                <w:rFonts w:ascii="Times New Roman" w:hAnsi="Times New Roman" w:cs="Times New Roman"/>
                <w:b/>
                <w:bCs/>
              </w:rPr>
            </w:pPr>
            <w:r w:rsidRPr="005036C4">
              <w:rPr>
                <w:rFonts w:ascii="Times New Roman" w:hAnsi="Times New Roman" w:cs="Times New Roman"/>
                <w:b/>
                <w:bCs/>
              </w:rPr>
              <w:t>Organized (O)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E15091" w14:textId="77777777" w:rsidR="003F3AA8" w:rsidRPr="005036C4" w:rsidRDefault="003F3AA8" w:rsidP="005036C4">
            <w:pPr>
              <w:spacing w:line="360" w:lineRule="auto"/>
              <w:jc w:val="both"/>
              <w:rPr>
                <w:rFonts w:ascii="Times New Roman" w:hAnsi="Times New Roman" w:cs="Times New Roman"/>
                <w:b/>
                <w:bCs/>
              </w:rPr>
            </w:pPr>
            <w:r w:rsidRPr="005036C4">
              <w:rPr>
                <w:rFonts w:ascii="Times New Roman" w:hAnsi="Times New Roman" w:cs="Times New Roman"/>
                <w:b/>
                <w:bCs/>
              </w:rPr>
              <w:t>Strategic Implication</w:t>
            </w:r>
          </w:p>
        </w:tc>
      </w:tr>
      <w:tr w:rsidR="003F3AA8" w:rsidRPr="005036C4" w14:paraId="43A92AA7"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592A6A"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b/>
                <w:bCs/>
              </w:rPr>
              <w:t>World-Class Safety Brand Equity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BCDAE9"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26CB2D"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4D4F79"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EE8B6E"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67D6D2"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b/>
                <w:bCs/>
              </w:rPr>
              <w:t>Sustained Competitive Advantage</w:t>
            </w:r>
          </w:p>
        </w:tc>
      </w:tr>
      <w:tr w:rsidR="003F3AA8" w:rsidRPr="005036C4" w14:paraId="3656DE40"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D625F4"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b/>
                <w:bCs/>
              </w:rPr>
              <w:t>SPA2/SEA Scalable Architectures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7AE0F2"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14A5EB"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2DE18B"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325BAD"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F3CEF2"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Temporary Competitive Advantage</w:t>
            </w:r>
          </w:p>
        </w:tc>
      </w:tr>
      <w:tr w:rsidR="003F3AA8" w:rsidRPr="005036C4" w14:paraId="473ABE2E"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9909E7"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b/>
                <w:bCs/>
              </w:rPr>
              <w:t>Geely Global Supply Ecosystem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1DB5CA"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D3DC2E"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2835C"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665889"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5F39D8"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b/>
                <w:bCs/>
              </w:rPr>
              <w:t>Sustained Competitive Advantage</w:t>
            </w:r>
          </w:p>
        </w:tc>
      </w:tr>
      <w:tr w:rsidR="003F3AA8" w:rsidRPr="005036C4" w14:paraId="1E8CD8E9"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9EB2B8"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b/>
                <w:bCs/>
              </w:rPr>
              <w:t>Proprietary Software Systems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3B05AC"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55869A"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19AA18"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9F4725"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79039F"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Competitive Disadvantage / Parity</w:t>
            </w:r>
          </w:p>
        </w:tc>
      </w:tr>
    </w:tbl>
    <w:p w14:paraId="1C6A1693" w14:textId="77777777" w:rsidR="003F3AA8" w:rsidRPr="005036C4" w:rsidRDefault="003F3AA8" w:rsidP="005036C4">
      <w:pPr>
        <w:numPr>
          <w:ilvl w:val="0"/>
          <w:numId w:val="5"/>
        </w:numPr>
        <w:spacing w:line="360" w:lineRule="auto"/>
        <w:jc w:val="both"/>
        <w:rPr>
          <w:rFonts w:ascii="Times New Roman" w:hAnsi="Times New Roman" w:cs="Times New Roman"/>
        </w:rPr>
      </w:pPr>
      <w:r w:rsidRPr="005036C4">
        <w:rPr>
          <w:rFonts w:ascii="Times New Roman" w:hAnsi="Times New Roman" w:cs="Times New Roman"/>
          <w:b/>
          <w:bCs/>
        </w:rPr>
        <w:t>World-Class Safety Brand Equity:</w:t>
      </w:r>
      <w:r w:rsidRPr="005036C4">
        <w:rPr>
          <w:rFonts w:ascii="Times New Roman" w:hAnsi="Times New Roman" w:cs="Times New Roman"/>
        </w:rPr>
        <w:t xml:space="preserve"> Decades of industry-leading safety inventions (such as the three-point safety belt) have created an authentic reputation for safety that </w:t>
      </w:r>
      <w:r w:rsidRPr="005036C4">
        <w:rPr>
          <w:rFonts w:ascii="Times New Roman" w:hAnsi="Times New Roman" w:cs="Times New Roman"/>
        </w:rPr>
        <w:lastRenderedPageBreak/>
        <w:t>competitors cannot easily copy. This asset is fully leveraged across all product marketing, delivering a sustained competitive advantage.</w:t>
      </w:r>
    </w:p>
    <w:p w14:paraId="2CF0B429" w14:textId="77777777" w:rsidR="003F3AA8" w:rsidRPr="005036C4" w:rsidRDefault="003F3AA8" w:rsidP="005036C4">
      <w:pPr>
        <w:numPr>
          <w:ilvl w:val="0"/>
          <w:numId w:val="5"/>
        </w:numPr>
        <w:spacing w:line="360" w:lineRule="auto"/>
        <w:jc w:val="both"/>
        <w:rPr>
          <w:rFonts w:ascii="Times New Roman" w:hAnsi="Times New Roman" w:cs="Times New Roman"/>
        </w:rPr>
      </w:pPr>
      <w:r w:rsidRPr="005036C4">
        <w:rPr>
          <w:rFonts w:ascii="Times New Roman" w:hAnsi="Times New Roman" w:cs="Times New Roman"/>
          <w:b/>
          <w:bCs/>
        </w:rPr>
        <w:t>SPA2/SEA Scalable Platform Architectures:</w:t>
      </w:r>
      <w:r w:rsidRPr="005036C4">
        <w:rPr>
          <w:rFonts w:ascii="Times New Roman" w:hAnsi="Times New Roman" w:cs="Times New Roman"/>
        </w:rPr>
        <w:t xml:space="preserve"> While these advanced platforms allow Volvo to efficiently build alternative powertrain options, global competitors have developed their own modular manufacturing platforms, making this a temporary competitive advantage.</w:t>
      </w:r>
    </w:p>
    <w:p w14:paraId="293C498F" w14:textId="77777777" w:rsidR="003F3AA8" w:rsidRPr="005036C4" w:rsidRDefault="003F3AA8" w:rsidP="005036C4">
      <w:pPr>
        <w:numPr>
          <w:ilvl w:val="0"/>
          <w:numId w:val="5"/>
        </w:numPr>
        <w:spacing w:line="360" w:lineRule="auto"/>
        <w:jc w:val="both"/>
        <w:rPr>
          <w:rFonts w:ascii="Times New Roman" w:hAnsi="Times New Roman" w:cs="Times New Roman"/>
        </w:rPr>
      </w:pPr>
      <w:r w:rsidRPr="005036C4">
        <w:rPr>
          <w:rFonts w:ascii="Times New Roman" w:hAnsi="Times New Roman" w:cs="Times New Roman"/>
          <w:b/>
          <w:bCs/>
        </w:rPr>
        <w:t>Geely Global Supply Ecosystem:</w:t>
      </w:r>
      <w:r w:rsidRPr="005036C4">
        <w:rPr>
          <w:rFonts w:ascii="Times New Roman" w:hAnsi="Times New Roman" w:cs="Times New Roman"/>
        </w:rPr>
        <w:t xml:space="preserve"> Strategic access to Geely's vast industrial purchasing power, shared component architectures, and manufacturing footprints in China delivers rare, scale-driven cost efficiencies and structural supply chain security, resulting in a sustained competitive advantage.</w:t>
      </w:r>
    </w:p>
    <w:p w14:paraId="08DEC36D" w14:textId="77777777" w:rsidR="003F3AA8" w:rsidRPr="005036C4" w:rsidRDefault="003F3AA8" w:rsidP="005036C4">
      <w:pPr>
        <w:numPr>
          <w:ilvl w:val="0"/>
          <w:numId w:val="5"/>
        </w:numPr>
        <w:spacing w:line="360" w:lineRule="auto"/>
        <w:jc w:val="both"/>
        <w:rPr>
          <w:rFonts w:ascii="Times New Roman" w:hAnsi="Times New Roman" w:cs="Times New Roman"/>
        </w:rPr>
      </w:pPr>
      <w:r w:rsidRPr="005036C4">
        <w:rPr>
          <w:rFonts w:ascii="Times New Roman" w:hAnsi="Times New Roman" w:cs="Times New Roman"/>
          <w:b/>
          <w:bCs/>
        </w:rPr>
        <w:t>Proprietary Software Systems:</w:t>
      </w:r>
      <w:r w:rsidRPr="005036C4">
        <w:rPr>
          <w:rFonts w:ascii="Times New Roman" w:hAnsi="Times New Roman" w:cs="Times New Roman"/>
        </w:rPr>
        <w:t xml:space="preserve"> Relying on fragmented software systems can slow down digital iteration cycles. Volvo is addressing this parity issue by collaborating with technology leaders to develop its unified </w:t>
      </w:r>
      <w:proofErr w:type="spellStart"/>
      <w:r w:rsidRPr="005036C4">
        <w:rPr>
          <w:rFonts w:ascii="Times New Roman" w:hAnsi="Times New Roman" w:cs="Times New Roman"/>
        </w:rPr>
        <w:t>VolvoOS</w:t>
      </w:r>
      <w:proofErr w:type="spellEnd"/>
      <w:r w:rsidRPr="005036C4">
        <w:rPr>
          <w:rFonts w:ascii="Times New Roman" w:hAnsi="Times New Roman" w:cs="Times New Roman"/>
        </w:rPr>
        <w:t xml:space="preserve"> operating core.</w:t>
      </w:r>
    </w:p>
    <w:p w14:paraId="64FBE338" w14:textId="77777777" w:rsidR="003F3AA8" w:rsidRPr="005036C4" w:rsidRDefault="003F3AA8" w:rsidP="005036C4">
      <w:pPr>
        <w:pStyle w:val="Heading3"/>
        <w:rPr>
          <w:rFonts w:ascii="Times New Roman" w:hAnsi="Times New Roman" w:cs="Times New Roman"/>
          <w:sz w:val="24"/>
          <w:szCs w:val="24"/>
        </w:rPr>
      </w:pPr>
      <w:bookmarkStart w:id="12" w:name="_Toc237898941"/>
      <w:r w:rsidRPr="005036C4">
        <w:rPr>
          <w:rFonts w:ascii="Times New Roman" w:hAnsi="Times New Roman" w:cs="Times New Roman"/>
          <w:sz w:val="24"/>
          <w:szCs w:val="24"/>
        </w:rPr>
        <w:t>6.2.3 Boston Consulting Group (BCG) Matrix</w:t>
      </w:r>
      <w:bookmarkEnd w:id="12"/>
    </w:p>
    <w:p w14:paraId="2E48C525"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Applying the BCG Matrix allows Volvo to strategically evaluate its product portfolio mix to optimize long-term corporate cash allocation (Oliver, 2020).</w:t>
      </w:r>
    </w:p>
    <w:p w14:paraId="38BFE233"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 xml:space="preserve">        HIGH ┌──────────────────────────────</w:t>
      </w:r>
      <w:r w:rsidRPr="005036C4">
        <w:rPr>
          <w:rFonts w:ascii="Times New Roman" w:eastAsia="MS Gothic" w:hAnsi="Times New Roman" w:cs="Times New Roman"/>
        </w:rPr>
        <w:t>┬</w:t>
      </w:r>
      <w:r w:rsidRPr="005036C4">
        <w:rPr>
          <w:rFonts w:ascii="Times New Roman" w:hAnsi="Times New Roman" w:cs="Times New Roman"/>
        </w:rPr>
        <w:t>──────────────────────────────┐</w:t>
      </w:r>
    </w:p>
    <w:p w14:paraId="34559C7D"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 xml:space="preserve">             │            STARS             │       QUESTION MARKS         │</w:t>
      </w:r>
    </w:p>
    <w:p w14:paraId="536138B5"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 xml:space="preserve">             │  • XC60 / XC90 Recharge      │  • Fully Autonomous Shuttles │</w:t>
      </w:r>
    </w:p>
    <w:p w14:paraId="53C954AA"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 xml:space="preserve">             │  • EX30 Compact EV           │  • </w:t>
      </w:r>
      <w:proofErr w:type="spellStart"/>
      <w:r w:rsidRPr="005036C4">
        <w:rPr>
          <w:rFonts w:ascii="Times New Roman" w:hAnsi="Times New Roman" w:cs="Times New Roman"/>
        </w:rPr>
        <w:t>MaaS</w:t>
      </w:r>
      <w:proofErr w:type="spellEnd"/>
      <w:r w:rsidRPr="005036C4">
        <w:rPr>
          <w:rFonts w:ascii="Times New Roman" w:hAnsi="Times New Roman" w:cs="Times New Roman"/>
        </w:rPr>
        <w:t xml:space="preserve"> Subscription Formats │</w:t>
      </w:r>
    </w:p>
    <w:p w14:paraId="6DC1E096"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 xml:space="preserve">MKT GROWTH   </w:t>
      </w:r>
      <w:r w:rsidRPr="005036C4">
        <w:rPr>
          <w:rFonts w:ascii="Times New Roman" w:eastAsia="MS Gothic" w:hAnsi="Times New Roman" w:cs="Times New Roman"/>
        </w:rPr>
        <w:t>├</w:t>
      </w:r>
      <w:r w:rsidRPr="005036C4">
        <w:rPr>
          <w:rFonts w:ascii="Times New Roman" w:hAnsi="Times New Roman" w:cs="Times New Roman"/>
        </w:rPr>
        <w:t>──────────────────────────────</w:t>
      </w:r>
      <w:r w:rsidRPr="005036C4">
        <w:rPr>
          <w:rFonts w:ascii="Times New Roman" w:eastAsia="MS Gothic" w:hAnsi="Times New Roman" w:cs="Times New Roman"/>
        </w:rPr>
        <w:t>┼</w:t>
      </w:r>
      <w:r w:rsidRPr="005036C4">
        <w:rPr>
          <w:rFonts w:ascii="Times New Roman" w:hAnsi="Times New Roman" w:cs="Times New Roman"/>
        </w:rPr>
        <w:t>──────────────────────────────</w:t>
      </w:r>
      <w:r w:rsidRPr="005036C4">
        <w:rPr>
          <w:rFonts w:ascii="Times New Roman" w:eastAsia="MS Gothic" w:hAnsi="Times New Roman" w:cs="Times New Roman"/>
        </w:rPr>
        <w:t>┤</w:t>
      </w:r>
    </w:p>
    <w:p w14:paraId="41D1CABC"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 xml:space="preserve">             │          CASH COWS           │            DOGS              │</w:t>
      </w:r>
    </w:p>
    <w:p w14:paraId="285B6C09"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 xml:space="preserve">             │  • Legacy Mild-Hybrid SUVs   │  • Traditional Diesel        │</w:t>
      </w:r>
    </w:p>
    <w:p w14:paraId="564C51A9"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lastRenderedPageBreak/>
        <w:t xml:space="preserve">             │    (XC90 ICE Variants)       │    Saloons (S60 / V60 Legacy)│</w:t>
      </w:r>
    </w:p>
    <w:p w14:paraId="48E5A9AB"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 xml:space="preserve">         LOW └──────────────────────────────</w:t>
      </w:r>
      <w:r w:rsidRPr="005036C4">
        <w:rPr>
          <w:rFonts w:ascii="Times New Roman" w:eastAsia="MS Gothic" w:hAnsi="Times New Roman" w:cs="Times New Roman"/>
        </w:rPr>
        <w:t>┴</w:t>
      </w:r>
      <w:r w:rsidRPr="005036C4">
        <w:rPr>
          <w:rFonts w:ascii="Times New Roman" w:hAnsi="Times New Roman" w:cs="Times New Roman"/>
        </w:rPr>
        <w:t>──────────────────────────────┘</w:t>
      </w:r>
    </w:p>
    <w:p w14:paraId="2DAAE6D4"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 xml:space="preserve">                                          HIGH                          LOW</w:t>
      </w:r>
    </w:p>
    <w:p w14:paraId="10662777"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 xml:space="preserve">                                         RELATIVE MARKET SHARE</w:t>
      </w:r>
    </w:p>
    <w:p w14:paraId="3A04A88B" w14:textId="77777777" w:rsidR="003F3AA8" w:rsidRPr="005036C4" w:rsidRDefault="003F3AA8" w:rsidP="005036C4">
      <w:pPr>
        <w:numPr>
          <w:ilvl w:val="0"/>
          <w:numId w:val="6"/>
        </w:numPr>
        <w:spacing w:line="360" w:lineRule="auto"/>
        <w:jc w:val="both"/>
        <w:rPr>
          <w:rFonts w:ascii="Times New Roman" w:hAnsi="Times New Roman" w:cs="Times New Roman"/>
        </w:rPr>
      </w:pPr>
      <w:r w:rsidRPr="005036C4">
        <w:rPr>
          <w:rFonts w:ascii="Times New Roman" w:hAnsi="Times New Roman" w:cs="Times New Roman"/>
          <w:b/>
          <w:bCs/>
        </w:rPr>
        <w:t>Cash Cows:</w:t>
      </w:r>
      <w:r w:rsidRPr="005036C4">
        <w:rPr>
          <w:rFonts w:ascii="Times New Roman" w:hAnsi="Times New Roman" w:cs="Times New Roman"/>
        </w:rPr>
        <w:t xml:space="preserve"> Legacy internal combustion and mild-hybrid SUVs (e.g., XC90 ICE variants). These stable, high-margin products generate the cash flows needed to fund Volvo’s transition to electrification.</w:t>
      </w:r>
    </w:p>
    <w:p w14:paraId="5FC2ABB2" w14:textId="77777777" w:rsidR="003F3AA8" w:rsidRPr="005036C4" w:rsidRDefault="003F3AA8" w:rsidP="005036C4">
      <w:pPr>
        <w:numPr>
          <w:ilvl w:val="0"/>
          <w:numId w:val="6"/>
        </w:numPr>
        <w:spacing w:line="360" w:lineRule="auto"/>
        <w:jc w:val="both"/>
        <w:rPr>
          <w:rFonts w:ascii="Times New Roman" w:hAnsi="Times New Roman" w:cs="Times New Roman"/>
        </w:rPr>
      </w:pPr>
      <w:r w:rsidRPr="005036C4">
        <w:rPr>
          <w:rFonts w:ascii="Times New Roman" w:hAnsi="Times New Roman" w:cs="Times New Roman"/>
          <w:b/>
          <w:bCs/>
        </w:rPr>
        <w:t>Stars:</w:t>
      </w:r>
      <w:r w:rsidRPr="005036C4">
        <w:rPr>
          <w:rFonts w:ascii="Times New Roman" w:hAnsi="Times New Roman" w:cs="Times New Roman"/>
        </w:rPr>
        <w:t xml:space="preserve"> Premium battery electric vehicles, such as the EX30, EX40, and flagship EX90. These models operate in high-growth market segments and are securing large volume market shares, requiring continued investment.</w:t>
      </w:r>
    </w:p>
    <w:p w14:paraId="4A41A547" w14:textId="77777777" w:rsidR="003F3AA8" w:rsidRPr="005036C4" w:rsidRDefault="003F3AA8" w:rsidP="005036C4">
      <w:pPr>
        <w:numPr>
          <w:ilvl w:val="0"/>
          <w:numId w:val="6"/>
        </w:numPr>
        <w:spacing w:line="360" w:lineRule="auto"/>
        <w:jc w:val="both"/>
        <w:rPr>
          <w:rFonts w:ascii="Times New Roman" w:hAnsi="Times New Roman" w:cs="Times New Roman"/>
        </w:rPr>
      </w:pPr>
      <w:r w:rsidRPr="005036C4">
        <w:rPr>
          <w:rFonts w:ascii="Times New Roman" w:hAnsi="Times New Roman" w:cs="Times New Roman"/>
          <w:b/>
          <w:bCs/>
        </w:rPr>
        <w:t>Question Marks:</w:t>
      </w:r>
      <w:r w:rsidRPr="005036C4">
        <w:rPr>
          <w:rFonts w:ascii="Times New Roman" w:hAnsi="Times New Roman" w:cs="Times New Roman"/>
        </w:rPr>
        <w:t xml:space="preserve"> Next-generation Mobility-as-a-Service (</w:t>
      </w:r>
      <w:proofErr w:type="spellStart"/>
      <w:r w:rsidRPr="005036C4">
        <w:rPr>
          <w:rFonts w:ascii="Times New Roman" w:hAnsi="Times New Roman" w:cs="Times New Roman"/>
        </w:rPr>
        <w:t>MaaS</w:t>
      </w:r>
      <w:proofErr w:type="spellEnd"/>
      <w:r w:rsidRPr="005036C4">
        <w:rPr>
          <w:rFonts w:ascii="Times New Roman" w:hAnsi="Times New Roman" w:cs="Times New Roman"/>
        </w:rPr>
        <w:t>) software concepts and fully autonomous transport prototypes. These initiatives require significant R&amp;D capital but face highly uncertain long-term market adoption rates.</w:t>
      </w:r>
    </w:p>
    <w:p w14:paraId="536E77EC" w14:textId="77777777" w:rsidR="003F3AA8" w:rsidRPr="005036C4" w:rsidRDefault="003F3AA8" w:rsidP="005036C4">
      <w:pPr>
        <w:numPr>
          <w:ilvl w:val="0"/>
          <w:numId w:val="6"/>
        </w:numPr>
        <w:spacing w:line="360" w:lineRule="auto"/>
        <w:jc w:val="both"/>
        <w:rPr>
          <w:rFonts w:ascii="Times New Roman" w:hAnsi="Times New Roman" w:cs="Times New Roman"/>
        </w:rPr>
      </w:pPr>
      <w:r w:rsidRPr="005036C4">
        <w:rPr>
          <w:rFonts w:ascii="Times New Roman" w:hAnsi="Times New Roman" w:cs="Times New Roman"/>
          <w:b/>
          <w:bCs/>
        </w:rPr>
        <w:t>Dogs:</w:t>
      </w:r>
      <w:r w:rsidRPr="005036C4">
        <w:rPr>
          <w:rFonts w:ascii="Times New Roman" w:hAnsi="Times New Roman" w:cs="Times New Roman"/>
        </w:rPr>
        <w:t xml:space="preserve"> Traditional, lower-margin legacy diesel saloons and estates. These models face declining market demand and are being systematically phased out of Volvo's global production lines.</w:t>
      </w:r>
    </w:p>
    <w:p w14:paraId="4FFB7E7D" w14:textId="3AC0346F" w:rsidR="003F3AA8" w:rsidRDefault="003F3AA8" w:rsidP="005036C4">
      <w:pPr>
        <w:spacing w:line="360" w:lineRule="auto"/>
        <w:jc w:val="both"/>
        <w:rPr>
          <w:rFonts w:ascii="Times New Roman" w:hAnsi="Times New Roman" w:cs="Times New Roman"/>
        </w:rPr>
      </w:pPr>
    </w:p>
    <w:p w14:paraId="2713CD3A" w14:textId="77777777" w:rsidR="005036C4" w:rsidRDefault="005036C4" w:rsidP="005036C4">
      <w:pPr>
        <w:spacing w:line="360" w:lineRule="auto"/>
        <w:jc w:val="both"/>
        <w:rPr>
          <w:rFonts w:ascii="Times New Roman" w:hAnsi="Times New Roman" w:cs="Times New Roman"/>
        </w:rPr>
      </w:pPr>
    </w:p>
    <w:p w14:paraId="61A672DF" w14:textId="77777777" w:rsidR="005036C4" w:rsidRDefault="005036C4" w:rsidP="005036C4">
      <w:pPr>
        <w:spacing w:line="360" w:lineRule="auto"/>
        <w:jc w:val="both"/>
        <w:rPr>
          <w:rFonts w:ascii="Times New Roman" w:hAnsi="Times New Roman" w:cs="Times New Roman"/>
        </w:rPr>
      </w:pPr>
    </w:p>
    <w:p w14:paraId="7612E5AC" w14:textId="77777777" w:rsidR="005036C4" w:rsidRDefault="005036C4" w:rsidP="005036C4">
      <w:pPr>
        <w:spacing w:line="360" w:lineRule="auto"/>
        <w:jc w:val="both"/>
        <w:rPr>
          <w:rFonts w:ascii="Times New Roman" w:hAnsi="Times New Roman" w:cs="Times New Roman"/>
        </w:rPr>
      </w:pPr>
    </w:p>
    <w:p w14:paraId="3CB5EA9E" w14:textId="77777777" w:rsidR="005036C4" w:rsidRDefault="005036C4" w:rsidP="005036C4">
      <w:pPr>
        <w:spacing w:line="360" w:lineRule="auto"/>
        <w:jc w:val="both"/>
        <w:rPr>
          <w:rFonts w:ascii="Times New Roman" w:hAnsi="Times New Roman" w:cs="Times New Roman"/>
        </w:rPr>
      </w:pPr>
    </w:p>
    <w:p w14:paraId="6ED3FF2C" w14:textId="77777777" w:rsidR="005036C4" w:rsidRPr="005036C4" w:rsidRDefault="005036C4" w:rsidP="005036C4">
      <w:pPr>
        <w:spacing w:line="360" w:lineRule="auto"/>
        <w:jc w:val="both"/>
        <w:rPr>
          <w:rFonts w:ascii="Times New Roman" w:hAnsi="Times New Roman" w:cs="Times New Roman"/>
        </w:rPr>
      </w:pPr>
    </w:p>
    <w:p w14:paraId="7E304E82" w14:textId="77777777" w:rsidR="003F3AA8" w:rsidRPr="005036C4" w:rsidRDefault="003F3AA8" w:rsidP="005036C4">
      <w:pPr>
        <w:pStyle w:val="Heading1"/>
        <w:spacing w:line="360" w:lineRule="auto"/>
        <w:jc w:val="center"/>
        <w:rPr>
          <w:rFonts w:ascii="Times New Roman" w:hAnsi="Times New Roman" w:cs="Times New Roman"/>
          <w:sz w:val="36"/>
          <w:szCs w:val="36"/>
        </w:rPr>
      </w:pPr>
      <w:bookmarkStart w:id="13" w:name="_Toc237898942"/>
      <w:r w:rsidRPr="005036C4">
        <w:rPr>
          <w:rFonts w:ascii="Times New Roman" w:hAnsi="Times New Roman" w:cs="Times New Roman"/>
          <w:sz w:val="36"/>
          <w:szCs w:val="36"/>
        </w:rPr>
        <w:lastRenderedPageBreak/>
        <w:t>7. STRATEGY FORMULATION</w:t>
      </w:r>
      <w:bookmarkEnd w:id="13"/>
    </w:p>
    <w:p w14:paraId="1E40CDE9" w14:textId="77777777" w:rsidR="003F3AA8" w:rsidRPr="005036C4" w:rsidRDefault="003F3AA8" w:rsidP="005036C4">
      <w:pPr>
        <w:pStyle w:val="Heading2"/>
        <w:rPr>
          <w:rFonts w:ascii="Times New Roman" w:hAnsi="Times New Roman" w:cs="Times New Roman"/>
          <w:sz w:val="28"/>
          <w:szCs w:val="28"/>
        </w:rPr>
      </w:pPr>
      <w:bookmarkStart w:id="14" w:name="_Toc237898943"/>
      <w:r w:rsidRPr="005036C4">
        <w:rPr>
          <w:rFonts w:ascii="Times New Roman" w:hAnsi="Times New Roman" w:cs="Times New Roman"/>
          <w:sz w:val="28"/>
          <w:szCs w:val="28"/>
        </w:rPr>
        <w:t>7.1 TOWS Formulation Analysis</w:t>
      </w:r>
      <w:bookmarkEnd w:id="14"/>
    </w:p>
    <w:p w14:paraId="372820B6"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To convert internal and external audits into actionable strategic directions, the TOWS Matrix maps corporate strengths and weaknesses directly against market opportunities and threats.</w:t>
      </w:r>
    </w:p>
    <w:tbl>
      <w:tblPr>
        <w:tblW w:w="5000" w:type="pct"/>
        <w:tblCellMar>
          <w:top w:w="15" w:type="dxa"/>
          <w:left w:w="15" w:type="dxa"/>
          <w:bottom w:w="15" w:type="dxa"/>
          <w:right w:w="15" w:type="dxa"/>
        </w:tblCellMar>
        <w:tblLook w:val="04A0" w:firstRow="1" w:lastRow="0" w:firstColumn="1" w:lastColumn="0" w:noHBand="0" w:noVBand="1"/>
      </w:tblPr>
      <w:tblGrid>
        <w:gridCol w:w="2358"/>
        <w:gridCol w:w="3622"/>
        <w:gridCol w:w="3360"/>
      </w:tblGrid>
      <w:tr w:rsidR="003F3AA8" w:rsidRPr="005036C4" w14:paraId="7528573C"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7BC162" w14:textId="77777777" w:rsidR="003F3AA8" w:rsidRPr="005036C4" w:rsidRDefault="003F3AA8" w:rsidP="005036C4">
            <w:pPr>
              <w:spacing w:line="360" w:lineRule="auto"/>
              <w:jc w:val="both"/>
              <w:rPr>
                <w:rFonts w:ascii="Times New Roman" w:hAnsi="Times New Roman" w:cs="Times New Roman"/>
                <w:b/>
                <w:bCs/>
              </w:rPr>
            </w:pPr>
            <w:r w:rsidRPr="005036C4">
              <w:rPr>
                <w:rFonts w:ascii="Times New Roman" w:hAnsi="Times New Roman" w:cs="Times New Roman"/>
                <w:b/>
                <w:bCs/>
              </w:rPr>
              <w:t>TOWS Matrix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B68938" w14:textId="77777777" w:rsidR="003F3AA8" w:rsidRPr="005036C4" w:rsidRDefault="003F3AA8" w:rsidP="005036C4">
            <w:pPr>
              <w:spacing w:line="360" w:lineRule="auto"/>
              <w:jc w:val="both"/>
              <w:rPr>
                <w:rFonts w:ascii="Times New Roman" w:hAnsi="Times New Roman" w:cs="Times New Roman"/>
                <w:b/>
                <w:bCs/>
              </w:rPr>
            </w:pPr>
            <w:r w:rsidRPr="005036C4">
              <w:rPr>
                <w:rFonts w:ascii="Times New Roman" w:hAnsi="Times New Roman" w:cs="Times New Roman"/>
                <w:b/>
                <w:bCs/>
              </w:rPr>
              <w:t>STRENGTHS (S)</w:t>
            </w:r>
            <w:r w:rsidRPr="005036C4">
              <w:rPr>
                <w:rFonts w:ascii="Times New Roman" w:hAnsi="Times New Roman" w:cs="Times New Roman"/>
                <w:b/>
                <w:bCs/>
              </w:rPr>
              <w:br/>
              <w:t>- Industry-leading safety reputation</w:t>
            </w:r>
            <w:r w:rsidRPr="005036C4">
              <w:rPr>
                <w:rFonts w:ascii="Times New Roman" w:hAnsi="Times New Roman" w:cs="Times New Roman"/>
                <w:b/>
                <w:bCs/>
              </w:rPr>
              <w:br/>
              <w:t>- Shared scale with Geely Group</w:t>
            </w:r>
            <w:r w:rsidRPr="005036C4">
              <w:rPr>
                <w:rFonts w:ascii="Times New Roman" w:hAnsi="Times New Roman" w:cs="Times New Roman"/>
                <w:b/>
                <w:bCs/>
              </w:rPr>
              <w:br/>
              <w:t>- Clear electrification strategy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BB0128" w14:textId="77777777" w:rsidR="003F3AA8" w:rsidRPr="005036C4" w:rsidRDefault="003F3AA8" w:rsidP="005036C4">
            <w:pPr>
              <w:spacing w:line="360" w:lineRule="auto"/>
              <w:jc w:val="both"/>
              <w:rPr>
                <w:rFonts w:ascii="Times New Roman" w:hAnsi="Times New Roman" w:cs="Times New Roman"/>
                <w:b/>
                <w:bCs/>
              </w:rPr>
            </w:pPr>
            <w:r w:rsidRPr="005036C4">
              <w:rPr>
                <w:rFonts w:ascii="Times New Roman" w:hAnsi="Times New Roman" w:cs="Times New Roman"/>
                <w:b/>
                <w:bCs/>
              </w:rPr>
              <w:t>WEAKNESSES (W)</w:t>
            </w:r>
            <w:r w:rsidRPr="005036C4">
              <w:rPr>
                <w:rFonts w:ascii="Times New Roman" w:hAnsi="Times New Roman" w:cs="Times New Roman"/>
                <w:b/>
                <w:bCs/>
              </w:rPr>
              <w:br/>
              <w:t>- High development costs for software</w:t>
            </w:r>
            <w:r w:rsidRPr="005036C4">
              <w:rPr>
                <w:rFonts w:ascii="Times New Roman" w:hAnsi="Times New Roman" w:cs="Times New Roman"/>
                <w:b/>
                <w:bCs/>
              </w:rPr>
              <w:br/>
              <w:t>- Premium vehicle cost dependencies</w:t>
            </w:r>
            <w:r w:rsidRPr="005036C4">
              <w:rPr>
                <w:rFonts w:ascii="Times New Roman" w:hAnsi="Times New Roman" w:cs="Times New Roman"/>
                <w:b/>
                <w:bCs/>
              </w:rPr>
              <w:br/>
              <w:t>- Geopolitical tariff exposure</w:t>
            </w:r>
          </w:p>
        </w:tc>
      </w:tr>
      <w:tr w:rsidR="003F3AA8" w:rsidRPr="005036C4" w14:paraId="478A30D3"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A794BB"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b/>
                <w:bCs/>
              </w:rPr>
              <w:t>OPPORTUNITIES (O)</w:t>
            </w:r>
            <w:r w:rsidRPr="005036C4">
              <w:rPr>
                <w:rFonts w:ascii="Times New Roman" w:hAnsi="Times New Roman" w:cs="Times New Roman"/>
              </w:rPr>
              <w:br/>
              <w:t>- Rising global premium EV demand</w:t>
            </w:r>
            <w:r w:rsidRPr="005036C4">
              <w:rPr>
                <w:rFonts w:ascii="Times New Roman" w:hAnsi="Times New Roman" w:cs="Times New Roman"/>
              </w:rPr>
              <w:br/>
              <w:t>- Value in direct-to-consumer sales</w:t>
            </w:r>
            <w:r w:rsidRPr="005036C4">
              <w:rPr>
                <w:rFonts w:ascii="Times New Roman" w:hAnsi="Times New Roman" w:cs="Times New Roman"/>
              </w:rPr>
              <w:br/>
              <w:t>- Localized battery developments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018E31"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b/>
                <w:bCs/>
              </w:rPr>
              <w:t>SO Strategy (Maxi-Maxi):</w:t>
            </w:r>
            <w:r w:rsidRPr="005036C4">
              <w:rPr>
                <w:rFonts w:ascii="Times New Roman" w:hAnsi="Times New Roman" w:cs="Times New Roman"/>
              </w:rPr>
              <w:br/>
              <w:t>Combine Volvo’s safety reputation with Geely’s production scale to launch high-margin premium electric SUVs (e.g., EX90) into expanding global markets, using localized battery supply 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B8D9D9"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b/>
                <w:bCs/>
              </w:rPr>
              <w:t>WO Strategy (Mini-Maxi):</w:t>
            </w:r>
            <w:r w:rsidRPr="005036C4">
              <w:rPr>
                <w:rFonts w:ascii="Times New Roman" w:hAnsi="Times New Roman" w:cs="Times New Roman"/>
              </w:rPr>
              <w:br/>
              <w:t>Partner with technology companies to co-develop unified software architectures, lowering R&amp;D costs while building premium connected vehicle features.</w:t>
            </w:r>
          </w:p>
        </w:tc>
      </w:tr>
      <w:tr w:rsidR="003F3AA8" w:rsidRPr="005036C4" w14:paraId="1292BA1A"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7FE413"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b/>
                <w:bCs/>
              </w:rPr>
              <w:t>THREATS (T)</w:t>
            </w:r>
            <w:r w:rsidRPr="005036C4">
              <w:rPr>
                <w:rFonts w:ascii="Times New Roman" w:hAnsi="Times New Roman" w:cs="Times New Roman"/>
              </w:rPr>
              <w:br/>
              <w:t>- New regional EV import tariffs</w:t>
            </w:r>
            <w:r w:rsidRPr="005036C4">
              <w:rPr>
                <w:rFonts w:ascii="Times New Roman" w:hAnsi="Times New Roman" w:cs="Times New Roman"/>
              </w:rPr>
              <w:br/>
              <w:t>- Intense premium luxury rivalry</w:t>
            </w:r>
            <w:r w:rsidRPr="005036C4">
              <w:rPr>
                <w:rFonts w:ascii="Times New Roman" w:hAnsi="Times New Roman" w:cs="Times New Roman"/>
              </w:rPr>
              <w:br/>
              <w:t>- Volatile supply chain raw materials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5D6314"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b/>
                <w:bCs/>
              </w:rPr>
              <w:t>ST Strategy (Maxi-Mini):</w:t>
            </w:r>
            <w:r w:rsidRPr="005036C4">
              <w:rPr>
                <w:rFonts w:ascii="Times New Roman" w:hAnsi="Times New Roman" w:cs="Times New Roman"/>
              </w:rPr>
              <w:br/>
              <w:t>Leverage flexible platform architectures to shift production allocations between regional factories, protecting margins against new trade tariffs.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AEB641"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b/>
                <w:bCs/>
              </w:rPr>
              <w:t>WT Strategy (Mini-Mini):</w:t>
            </w:r>
            <w:r w:rsidRPr="005036C4">
              <w:rPr>
                <w:rFonts w:ascii="Times New Roman" w:hAnsi="Times New Roman" w:cs="Times New Roman"/>
              </w:rPr>
              <w:br/>
              <w:t>Phase out low-margin vehicle segments and consolidate platform manufacturing to minimize cost exposure and protect cash flow.</w:t>
            </w:r>
          </w:p>
        </w:tc>
      </w:tr>
    </w:tbl>
    <w:p w14:paraId="21FA2CCC" w14:textId="77777777" w:rsidR="003F3AA8" w:rsidRPr="005036C4" w:rsidRDefault="003F3AA8" w:rsidP="005036C4">
      <w:pPr>
        <w:pStyle w:val="Heading2"/>
        <w:rPr>
          <w:rFonts w:ascii="Times New Roman" w:hAnsi="Times New Roman" w:cs="Times New Roman"/>
          <w:sz w:val="28"/>
          <w:szCs w:val="28"/>
        </w:rPr>
      </w:pPr>
      <w:bookmarkStart w:id="15" w:name="_Toc237898944"/>
      <w:r w:rsidRPr="005036C4">
        <w:rPr>
          <w:rFonts w:ascii="Times New Roman" w:hAnsi="Times New Roman" w:cs="Times New Roman"/>
          <w:sz w:val="28"/>
          <w:szCs w:val="28"/>
        </w:rPr>
        <w:lastRenderedPageBreak/>
        <w:t>7.2 The New Strategy: "The Sovereign Circularity &amp; SDV Framework"</w:t>
      </w:r>
      <w:bookmarkEnd w:id="15"/>
    </w:p>
    <w:p w14:paraId="15954E2D"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 xml:space="preserve">Volvo Cars should adopt a new, forward-looking business strategy called </w:t>
      </w:r>
      <w:r w:rsidRPr="005036C4">
        <w:rPr>
          <w:rFonts w:ascii="Times New Roman" w:hAnsi="Times New Roman" w:cs="Times New Roman"/>
          <w:b/>
          <w:bCs/>
        </w:rPr>
        <w:t>"The Sovereign Circularity &amp; SDV Framework."</w:t>
      </w:r>
      <w:r w:rsidRPr="005036C4">
        <w:rPr>
          <w:rFonts w:ascii="Times New Roman" w:hAnsi="Times New Roman" w:cs="Times New Roman"/>
        </w:rPr>
        <w:t xml:space="preserve"> This strategy focuses on deep vertical integration, collaborative software creation, and direct-to-consumer retail models.</w:t>
      </w:r>
    </w:p>
    <w:p w14:paraId="34904748"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 xml:space="preserve">       │         SOVEREIGN CIRCULARITY &amp; SDV FRAMEWORK                 │</w:t>
      </w:r>
    </w:p>
    <w:p w14:paraId="33DF8A27"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 xml:space="preserve">       │ 1. VERTICAL INTEGRATION   ──&gt; Closed-loop localized battery   │</w:t>
      </w:r>
    </w:p>
    <w:p w14:paraId="21C3BD28"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 xml:space="preserve">       │                               manufacturing with </w:t>
      </w:r>
      <w:proofErr w:type="spellStart"/>
      <w:r w:rsidRPr="005036C4">
        <w:rPr>
          <w:rFonts w:ascii="Times New Roman" w:hAnsi="Times New Roman" w:cs="Times New Roman"/>
        </w:rPr>
        <w:t>Northvolt</w:t>
      </w:r>
      <w:proofErr w:type="spellEnd"/>
      <w:r w:rsidRPr="005036C4">
        <w:rPr>
          <w:rFonts w:ascii="Times New Roman" w:hAnsi="Times New Roman" w:cs="Times New Roman"/>
        </w:rPr>
        <w:t>.   │</w:t>
      </w:r>
    </w:p>
    <w:p w14:paraId="6D3C69D7"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 xml:space="preserve">       │                                                               │</w:t>
      </w:r>
    </w:p>
    <w:p w14:paraId="41B553CB"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 xml:space="preserve">       │ 2. PARTNERED SOFTWARE     ──&gt; Unified </w:t>
      </w:r>
      <w:proofErr w:type="spellStart"/>
      <w:r w:rsidRPr="005036C4">
        <w:rPr>
          <w:rFonts w:ascii="Times New Roman" w:hAnsi="Times New Roman" w:cs="Times New Roman"/>
        </w:rPr>
        <w:t>VolvoOS</w:t>
      </w:r>
      <w:proofErr w:type="spellEnd"/>
      <w:r w:rsidRPr="005036C4">
        <w:rPr>
          <w:rFonts w:ascii="Times New Roman" w:hAnsi="Times New Roman" w:cs="Times New Roman"/>
        </w:rPr>
        <w:t xml:space="preserve"> core build      │</w:t>
      </w:r>
    </w:p>
    <w:p w14:paraId="645C61CB"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 xml:space="preserve">       │                               via standard chip ecosystems.   │</w:t>
      </w:r>
    </w:p>
    <w:p w14:paraId="47209AC9"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 xml:space="preserve">       │                                                               │</w:t>
      </w:r>
    </w:p>
    <w:p w14:paraId="48DEFC64"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 xml:space="preserve">       │ 3. D2C SUBSCRIPTION CORE  ──&gt; Expand "Care by Volvo" for      │</w:t>
      </w:r>
    </w:p>
    <w:p w14:paraId="2D856D55"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 xml:space="preserve">       │                               predictable subscription loops. │</w:t>
      </w:r>
    </w:p>
    <w:p w14:paraId="51190158" w14:textId="77777777" w:rsidR="003F3AA8" w:rsidRPr="005036C4" w:rsidRDefault="003F3AA8" w:rsidP="005036C4">
      <w:pPr>
        <w:numPr>
          <w:ilvl w:val="0"/>
          <w:numId w:val="7"/>
        </w:numPr>
        <w:spacing w:line="360" w:lineRule="auto"/>
        <w:jc w:val="both"/>
        <w:rPr>
          <w:rFonts w:ascii="Times New Roman" w:hAnsi="Times New Roman" w:cs="Times New Roman"/>
        </w:rPr>
      </w:pPr>
      <w:r w:rsidRPr="005036C4">
        <w:rPr>
          <w:rFonts w:ascii="Times New Roman" w:hAnsi="Times New Roman" w:cs="Times New Roman"/>
          <w:b/>
          <w:bCs/>
        </w:rPr>
        <w:t>Vertical Integration and Closed-Loop Circularity:</w:t>
      </w:r>
      <w:r w:rsidRPr="005036C4">
        <w:rPr>
          <w:rFonts w:ascii="Times New Roman" w:hAnsi="Times New Roman" w:cs="Times New Roman"/>
        </w:rPr>
        <w:t xml:space="preserve"> Volvo will move past traditional supply agreements by deepening its joint venture with </w:t>
      </w:r>
      <w:proofErr w:type="spellStart"/>
      <w:r w:rsidRPr="005036C4">
        <w:rPr>
          <w:rFonts w:ascii="Times New Roman" w:hAnsi="Times New Roman" w:cs="Times New Roman"/>
        </w:rPr>
        <w:t>Northvolt</w:t>
      </w:r>
      <w:proofErr w:type="spellEnd"/>
      <w:r w:rsidRPr="005036C4">
        <w:rPr>
          <w:rFonts w:ascii="Times New Roman" w:hAnsi="Times New Roman" w:cs="Times New Roman"/>
        </w:rPr>
        <w:t>. This strategy establishes regional, closed-loop gigafactories that use recycled battery materials from old vehicles, reducing dependency on external suppliers and shielding operations from raw material price shocks.</w:t>
      </w:r>
    </w:p>
    <w:p w14:paraId="47556CCD" w14:textId="77777777" w:rsidR="003F3AA8" w:rsidRPr="005036C4" w:rsidRDefault="003F3AA8" w:rsidP="005036C4">
      <w:pPr>
        <w:numPr>
          <w:ilvl w:val="0"/>
          <w:numId w:val="7"/>
        </w:numPr>
        <w:spacing w:line="360" w:lineRule="auto"/>
        <w:jc w:val="both"/>
        <w:rPr>
          <w:rFonts w:ascii="Times New Roman" w:hAnsi="Times New Roman" w:cs="Times New Roman"/>
        </w:rPr>
      </w:pPr>
      <w:r w:rsidRPr="005036C4">
        <w:rPr>
          <w:rFonts w:ascii="Times New Roman" w:hAnsi="Times New Roman" w:cs="Times New Roman"/>
          <w:b/>
          <w:bCs/>
        </w:rPr>
        <w:t>Partnered Software Architecture (</w:t>
      </w:r>
      <w:proofErr w:type="spellStart"/>
      <w:r w:rsidRPr="005036C4">
        <w:rPr>
          <w:rFonts w:ascii="Times New Roman" w:hAnsi="Times New Roman" w:cs="Times New Roman"/>
          <w:b/>
          <w:bCs/>
        </w:rPr>
        <w:t>VolvoOS</w:t>
      </w:r>
      <w:proofErr w:type="spellEnd"/>
      <w:r w:rsidRPr="005036C4">
        <w:rPr>
          <w:rFonts w:ascii="Times New Roman" w:hAnsi="Times New Roman" w:cs="Times New Roman"/>
          <w:b/>
          <w:bCs/>
        </w:rPr>
        <w:t>):</w:t>
      </w:r>
      <w:r w:rsidRPr="005036C4">
        <w:rPr>
          <w:rFonts w:ascii="Times New Roman" w:hAnsi="Times New Roman" w:cs="Times New Roman"/>
        </w:rPr>
        <w:t xml:space="preserve"> Instead of developing completely proprietary software alone, Volvo will co-develop a unified central operating system (</w:t>
      </w:r>
      <w:proofErr w:type="spellStart"/>
      <w:r w:rsidRPr="005036C4">
        <w:rPr>
          <w:rFonts w:ascii="Times New Roman" w:hAnsi="Times New Roman" w:cs="Times New Roman"/>
        </w:rPr>
        <w:t>VolvoOS</w:t>
      </w:r>
      <w:proofErr w:type="spellEnd"/>
      <w:r w:rsidRPr="005036C4">
        <w:rPr>
          <w:rFonts w:ascii="Times New Roman" w:hAnsi="Times New Roman" w:cs="Times New Roman"/>
        </w:rPr>
        <w:t>) by combining standardized hardware chips with agile software development loops. This setup enables rapid over-the-air updates, enhances vehicle cybersecurity, and supports advanced autonomous safety features.</w:t>
      </w:r>
    </w:p>
    <w:p w14:paraId="333BDA87" w14:textId="77777777" w:rsidR="003F3AA8" w:rsidRPr="005036C4" w:rsidRDefault="003F3AA8" w:rsidP="005036C4">
      <w:pPr>
        <w:numPr>
          <w:ilvl w:val="0"/>
          <w:numId w:val="7"/>
        </w:numPr>
        <w:spacing w:line="360" w:lineRule="auto"/>
        <w:jc w:val="both"/>
        <w:rPr>
          <w:rFonts w:ascii="Times New Roman" w:hAnsi="Times New Roman" w:cs="Times New Roman"/>
        </w:rPr>
      </w:pPr>
      <w:r w:rsidRPr="005036C4">
        <w:rPr>
          <w:rFonts w:ascii="Times New Roman" w:hAnsi="Times New Roman" w:cs="Times New Roman"/>
          <w:b/>
          <w:bCs/>
        </w:rPr>
        <w:t>D2C Asset Subscriptions:</w:t>
      </w:r>
      <w:r w:rsidRPr="005036C4">
        <w:rPr>
          <w:rFonts w:ascii="Times New Roman" w:hAnsi="Times New Roman" w:cs="Times New Roman"/>
        </w:rPr>
        <w:t xml:space="preserve"> The company will expand its "Care by Volvo" platform into a direct-to-consumer subscription service. By offering predictable monthly fees that cover </w:t>
      </w:r>
      <w:r w:rsidRPr="005036C4">
        <w:rPr>
          <w:rFonts w:ascii="Times New Roman" w:hAnsi="Times New Roman" w:cs="Times New Roman"/>
        </w:rPr>
        <w:lastRenderedPageBreak/>
        <w:t>maintenance, insurance, and software features, Volvo can build stable, lifetime revenue streams that insulate its margins from traditional retail sales cycles.</w:t>
      </w:r>
    </w:p>
    <w:p w14:paraId="1A3B2FA8" w14:textId="0F73BFDE" w:rsidR="003F3AA8" w:rsidRPr="005036C4" w:rsidRDefault="003F3AA8" w:rsidP="005036C4">
      <w:pPr>
        <w:spacing w:line="360" w:lineRule="auto"/>
        <w:jc w:val="both"/>
        <w:rPr>
          <w:rFonts w:ascii="Times New Roman" w:hAnsi="Times New Roman" w:cs="Times New Roman"/>
        </w:rPr>
      </w:pPr>
    </w:p>
    <w:p w14:paraId="6BA005DD" w14:textId="77777777" w:rsidR="003F3AA8" w:rsidRPr="005036C4" w:rsidRDefault="003F3AA8" w:rsidP="005036C4">
      <w:pPr>
        <w:pStyle w:val="Heading1"/>
        <w:spacing w:line="360" w:lineRule="auto"/>
        <w:jc w:val="center"/>
        <w:rPr>
          <w:rFonts w:ascii="Times New Roman" w:hAnsi="Times New Roman" w:cs="Times New Roman"/>
          <w:sz w:val="36"/>
          <w:szCs w:val="36"/>
        </w:rPr>
      </w:pPr>
      <w:bookmarkStart w:id="16" w:name="_Toc237898945"/>
      <w:r w:rsidRPr="005036C4">
        <w:rPr>
          <w:rFonts w:ascii="Times New Roman" w:hAnsi="Times New Roman" w:cs="Times New Roman"/>
          <w:sz w:val="36"/>
          <w:szCs w:val="36"/>
        </w:rPr>
        <w:t>8. CONCLUSION AND RECOMMENDATIONS</w:t>
      </w:r>
      <w:bookmarkEnd w:id="16"/>
    </w:p>
    <w:p w14:paraId="750DD436" w14:textId="77777777" w:rsidR="003F3AA8" w:rsidRPr="005036C4" w:rsidRDefault="003F3AA8" w:rsidP="005036C4">
      <w:pPr>
        <w:spacing w:line="360" w:lineRule="auto"/>
        <w:jc w:val="both"/>
        <w:rPr>
          <w:rFonts w:ascii="Times New Roman" w:hAnsi="Times New Roman" w:cs="Times New Roman"/>
          <w:b/>
          <w:bCs/>
        </w:rPr>
      </w:pPr>
      <w:r w:rsidRPr="005036C4">
        <w:rPr>
          <w:rFonts w:ascii="Times New Roman" w:hAnsi="Times New Roman" w:cs="Times New Roman"/>
          <w:b/>
          <w:bCs/>
        </w:rPr>
        <w:t>8.1 Summary of Strategic Findings</w:t>
      </w:r>
    </w:p>
    <w:p w14:paraId="2E930F3C"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The strategic audit demonstrates that Volvo Car Group's strong brand reputation for safety and sustainability provides a solid foundation for navigating current automotive industry transformations. While international trade tariffs and high software development costs present near-term operational challenges, Volvo’s flexible manufacturing platforms and deep industrial partnership with Geely Group give the company the agility needed to respond to changing market demands. Transitioning to a direct-to-consumer model allows Volvo to capture higher margins per vehicle, supporting the cash flows required for its long-term electric transition.</w:t>
      </w:r>
    </w:p>
    <w:p w14:paraId="5ABC2EC3" w14:textId="77777777" w:rsidR="003F3AA8" w:rsidRPr="005036C4" w:rsidRDefault="003F3AA8" w:rsidP="005036C4">
      <w:pPr>
        <w:spacing w:line="360" w:lineRule="auto"/>
        <w:jc w:val="both"/>
        <w:rPr>
          <w:rFonts w:ascii="Times New Roman" w:hAnsi="Times New Roman" w:cs="Times New Roman"/>
          <w:b/>
          <w:bCs/>
        </w:rPr>
      </w:pPr>
      <w:r w:rsidRPr="005036C4">
        <w:rPr>
          <w:rFonts w:ascii="Times New Roman" w:hAnsi="Times New Roman" w:cs="Times New Roman"/>
          <w:b/>
          <w:bCs/>
        </w:rPr>
        <w:t>8.2 Actionable Recommendations</w:t>
      </w:r>
    </w:p>
    <w:p w14:paraId="005AD100" w14:textId="77777777" w:rsidR="003F3AA8" w:rsidRPr="005036C4" w:rsidRDefault="003F3AA8" w:rsidP="005036C4">
      <w:pPr>
        <w:spacing w:line="360" w:lineRule="auto"/>
        <w:jc w:val="both"/>
        <w:rPr>
          <w:rFonts w:ascii="Times New Roman" w:hAnsi="Times New Roman" w:cs="Times New Roman"/>
          <w:b/>
          <w:bCs/>
        </w:rPr>
      </w:pPr>
      <w:r w:rsidRPr="005036C4">
        <w:rPr>
          <w:rFonts w:ascii="Times New Roman" w:hAnsi="Times New Roman" w:cs="Times New Roman"/>
          <w:b/>
          <w:bCs/>
        </w:rPr>
        <w:t>1. Expand Regional Production Flexibility to Manage Tariff Risk</w:t>
      </w:r>
    </w:p>
    <w:p w14:paraId="37109E87"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Volvo should rapidly expand the capabilities of its European and North American assembly facilities, shifting production allocations for high-volume EV models like the EX30 to local markets. This strategy minimizes dependency on single-source production hubs, avoids costly regional import tariffs, and ensures operational resilience against geopolitical disruptions.</w:t>
      </w:r>
    </w:p>
    <w:p w14:paraId="139E7D5C" w14:textId="77777777" w:rsidR="003F3AA8" w:rsidRPr="005036C4" w:rsidRDefault="003F3AA8" w:rsidP="005036C4">
      <w:pPr>
        <w:spacing w:line="360" w:lineRule="auto"/>
        <w:jc w:val="both"/>
        <w:rPr>
          <w:rFonts w:ascii="Times New Roman" w:hAnsi="Times New Roman" w:cs="Times New Roman"/>
          <w:b/>
          <w:bCs/>
        </w:rPr>
      </w:pPr>
      <w:r w:rsidRPr="005036C4">
        <w:rPr>
          <w:rFonts w:ascii="Times New Roman" w:hAnsi="Times New Roman" w:cs="Times New Roman"/>
          <w:b/>
          <w:bCs/>
        </w:rPr>
        <w:t>2. Accelerate Shared Battery Production Infrastructure</w:t>
      </w:r>
    </w:p>
    <w:p w14:paraId="423BEBE4"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 xml:space="preserve">The company must prioritize its joint factory projects with </w:t>
      </w:r>
      <w:proofErr w:type="spellStart"/>
      <w:r w:rsidRPr="005036C4">
        <w:rPr>
          <w:rFonts w:ascii="Times New Roman" w:hAnsi="Times New Roman" w:cs="Times New Roman"/>
        </w:rPr>
        <w:t>Northvolt</w:t>
      </w:r>
      <w:proofErr w:type="spellEnd"/>
      <w:r w:rsidRPr="005036C4">
        <w:rPr>
          <w:rFonts w:ascii="Times New Roman" w:hAnsi="Times New Roman" w:cs="Times New Roman"/>
        </w:rPr>
        <w:t xml:space="preserve"> to bring localized, sustainable battery manufacturing online. Securing this regional supply chain provides a reliable source of high-density battery cells, ensures compliance with strict international trade rules, and protects production schedules from global shipping bottlenecks.</w:t>
      </w:r>
    </w:p>
    <w:p w14:paraId="0FD56FE2" w14:textId="77777777" w:rsidR="003F3AA8" w:rsidRPr="005036C4" w:rsidRDefault="003F3AA8" w:rsidP="005036C4">
      <w:pPr>
        <w:spacing w:line="360" w:lineRule="auto"/>
        <w:jc w:val="both"/>
        <w:rPr>
          <w:rFonts w:ascii="Times New Roman" w:hAnsi="Times New Roman" w:cs="Times New Roman"/>
          <w:b/>
          <w:bCs/>
        </w:rPr>
      </w:pPr>
      <w:r w:rsidRPr="005036C4">
        <w:rPr>
          <w:rFonts w:ascii="Times New Roman" w:hAnsi="Times New Roman" w:cs="Times New Roman"/>
          <w:b/>
          <w:bCs/>
        </w:rPr>
        <w:t>3. Standardize Vehicle Software Platforms Through Collaborative Alliances</w:t>
      </w:r>
    </w:p>
    <w:p w14:paraId="0A31F3B7"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t xml:space="preserve">Volvo should focus its digital investments on a standardized central computing framework, using strategic technology partnerships to develop its core vehicle operating system. Implementing this </w:t>
      </w:r>
      <w:r w:rsidRPr="005036C4">
        <w:rPr>
          <w:rFonts w:ascii="Times New Roman" w:hAnsi="Times New Roman" w:cs="Times New Roman"/>
        </w:rPr>
        <w:lastRenderedPageBreak/>
        <w:t>collaborative platform simplifies software deployment, shortens development timelines for new driver-assistance systems, and enables recurring revenue streams from over-the-air premium upgrades.</w:t>
      </w:r>
    </w:p>
    <w:p w14:paraId="395F7950" w14:textId="2F786CB9" w:rsidR="003F3AA8" w:rsidRDefault="003F3AA8" w:rsidP="005036C4">
      <w:pPr>
        <w:spacing w:line="360" w:lineRule="auto"/>
        <w:jc w:val="both"/>
        <w:rPr>
          <w:rFonts w:ascii="Times New Roman" w:hAnsi="Times New Roman" w:cs="Times New Roman"/>
        </w:rPr>
      </w:pPr>
    </w:p>
    <w:p w14:paraId="408AA9A9" w14:textId="77777777" w:rsidR="005036C4" w:rsidRDefault="005036C4" w:rsidP="005036C4">
      <w:pPr>
        <w:spacing w:line="360" w:lineRule="auto"/>
        <w:jc w:val="both"/>
        <w:rPr>
          <w:rFonts w:ascii="Times New Roman" w:hAnsi="Times New Roman" w:cs="Times New Roman"/>
        </w:rPr>
      </w:pPr>
    </w:p>
    <w:p w14:paraId="447F8264" w14:textId="77777777" w:rsidR="005036C4" w:rsidRDefault="005036C4" w:rsidP="005036C4">
      <w:pPr>
        <w:spacing w:line="360" w:lineRule="auto"/>
        <w:jc w:val="both"/>
        <w:rPr>
          <w:rFonts w:ascii="Times New Roman" w:hAnsi="Times New Roman" w:cs="Times New Roman"/>
        </w:rPr>
      </w:pPr>
    </w:p>
    <w:p w14:paraId="015858C9" w14:textId="77777777" w:rsidR="005036C4" w:rsidRDefault="005036C4" w:rsidP="005036C4">
      <w:pPr>
        <w:spacing w:line="360" w:lineRule="auto"/>
        <w:jc w:val="both"/>
        <w:rPr>
          <w:rFonts w:ascii="Times New Roman" w:hAnsi="Times New Roman" w:cs="Times New Roman"/>
        </w:rPr>
      </w:pPr>
    </w:p>
    <w:p w14:paraId="43FE5E02" w14:textId="77777777" w:rsidR="005036C4" w:rsidRDefault="005036C4" w:rsidP="005036C4">
      <w:pPr>
        <w:spacing w:line="360" w:lineRule="auto"/>
        <w:jc w:val="both"/>
        <w:rPr>
          <w:rFonts w:ascii="Times New Roman" w:hAnsi="Times New Roman" w:cs="Times New Roman"/>
        </w:rPr>
      </w:pPr>
    </w:p>
    <w:p w14:paraId="335350BF" w14:textId="77777777" w:rsidR="005036C4" w:rsidRDefault="005036C4" w:rsidP="005036C4">
      <w:pPr>
        <w:spacing w:line="360" w:lineRule="auto"/>
        <w:jc w:val="both"/>
        <w:rPr>
          <w:rFonts w:ascii="Times New Roman" w:hAnsi="Times New Roman" w:cs="Times New Roman"/>
        </w:rPr>
      </w:pPr>
    </w:p>
    <w:p w14:paraId="1D5D215A" w14:textId="77777777" w:rsidR="005036C4" w:rsidRDefault="005036C4" w:rsidP="005036C4">
      <w:pPr>
        <w:spacing w:line="360" w:lineRule="auto"/>
        <w:jc w:val="both"/>
        <w:rPr>
          <w:rFonts w:ascii="Times New Roman" w:hAnsi="Times New Roman" w:cs="Times New Roman"/>
        </w:rPr>
      </w:pPr>
    </w:p>
    <w:p w14:paraId="46AE3196" w14:textId="77777777" w:rsidR="005036C4" w:rsidRDefault="005036C4" w:rsidP="005036C4">
      <w:pPr>
        <w:spacing w:line="360" w:lineRule="auto"/>
        <w:jc w:val="both"/>
        <w:rPr>
          <w:rFonts w:ascii="Times New Roman" w:hAnsi="Times New Roman" w:cs="Times New Roman"/>
        </w:rPr>
      </w:pPr>
    </w:p>
    <w:p w14:paraId="5C3ED839" w14:textId="77777777" w:rsidR="005036C4" w:rsidRDefault="005036C4" w:rsidP="005036C4">
      <w:pPr>
        <w:spacing w:line="360" w:lineRule="auto"/>
        <w:jc w:val="both"/>
        <w:rPr>
          <w:rFonts w:ascii="Times New Roman" w:hAnsi="Times New Roman" w:cs="Times New Roman"/>
        </w:rPr>
      </w:pPr>
    </w:p>
    <w:p w14:paraId="1C859664" w14:textId="77777777" w:rsidR="005036C4" w:rsidRDefault="005036C4" w:rsidP="005036C4">
      <w:pPr>
        <w:spacing w:line="360" w:lineRule="auto"/>
        <w:jc w:val="both"/>
        <w:rPr>
          <w:rFonts w:ascii="Times New Roman" w:hAnsi="Times New Roman" w:cs="Times New Roman"/>
        </w:rPr>
      </w:pPr>
    </w:p>
    <w:p w14:paraId="02785F9C" w14:textId="77777777" w:rsidR="005036C4" w:rsidRDefault="005036C4" w:rsidP="005036C4">
      <w:pPr>
        <w:spacing w:line="360" w:lineRule="auto"/>
        <w:jc w:val="both"/>
        <w:rPr>
          <w:rFonts w:ascii="Times New Roman" w:hAnsi="Times New Roman" w:cs="Times New Roman"/>
        </w:rPr>
      </w:pPr>
    </w:p>
    <w:p w14:paraId="02D99254" w14:textId="77777777" w:rsidR="005036C4" w:rsidRDefault="005036C4" w:rsidP="005036C4">
      <w:pPr>
        <w:spacing w:line="360" w:lineRule="auto"/>
        <w:jc w:val="both"/>
        <w:rPr>
          <w:rFonts w:ascii="Times New Roman" w:hAnsi="Times New Roman" w:cs="Times New Roman"/>
        </w:rPr>
      </w:pPr>
    </w:p>
    <w:p w14:paraId="7CE7CAB3" w14:textId="77777777" w:rsidR="005036C4" w:rsidRDefault="005036C4" w:rsidP="005036C4">
      <w:pPr>
        <w:spacing w:line="360" w:lineRule="auto"/>
        <w:jc w:val="both"/>
        <w:rPr>
          <w:rFonts w:ascii="Times New Roman" w:hAnsi="Times New Roman" w:cs="Times New Roman"/>
        </w:rPr>
      </w:pPr>
    </w:p>
    <w:p w14:paraId="47D70303" w14:textId="77777777" w:rsidR="005036C4" w:rsidRDefault="005036C4" w:rsidP="005036C4">
      <w:pPr>
        <w:spacing w:line="360" w:lineRule="auto"/>
        <w:jc w:val="both"/>
        <w:rPr>
          <w:rFonts w:ascii="Times New Roman" w:hAnsi="Times New Roman" w:cs="Times New Roman"/>
        </w:rPr>
      </w:pPr>
    </w:p>
    <w:p w14:paraId="4927A0B6" w14:textId="77777777" w:rsidR="005036C4" w:rsidRDefault="005036C4" w:rsidP="005036C4">
      <w:pPr>
        <w:spacing w:line="360" w:lineRule="auto"/>
        <w:jc w:val="both"/>
        <w:rPr>
          <w:rFonts w:ascii="Times New Roman" w:hAnsi="Times New Roman" w:cs="Times New Roman"/>
        </w:rPr>
      </w:pPr>
    </w:p>
    <w:p w14:paraId="002539F6" w14:textId="77777777" w:rsidR="005036C4" w:rsidRDefault="005036C4" w:rsidP="005036C4">
      <w:pPr>
        <w:spacing w:line="360" w:lineRule="auto"/>
        <w:jc w:val="both"/>
        <w:rPr>
          <w:rFonts w:ascii="Times New Roman" w:hAnsi="Times New Roman" w:cs="Times New Roman"/>
        </w:rPr>
      </w:pPr>
    </w:p>
    <w:p w14:paraId="786CCF2A" w14:textId="77777777" w:rsidR="005036C4" w:rsidRDefault="005036C4" w:rsidP="005036C4">
      <w:pPr>
        <w:spacing w:line="360" w:lineRule="auto"/>
        <w:jc w:val="both"/>
        <w:rPr>
          <w:rFonts w:ascii="Times New Roman" w:hAnsi="Times New Roman" w:cs="Times New Roman"/>
        </w:rPr>
      </w:pPr>
    </w:p>
    <w:p w14:paraId="1E3FCC2D" w14:textId="77777777" w:rsidR="005036C4" w:rsidRPr="005036C4" w:rsidRDefault="005036C4" w:rsidP="005036C4">
      <w:pPr>
        <w:spacing w:line="360" w:lineRule="auto"/>
        <w:jc w:val="both"/>
        <w:rPr>
          <w:rFonts w:ascii="Times New Roman" w:hAnsi="Times New Roman" w:cs="Times New Roman"/>
        </w:rPr>
      </w:pPr>
    </w:p>
    <w:p w14:paraId="1EBDD6FE" w14:textId="77777777" w:rsidR="003F3AA8" w:rsidRPr="005036C4" w:rsidRDefault="003F3AA8" w:rsidP="005036C4">
      <w:pPr>
        <w:pStyle w:val="Heading1"/>
        <w:spacing w:line="360" w:lineRule="auto"/>
        <w:jc w:val="both"/>
        <w:rPr>
          <w:rFonts w:ascii="Times New Roman" w:hAnsi="Times New Roman" w:cs="Times New Roman"/>
          <w:sz w:val="24"/>
          <w:szCs w:val="24"/>
        </w:rPr>
      </w:pPr>
      <w:bookmarkStart w:id="17" w:name="_Toc237898946"/>
      <w:r w:rsidRPr="005036C4">
        <w:rPr>
          <w:rFonts w:ascii="Times New Roman" w:hAnsi="Times New Roman" w:cs="Times New Roman"/>
          <w:sz w:val="24"/>
          <w:szCs w:val="24"/>
        </w:rPr>
        <w:lastRenderedPageBreak/>
        <w:t>9. REFERENCES</w:t>
      </w:r>
      <w:bookmarkEnd w:id="17"/>
    </w:p>
    <w:p w14:paraId="73ED9B72" w14:textId="77777777" w:rsidR="003F3AA8" w:rsidRPr="005036C4" w:rsidRDefault="003F3AA8" w:rsidP="005036C4">
      <w:pPr>
        <w:numPr>
          <w:ilvl w:val="0"/>
          <w:numId w:val="8"/>
        </w:numPr>
        <w:spacing w:line="360" w:lineRule="auto"/>
        <w:jc w:val="both"/>
        <w:rPr>
          <w:rFonts w:ascii="Times New Roman" w:hAnsi="Times New Roman" w:cs="Times New Roman"/>
        </w:rPr>
      </w:pPr>
      <w:r w:rsidRPr="005036C4">
        <w:rPr>
          <w:rFonts w:ascii="Times New Roman" w:hAnsi="Times New Roman" w:cs="Times New Roman"/>
        </w:rPr>
        <w:t xml:space="preserve">Barney, J.B. (2021) 'Looking back and moving forward: Retrospective and prospective on the Resource-Based View', </w:t>
      </w:r>
      <w:r w:rsidRPr="005036C4">
        <w:rPr>
          <w:rFonts w:ascii="Times New Roman" w:hAnsi="Times New Roman" w:cs="Times New Roman"/>
          <w:i/>
          <w:iCs/>
        </w:rPr>
        <w:t>Journal of Management</w:t>
      </w:r>
      <w:r w:rsidRPr="005036C4">
        <w:rPr>
          <w:rFonts w:ascii="Times New Roman" w:hAnsi="Times New Roman" w:cs="Times New Roman"/>
        </w:rPr>
        <w:t>, 47(1), pp. 4-15.</w:t>
      </w:r>
    </w:p>
    <w:p w14:paraId="7D71680F" w14:textId="77777777" w:rsidR="003F3AA8" w:rsidRPr="005036C4" w:rsidRDefault="003F3AA8" w:rsidP="005036C4">
      <w:pPr>
        <w:numPr>
          <w:ilvl w:val="0"/>
          <w:numId w:val="8"/>
        </w:numPr>
        <w:spacing w:line="360" w:lineRule="auto"/>
        <w:jc w:val="both"/>
        <w:rPr>
          <w:rFonts w:ascii="Times New Roman" w:hAnsi="Times New Roman" w:cs="Times New Roman"/>
        </w:rPr>
      </w:pPr>
      <w:r w:rsidRPr="005036C4">
        <w:rPr>
          <w:rFonts w:ascii="Times New Roman" w:hAnsi="Times New Roman" w:cs="Times New Roman"/>
        </w:rPr>
        <w:t xml:space="preserve">European Automobile Manufacturers Association (ACEA) (2024) </w:t>
      </w:r>
      <w:r w:rsidRPr="005036C4">
        <w:rPr>
          <w:rFonts w:ascii="Times New Roman" w:hAnsi="Times New Roman" w:cs="Times New Roman"/>
          <w:i/>
          <w:iCs/>
        </w:rPr>
        <w:t>Economic and Market Report: Global and EU auto industry full-year 2024</w:t>
      </w:r>
      <w:r w:rsidRPr="005036C4">
        <w:rPr>
          <w:rFonts w:ascii="Times New Roman" w:hAnsi="Times New Roman" w:cs="Times New Roman"/>
        </w:rPr>
        <w:t xml:space="preserve">. Available at: </w:t>
      </w:r>
      <w:proofErr w:type="spellStart"/>
      <w:r w:rsidRPr="005036C4">
        <w:rPr>
          <w:rFonts w:ascii="Times New Roman" w:hAnsi="Times New Roman" w:cs="Times New Roman"/>
        </w:rPr>
        <w:t>acea.auto</w:t>
      </w:r>
      <w:proofErr w:type="spellEnd"/>
      <w:r w:rsidRPr="005036C4">
        <w:rPr>
          <w:rFonts w:ascii="Times New Roman" w:hAnsi="Times New Roman" w:cs="Times New Roman"/>
        </w:rPr>
        <w:t xml:space="preserve"> (Accessed: 24 July 2026).</w:t>
      </w:r>
    </w:p>
    <w:p w14:paraId="02B20D33" w14:textId="77777777" w:rsidR="003F3AA8" w:rsidRPr="005036C4" w:rsidRDefault="003F3AA8" w:rsidP="005036C4">
      <w:pPr>
        <w:numPr>
          <w:ilvl w:val="0"/>
          <w:numId w:val="8"/>
        </w:numPr>
        <w:spacing w:line="360" w:lineRule="auto"/>
        <w:jc w:val="both"/>
        <w:rPr>
          <w:rFonts w:ascii="Times New Roman" w:hAnsi="Times New Roman" w:cs="Times New Roman"/>
        </w:rPr>
      </w:pPr>
      <w:r w:rsidRPr="005036C4">
        <w:rPr>
          <w:rFonts w:ascii="Times New Roman" w:hAnsi="Times New Roman" w:cs="Times New Roman"/>
        </w:rPr>
        <w:t xml:space="preserve">Grant, R.M. (2022) </w:t>
      </w:r>
      <w:r w:rsidRPr="005036C4">
        <w:rPr>
          <w:rFonts w:ascii="Times New Roman" w:hAnsi="Times New Roman" w:cs="Times New Roman"/>
          <w:i/>
          <w:iCs/>
        </w:rPr>
        <w:t>Contemporary Strategy Analysis</w:t>
      </w:r>
      <w:r w:rsidRPr="005036C4">
        <w:rPr>
          <w:rFonts w:ascii="Times New Roman" w:hAnsi="Times New Roman" w:cs="Times New Roman"/>
        </w:rPr>
        <w:t xml:space="preserve">. 11th </w:t>
      </w:r>
      <w:proofErr w:type="spellStart"/>
      <w:r w:rsidRPr="005036C4">
        <w:rPr>
          <w:rFonts w:ascii="Times New Roman" w:hAnsi="Times New Roman" w:cs="Times New Roman"/>
        </w:rPr>
        <w:t>edn</w:t>
      </w:r>
      <w:proofErr w:type="spellEnd"/>
      <w:r w:rsidRPr="005036C4">
        <w:rPr>
          <w:rFonts w:ascii="Times New Roman" w:hAnsi="Times New Roman" w:cs="Times New Roman"/>
        </w:rPr>
        <w:t>. Hoboken: Wiley.</w:t>
      </w:r>
    </w:p>
    <w:p w14:paraId="03B119D9" w14:textId="77777777" w:rsidR="003F3AA8" w:rsidRPr="005036C4" w:rsidRDefault="003F3AA8" w:rsidP="005036C4">
      <w:pPr>
        <w:numPr>
          <w:ilvl w:val="0"/>
          <w:numId w:val="8"/>
        </w:numPr>
        <w:spacing w:line="360" w:lineRule="auto"/>
        <w:jc w:val="both"/>
        <w:rPr>
          <w:rFonts w:ascii="Times New Roman" w:hAnsi="Times New Roman" w:cs="Times New Roman"/>
        </w:rPr>
      </w:pPr>
      <w:r w:rsidRPr="005036C4">
        <w:rPr>
          <w:rFonts w:ascii="Times New Roman" w:hAnsi="Times New Roman" w:cs="Times New Roman"/>
        </w:rPr>
        <w:t xml:space="preserve">International Organization of Motor Vehicle Manufacturers (OICA) (2025) </w:t>
      </w:r>
      <w:r w:rsidRPr="005036C4">
        <w:rPr>
          <w:rFonts w:ascii="Times New Roman" w:hAnsi="Times New Roman" w:cs="Times New Roman"/>
          <w:i/>
          <w:iCs/>
        </w:rPr>
        <w:t>World Motor Vehicle Production by Country and Type</w:t>
      </w:r>
      <w:r w:rsidRPr="005036C4">
        <w:rPr>
          <w:rFonts w:ascii="Times New Roman" w:hAnsi="Times New Roman" w:cs="Times New Roman"/>
        </w:rPr>
        <w:t>. Paris: OICA. Available at: oica.net (Accessed: 25 July 2026).</w:t>
      </w:r>
    </w:p>
    <w:p w14:paraId="3C3955C7" w14:textId="77777777" w:rsidR="003F3AA8" w:rsidRPr="005036C4" w:rsidRDefault="003F3AA8" w:rsidP="005036C4">
      <w:pPr>
        <w:numPr>
          <w:ilvl w:val="0"/>
          <w:numId w:val="8"/>
        </w:numPr>
        <w:spacing w:line="360" w:lineRule="auto"/>
        <w:jc w:val="both"/>
        <w:rPr>
          <w:rFonts w:ascii="Times New Roman" w:hAnsi="Times New Roman" w:cs="Times New Roman"/>
        </w:rPr>
      </w:pPr>
      <w:r w:rsidRPr="005036C4">
        <w:rPr>
          <w:rFonts w:ascii="Times New Roman" w:hAnsi="Times New Roman" w:cs="Times New Roman"/>
        </w:rPr>
        <w:t xml:space="preserve">Johnson, G., Whittington, R. and Scholes, K. (2020) </w:t>
      </w:r>
      <w:r w:rsidRPr="005036C4">
        <w:rPr>
          <w:rFonts w:ascii="Times New Roman" w:hAnsi="Times New Roman" w:cs="Times New Roman"/>
          <w:i/>
          <w:iCs/>
        </w:rPr>
        <w:t>Exploring Strategy: Text and Cases</w:t>
      </w:r>
      <w:r w:rsidRPr="005036C4">
        <w:rPr>
          <w:rFonts w:ascii="Times New Roman" w:hAnsi="Times New Roman" w:cs="Times New Roman"/>
        </w:rPr>
        <w:t xml:space="preserve">. 12th </w:t>
      </w:r>
      <w:proofErr w:type="spellStart"/>
      <w:r w:rsidRPr="005036C4">
        <w:rPr>
          <w:rFonts w:ascii="Times New Roman" w:hAnsi="Times New Roman" w:cs="Times New Roman"/>
        </w:rPr>
        <w:t>edn</w:t>
      </w:r>
      <w:proofErr w:type="spellEnd"/>
      <w:r w:rsidRPr="005036C4">
        <w:rPr>
          <w:rFonts w:ascii="Times New Roman" w:hAnsi="Times New Roman" w:cs="Times New Roman"/>
        </w:rPr>
        <w:t>. Harlow: Pearson.</w:t>
      </w:r>
    </w:p>
    <w:p w14:paraId="7E9C89BF" w14:textId="77777777" w:rsidR="003F3AA8" w:rsidRPr="005036C4" w:rsidRDefault="003F3AA8" w:rsidP="005036C4">
      <w:pPr>
        <w:numPr>
          <w:ilvl w:val="0"/>
          <w:numId w:val="8"/>
        </w:numPr>
        <w:spacing w:line="360" w:lineRule="auto"/>
        <w:jc w:val="both"/>
        <w:rPr>
          <w:rFonts w:ascii="Times New Roman" w:hAnsi="Times New Roman" w:cs="Times New Roman"/>
        </w:rPr>
      </w:pPr>
      <w:r w:rsidRPr="005036C4">
        <w:rPr>
          <w:rFonts w:ascii="Times New Roman" w:hAnsi="Times New Roman" w:cs="Times New Roman"/>
        </w:rPr>
        <w:t xml:space="preserve">Kaplinsky, R. and Morris, M. (2023) 'Value Chain Analysis in a changing global manufacturing landscape', </w:t>
      </w:r>
      <w:r w:rsidRPr="005036C4">
        <w:rPr>
          <w:rFonts w:ascii="Times New Roman" w:hAnsi="Times New Roman" w:cs="Times New Roman"/>
          <w:i/>
          <w:iCs/>
        </w:rPr>
        <w:t>International Journal of Production Research</w:t>
      </w:r>
      <w:r w:rsidRPr="005036C4">
        <w:rPr>
          <w:rFonts w:ascii="Times New Roman" w:hAnsi="Times New Roman" w:cs="Times New Roman"/>
        </w:rPr>
        <w:t>, 61(4), pp. 1102-1118.</w:t>
      </w:r>
    </w:p>
    <w:p w14:paraId="565D6CD5" w14:textId="77777777" w:rsidR="003F3AA8" w:rsidRPr="005036C4" w:rsidRDefault="003F3AA8" w:rsidP="005036C4">
      <w:pPr>
        <w:numPr>
          <w:ilvl w:val="0"/>
          <w:numId w:val="8"/>
        </w:numPr>
        <w:spacing w:line="360" w:lineRule="auto"/>
        <w:jc w:val="both"/>
        <w:rPr>
          <w:rFonts w:ascii="Times New Roman" w:hAnsi="Times New Roman" w:cs="Times New Roman"/>
        </w:rPr>
      </w:pPr>
      <w:r w:rsidRPr="005036C4">
        <w:rPr>
          <w:rFonts w:ascii="Times New Roman" w:hAnsi="Times New Roman" w:cs="Times New Roman"/>
        </w:rPr>
        <w:t xml:space="preserve">Oliver, C. (2020) 'Sustainable competitive advantage in localized manufacturing sectors', </w:t>
      </w:r>
      <w:r w:rsidRPr="005036C4">
        <w:rPr>
          <w:rFonts w:ascii="Times New Roman" w:hAnsi="Times New Roman" w:cs="Times New Roman"/>
          <w:i/>
          <w:iCs/>
        </w:rPr>
        <w:t>Strategic Management Journal</w:t>
      </w:r>
      <w:r w:rsidRPr="005036C4">
        <w:rPr>
          <w:rFonts w:ascii="Times New Roman" w:hAnsi="Times New Roman" w:cs="Times New Roman"/>
        </w:rPr>
        <w:t>, 41(8), pp. 1421-1440.</w:t>
      </w:r>
    </w:p>
    <w:p w14:paraId="5924F860" w14:textId="77777777" w:rsidR="003F3AA8" w:rsidRPr="005036C4" w:rsidRDefault="003F3AA8" w:rsidP="005036C4">
      <w:pPr>
        <w:numPr>
          <w:ilvl w:val="0"/>
          <w:numId w:val="8"/>
        </w:numPr>
        <w:spacing w:line="360" w:lineRule="auto"/>
        <w:jc w:val="both"/>
        <w:rPr>
          <w:rFonts w:ascii="Times New Roman" w:hAnsi="Times New Roman" w:cs="Times New Roman"/>
        </w:rPr>
      </w:pPr>
      <w:r w:rsidRPr="005036C4">
        <w:rPr>
          <w:rFonts w:ascii="Times New Roman" w:hAnsi="Times New Roman" w:cs="Times New Roman"/>
        </w:rPr>
        <w:t xml:space="preserve">Porter, M.E. (2018) </w:t>
      </w:r>
      <w:r w:rsidRPr="005036C4">
        <w:rPr>
          <w:rFonts w:ascii="Times New Roman" w:hAnsi="Times New Roman" w:cs="Times New Roman"/>
          <w:i/>
          <w:iCs/>
        </w:rPr>
        <w:t>Competitive Strategy: Techniques for Analyzing Industries and Competitors</w:t>
      </w:r>
      <w:r w:rsidRPr="005036C4">
        <w:rPr>
          <w:rFonts w:ascii="Times New Roman" w:hAnsi="Times New Roman" w:cs="Times New Roman"/>
        </w:rPr>
        <w:t>. New York: Free Press.</w:t>
      </w:r>
    </w:p>
    <w:p w14:paraId="7A596246" w14:textId="77777777" w:rsidR="003F3AA8" w:rsidRPr="005036C4" w:rsidRDefault="003F3AA8" w:rsidP="005036C4">
      <w:pPr>
        <w:numPr>
          <w:ilvl w:val="0"/>
          <w:numId w:val="8"/>
        </w:numPr>
        <w:spacing w:line="360" w:lineRule="auto"/>
        <w:jc w:val="both"/>
        <w:rPr>
          <w:rFonts w:ascii="Times New Roman" w:hAnsi="Times New Roman" w:cs="Times New Roman"/>
        </w:rPr>
      </w:pPr>
      <w:r w:rsidRPr="005036C4">
        <w:rPr>
          <w:rFonts w:ascii="Times New Roman" w:hAnsi="Times New Roman" w:cs="Times New Roman"/>
        </w:rPr>
        <w:t xml:space="preserve">Society of Motor Manufacturers and Traders (SMMT) (2025) </w:t>
      </w:r>
      <w:r w:rsidRPr="005036C4">
        <w:rPr>
          <w:rFonts w:ascii="Times New Roman" w:hAnsi="Times New Roman" w:cs="Times New Roman"/>
          <w:i/>
          <w:iCs/>
        </w:rPr>
        <w:t>UK Automotive Insights and Electrification Timelines Report</w:t>
      </w:r>
      <w:r w:rsidRPr="005036C4">
        <w:rPr>
          <w:rFonts w:ascii="Times New Roman" w:hAnsi="Times New Roman" w:cs="Times New Roman"/>
        </w:rPr>
        <w:t>. London: SMMT. Available at: smmt.co.uk (Accessed: 24 July 2026).</w:t>
      </w:r>
    </w:p>
    <w:p w14:paraId="521C0ABE" w14:textId="77777777" w:rsidR="003F3AA8" w:rsidRPr="005036C4" w:rsidRDefault="003F3AA8" w:rsidP="005036C4">
      <w:pPr>
        <w:numPr>
          <w:ilvl w:val="0"/>
          <w:numId w:val="8"/>
        </w:numPr>
        <w:spacing w:line="360" w:lineRule="auto"/>
        <w:jc w:val="both"/>
        <w:rPr>
          <w:rFonts w:ascii="Times New Roman" w:hAnsi="Times New Roman" w:cs="Times New Roman"/>
        </w:rPr>
      </w:pPr>
      <w:r w:rsidRPr="005036C4">
        <w:rPr>
          <w:rFonts w:ascii="Times New Roman" w:hAnsi="Times New Roman" w:cs="Times New Roman"/>
        </w:rPr>
        <w:t xml:space="preserve">Teece, D.J. (2023) 'Dynamic capabilities and the transition to electric mobility ecosystems', </w:t>
      </w:r>
      <w:r w:rsidRPr="005036C4">
        <w:rPr>
          <w:rFonts w:ascii="Times New Roman" w:hAnsi="Times New Roman" w:cs="Times New Roman"/>
          <w:i/>
          <w:iCs/>
        </w:rPr>
        <w:t>Industrial and Corporate Change</w:t>
      </w:r>
      <w:r w:rsidRPr="005036C4">
        <w:rPr>
          <w:rFonts w:ascii="Times New Roman" w:hAnsi="Times New Roman" w:cs="Times New Roman"/>
        </w:rPr>
        <w:t>, 32(2), pp. 305-325.</w:t>
      </w:r>
    </w:p>
    <w:p w14:paraId="18D509D8" w14:textId="77777777" w:rsidR="003F3AA8" w:rsidRPr="005036C4" w:rsidRDefault="003F3AA8" w:rsidP="005036C4">
      <w:pPr>
        <w:numPr>
          <w:ilvl w:val="0"/>
          <w:numId w:val="8"/>
        </w:numPr>
        <w:spacing w:line="360" w:lineRule="auto"/>
        <w:jc w:val="both"/>
        <w:rPr>
          <w:rFonts w:ascii="Times New Roman" w:hAnsi="Times New Roman" w:cs="Times New Roman"/>
        </w:rPr>
      </w:pPr>
      <w:r w:rsidRPr="005036C4">
        <w:rPr>
          <w:rFonts w:ascii="Times New Roman" w:hAnsi="Times New Roman" w:cs="Times New Roman"/>
        </w:rPr>
        <w:t xml:space="preserve">Volvo Car Group (2025) </w:t>
      </w:r>
      <w:r w:rsidRPr="005036C4">
        <w:rPr>
          <w:rFonts w:ascii="Times New Roman" w:hAnsi="Times New Roman" w:cs="Times New Roman"/>
          <w:i/>
          <w:iCs/>
        </w:rPr>
        <w:t>Annual Report 2024: Purpose-Driven Transformation</w:t>
      </w:r>
      <w:r w:rsidRPr="005036C4">
        <w:rPr>
          <w:rFonts w:ascii="Times New Roman" w:hAnsi="Times New Roman" w:cs="Times New Roman"/>
        </w:rPr>
        <w:t>. Gothenburg: Volvo Cars Media.</w:t>
      </w:r>
    </w:p>
    <w:p w14:paraId="3FE76FBF" w14:textId="77777777" w:rsidR="003F3AA8" w:rsidRPr="005036C4" w:rsidRDefault="003F3AA8" w:rsidP="005036C4">
      <w:pPr>
        <w:numPr>
          <w:ilvl w:val="0"/>
          <w:numId w:val="8"/>
        </w:numPr>
        <w:spacing w:line="360" w:lineRule="auto"/>
        <w:jc w:val="both"/>
        <w:rPr>
          <w:rFonts w:ascii="Times New Roman" w:hAnsi="Times New Roman" w:cs="Times New Roman"/>
        </w:rPr>
      </w:pPr>
      <w:r w:rsidRPr="005036C4">
        <w:rPr>
          <w:rFonts w:ascii="Times New Roman" w:hAnsi="Times New Roman" w:cs="Times New Roman"/>
        </w:rPr>
        <w:lastRenderedPageBreak/>
        <w:t xml:space="preserve">Volvo Car Group (2026) </w:t>
      </w:r>
      <w:r w:rsidRPr="005036C4">
        <w:rPr>
          <w:rFonts w:ascii="Times New Roman" w:hAnsi="Times New Roman" w:cs="Times New Roman"/>
          <w:i/>
          <w:iCs/>
        </w:rPr>
        <w:t>Investor Relations: FY25 Full Year Results and 2040 Circularity Milestones</w:t>
      </w:r>
      <w:r w:rsidRPr="005036C4">
        <w:rPr>
          <w:rFonts w:ascii="Times New Roman" w:hAnsi="Times New Roman" w:cs="Times New Roman"/>
        </w:rPr>
        <w:t>. Gothenburg: Volvo Cars Media.</w:t>
      </w:r>
    </w:p>
    <w:p w14:paraId="4755A2C0" w14:textId="77777777" w:rsidR="003F3AA8" w:rsidRPr="005036C4" w:rsidRDefault="003F3AA8" w:rsidP="005036C4">
      <w:pPr>
        <w:spacing w:line="360" w:lineRule="auto"/>
        <w:jc w:val="both"/>
        <w:rPr>
          <w:rFonts w:ascii="Times New Roman" w:hAnsi="Times New Roman" w:cs="Times New Roman"/>
        </w:rPr>
      </w:pPr>
      <w:r w:rsidRPr="005036C4">
        <w:rPr>
          <w:rFonts w:ascii="Times New Roman" w:hAnsi="Times New Roman" w:cs="Times New Roman"/>
        </w:rPr>
        <w:br/>
      </w:r>
    </w:p>
    <w:p w14:paraId="39EB8035" w14:textId="77777777" w:rsidR="00041541" w:rsidRPr="005036C4" w:rsidRDefault="00041541" w:rsidP="005036C4">
      <w:pPr>
        <w:spacing w:line="360" w:lineRule="auto"/>
        <w:jc w:val="both"/>
        <w:rPr>
          <w:rFonts w:ascii="Times New Roman" w:hAnsi="Times New Roman" w:cs="Times New Roman"/>
        </w:rPr>
      </w:pPr>
    </w:p>
    <w:sectPr w:rsidR="00041541" w:rsidRPr="005036C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232EA9" w14:textId="77777777" w:rsidR="006600E0" w:rsidRDefault="006600E0" w:rsidP="005036C4">
      <w:pPr>
        <w:spacing w:after="0" w:line="240" w:lineRule="auto"/>
      </w:pPr>
      <w:r>
        <w:separator/>
      </w:r>
    </w:p>
  </w:endnote>
  <w:endnote w:type="continuationSeparator" w:id="0">
    <w:p w14:paraId="5E207303" w14:textId="77777777" w:rsidR="006600E0" w:rsidRDefault="006600E0" w:rsidP="005036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4433999"/>
      <w:docPartObj>
        <w:docPartGallery w:val="Page Numbers (Bottom of Page)"/>
        <w:docPartUnique/>
      </w:docPartObj>
    </w:sdtPr>
    <w:sdtEndPr>
      <w:rPr>
        <w:noProof/>
      </w:rPr>
    </w:sdtEndPr>
    <w:sdtContent>
      <w:p w14:paraId="48A14F8D" w14:textId="34B08DDD" w:rsidR="005036C4" w:rsidRDefault="005036C4">
        <w:pPr>
          <w:pStyle w:val="Footer"/>
        </w:pPr>
        <w:r>
          <w:fldChar w:fldCharType="begin"/>
        </w:r>
        <w:r>
          <w:instrText xml:space="preserve"> PAGE   \* MERGEFORMAT </w:instrText>
        </w:r>
        <w:r>
          <w:fldChar w:fldCharType="separate"/>
        </w:r>
        <w:r>
          <w:rPr>
            <w:noProof/>
          </w:rPr>
          <w:t>2</w:t>
        </w:r>
        <w:r>
          <w:rPr>
            <w:noProof/>
          </w:rPr>
          <w:fldChar w:fldCharType="end"/>
        </w:r>
      </w:p>
    </w:sdtContent>
  </w:sdt>
  <w:p w14:paraId="7B91A77B" w14:textId="77777777" w:rsidR="005036C4" w:rsidRDefault="005036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10EDCE" w14:textId="77777777" w:rsidR="006600E0" w:rsidRDefault="006600E0" w:rsidP="005036C4">
      <w:pPr>
        <w:spacing w:after="0" w:line="240" w:lineRule="auto"/>
      </w:pPr>
      <w:r>
        <w:separator/>
      </w:r>
    </w:p>
  </w:footnote>
  <w:footnote w:type="continuationSeparator" w:id="0">
    <w:p w14:paraId="2647D0CB" w14:textId="77777777" w:rsidR="006600E0" w:rsidRDefault="006600E0" w:rsidP="005036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A1DB8"/>
    <w:multiLevelType w:val="multilevel"/>
    <w:tmpl w:val="9BE670C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A37B1F"/>
    <w:multiLevelType w:val="multilevel"/>
    <w:tmpl w:val="4DECE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B1453B"/>
    <w:multiLevelType w:val="multilevel"/>
    <w:tmpl w:val="489AD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4631D9"/>
    <w:multiLevelType w:val="multilevel"/>
    <w:tmpl w:val="3592A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952DAD"/>
    <w:multiLevelType w:val="multilevel"/>
    <w:tmpl w:val="23388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53128F"/>
    <w:multiLevelType w:val="multilevel"/>
    <w:tmpl w:val="6F126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6061103"/>
    <w:multiLevelType w:val="multilevel"/>
    <w:tmpl w:val="A232E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A31C59"/>
    <w:multiLevelType w:val="multilevel"/>
    <w:tmpl w:val="90520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B75AC3"/>
    <w:multiLevelType w:val="multilevel"/>
    <w:tmpl w:val="772E8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3227482">
    <w:abstractNumId w:val="0"/>
  </w:num>
  <w:num w:numId="2" w16cid:durableId="939684624">
    <w:abstractNumId w:val="1"/>
  </w:num>
  <w:num w:numId="3" w16cid:durableId="1560246859">
    <w:abstractNumId w:val="2"/>
  </w:num>
  <w:num w:numId="4" w16cid:durableId="183515179">
    <w:abstractNumId w:val="7"/>
  </w:num>
  <w:num w:numId="5" w16cid:durableId="1102797983">
    <w:abstractNumId w:val="4"/>
  </w:num>
  <w:num w:numId="6" w16cid:durableId="366763326">
    <w:abstractNumId w:val="3"/>
  </w:num>
  <w:num w:numId="7" w16cid:durableId="353384789">
    <w:abstractNumId w:val="8"/>
  </w:num>
  <w:num w:numId="8" w16cid:durableId="427312574">
    <w:abstractNumId w:val="5"/>
  </w:num>
  <w:num w:numId="9" w16cid:durableId="60642860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EC5"/>
    <w:rsid w:val="00041541"/>
    <w:rsid w:val="003F3AA8"/>
    <w:rsid w:val="004E6BA3"/>
    <w:rsid w:val="005036C4"/>
    <w:rsid w:val="0054168E"/>
    <w:rsid w:val="0058037D"/>
    <w:rsid w:val="006600E0"/>
    <w:rsid w:val="007C03A7"/>
    <w:rsid w:val="00880756"/>
    <w:rsid w:val="00A25EC5"/>
    <w:rsid w:val="00D16E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426F0"/>
  <w15:chartTrackingRefBased/>
  <w15:docId w15:val="{3594A95A-CCC4-4B36-8F82-D2BE87F5D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5EC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25EC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25EC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25EC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25EC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25E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5E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5E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5E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5EC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25EC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25EC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25EC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25EC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25E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5E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5E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5EC5"/>
    <w:rPr>
      <w:rFonts w:eastAsiaTheme="majorEastAsia" w:cstheme="majorBidi"/>
      <w:color w:val="272727" w:themeColor="text1" w:themeTint="D8"/>
    </w:rPr>
  </w:style>
  <w:style w:type="paragraph" w:styleId="Title">
    <w:name w:val="Title"/>
    <w:basedOn w:val="Normal"/>
    <w:next w:val="Normal"/>
    <w:link w:val="TitleChar"/>
    <w:uiPriority w:val="10"/>
    <w:qFormat/>
    <w:rsid w:val="00A25E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5E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5E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5E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5EC5"/>
    <w:pPr>
      <w:spacing w:before="160"/>
      <w:jc w:val="center"/>
    </w:pPr>
    <w:rPr>
      <w:i/>
      <w:iCs/>
      <w:color w:val="404040" w:themeColor="text1" w:themeTint="BF"/>
    </w:rPr>
  </w:style>
  <w:style w:type="character" w:customStyle="1" w:styleId="QuoteChar">
    <w:name w:val="Quote Char"/>
    <w:basedOn w:val="DefaultParagraphFont"/>
    <w:link w:val="Quote"/>
    <w:uiPriority w:val="29"/>
    <w:rsid w:val="00A25EC5"/>
    <w:rPr>
      <w:i/>
      <w:iCs/>
      <w:color w:val="404040" w:themeColor="text1" w:themeTint="BF"/>
    </w:rPr>
  </w:style>
  <w:style w:type="paragraph" w:styleId="ListParagraph">
    <w:name w:val="List Paragraph"/>
    <w:basedOn w:val="Normal"/>
    <w:uiPriority w:val="34"/>
    <w:qFormat/>
    <w:rsid w:val="00A25EC5"/>
    <w:pPr>
      <w:ind w:left="720"/>
      <w:contextualSpacing/>
    </w:pPr>
  </w:style>
  <w:style w:type="character" w:styleId="IntenseEmphasis">
    <w:name w:val="Intense Emphasis"/>
    <w:basedOn w:val="DefaultParagraphFont"/>
    <w:uiPriority w:val="21"/>
    <w:qFormat/>
    <w:rsid w:val="00A25EC5"/>
    <w:rPr>
      <w:i/>
      <w:iCs/>
      <w:color w:val="2F5496" w:themeColor="accent1" w:themeShade="BF"/>
    </w:rPr>
  </w:style>
  <w:style w:type="paragraph" w:styleId="IntenseQuote">
    <w:name w:val="Intense Quote"/>
    <w:basedOn w:val="Normal"/>
    <w:next w:val="Normal"/>
    <w:link w:val="IntenseQuoteChar"/>
    <w:uiPriority w:val="30"/>
    <w:qFormat/>
    <w:rsid w:val="00A25EC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25EC5"/>
    <w:rPr>
      <w:i/>
      <w:iCs/>
      <w:color w:val="2F5496" w:themeColor="accent1" w:themeShade="BF"/>
    </w:rPr>
  </w:style>
  <w:style w:type="character" w:styleId="IntenseReference">
    <w:name w:val="Intense Reference"/>
    <w:basedOn w:val="DefaultParagraphFont"/>
    <w:uiPriority w:val="32"/>
    <w:qFormat/>
    <w:rsid w:val="00A25EC5"/>
    <w:rPr>
      <w:b/>
      <w:bCs/>
      <w:smallCaps/>
      <w:color w:val="2F5496" w:themeColor="accent1" w:themeShade="BF"/>
      <w:spacing w:val="5"/>
    </w:rPr>
  </w:style>
  <w:style w:type="paragraph" w:styleId="TOCHeading">
    <w:name w:val="TOC Heading"/>
    <w:basedOn w:val="Heading1"/>
    <w:next w:val="Normal"/>
    <w:uiPriority w:val="39"/>
    <w:unhideWhenUsed/>
    <w:qFormat/>
    <w:rsid w:val="005036C4"/>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036C4"/>
    <w:pPr>
      <w:spacing w:after="100"/>
    </w:pPr>
  </w:style>
  <w:style w:type="paragraph" w:styleId="TOC2">
    <w:name w:val="toc 2"/>
    <w:basedOn w:val="Normal"/>
    <w:next w:val="Normal"/>
    <w:autoRedefine/>
    <w:uiPriority w:val="39"/>
    <w:unhideWhenUsed/>
    <w:rsid w:val="005036C4"/>
    <w:pPr>
      <w:spacing w:after="100"/>
      <w:ind w:left="240"/>
    </w:pPr>
  </w:style>
  <w:style w:type="paragraph" w:styleId="TOC3">
    <w:name w:val="toc 3"/>
    <w:basedOn w:val="Normal"/>
    <w:next w:val="Normal"/>
    <w:autoRedefine/>
    <w:uiPriority w:val="39"/>
    <w:unhideWhenUsed/>
    <w:rsid w:val="005036C4"/>
    <w:pPr>
      <w:spacing w:after="100"/>
      <w:ind w:left="480"/>
    </w:pPr>
  </w:style>
  <w:style w:type="character" w:styleId="Hyperlink">
    <w:name w:val="Hyperlink"/>
    <w:basedOn w:val="DefaultParagraphFont"/>
    <w:uiPriority w:val="99"/>
    <w:unhideWhenUsed/>
    <w:rsid w:val="005036C4"/>
    <w:rPr>
      <w:color w:val="0563C1" w:themeColor="hyperlink"/>
      <w:u w:val="single"/>
    </w:rPr>
  </w:style>
  <w:style w:type="paragraph" w:styleId="Header">
    <w:name w:val="header"/>
    <w:basedOn w:val="Normal"/>
    <w:link w:val="HeaderChar"/>
    <w:uiPriority w:val="99"/>
    <w:unhideWhenUsed/>
    <w:rsid w:val="005036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36C4"/>
  </w:style>
  <w:style w:type="paragraph" w:styleId="Footer">
    <w:name w:val="footer"/>
    <w:basedOn w:val="Normal"/>
    <w:link w:val="FooterChar"/>
    <w:uiPriority w:val="99"/>
    <w:unhideWhenUsed/>
    <w:rsid w:val="005036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36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19</Pages>
  <Words>4199</Words>
  <Characters>23935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Interactive4</dc:creator>
  <cp:keywords/>
  <dc:description/>
  <cp:lastModifiedBy>Interactive4</cp:lastModifiedBy>
  <cp:revision>4</cp:revision>
  <dcterms:created xsi:type="dcterms:W3CDTF">2026-07-25T21:59:00Z</dcterms:created>
  <dcterms:modified xsi:type="dcterms:W3CDTF">2026-08-17T19:42:00Z</dcterms:modified>
</cp:coreProperties>
</file>