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6DA" w:rsidRDefault="005B3A3F" w:rsidP="00EA4BE7">
      <w:pPr>
        <w:spacing w:line="480" w:lineRule="auto"/>
        <w:jc w:val="center"/>
        <w:rPr>
          <w:u w:val="single"/>
        </w:rPr>
      </w:pPr>
      <w:bookmarkStart w:id="0" w:name="_GoBack"/>
      <w:bookmarkEnd w:id="0"/>
      <w:r>
        <w:rPr>
          <w:u w:val="single"/>
        </w:rPr>
        <w:t xml:space="preserve">How significant were the effects of the Black Death </w:t>
      </w:r>
      <w:proofErr w:type="gramStart"/>
      <w:r>
        <w:rPr>
          <w:u w:val="single"/>
        </w:rPr>
        <w:t>on</w:t>
      </w:r>
      <w:proofErr w:type="gramEnd"/>
      <w:r>
        <w:rPr>
          <w:u w:val="single"/>
        </w:rPr>
        <w:t xml:space="preserve"> </w:t>
      </w:r>
    </w:p>
    <w:p w:rsidR="005B3A3F" w:rsidRDefault="005B3A3F" w:rsidP="00EA4BE7">
      <w:pPr>
        <w:spacing w:line="480" w:lineRule="auto"/>
        <w:jc w:val="center"/>
        <w:rPr>
          <w:u w:val="single"/>
        </w:rPr>
      </w:pPr>
      <w:r>
        <w:rPr>
          <w:u w:val="single"/>
        </w:rPr>
        <w:t>Medieval religion and culture</w:t>
      </w:r>
      <w:r w:rsidR="00171A10">
        <w:rPr>
          <w:u w:val="single"/>
        </w:rPr>
        <w:t>?</w:t>
      </w:r>
    </w:p>
    <w:p w:rsidR="005B3A3F" w:rsidRDefault="005B3A3F" w:rsidP="00EA4BE7">
      <w:pPr>
        <w:spacing w:line="480" w:lineRule="auto"/>
        <w:jc w:val="center"/>
        <w:rPr>
          <w:u w:val="single"/>
        </w:rPr>
      </w:pPr>
    </w:p>
    <w:p w:rsidR="005B3A3F" w:rsidRDefault="005B3A3F" w:rsidP="00EA4BE7">
      <w:pPr>
        <w:spacing w:line="480" w:lineRule="auto"/>
      </w:pPr>
    </w:p>
    <w:p w:rsidR="005B3A3F" w:rsidRDefault="005B3A3F" w:rsidP="00EA4BE7">
      <w:pPr>
        <w:spacing w:line="480" w:lineRule="auto"/>
      </w:pPr>
      <w:r>
        <w:t xml:space="preserve">The Black Death (also called the plague) was a highly infectious disease that hit medieval Europe in 1346. </w:t>
      </w:r>
      <w:r w:rsidR="008F727E">
        <w:t xml:space="preserve">The plague virus </w:t>
      </w:r>
      <w:r w:rsidR="00FB0D72">
        <w:t xml:space="preserve">was present in fleas, and carried by rats. </w:t>
      </w:r>
      <w:r>
        <w:t xml:space="preserve">Originally coming from Asia, it very quickly spread throughout all of Europe. Poor hygiene in medieval Europe allowed </w:t>
      </w:r>
      <w:r w:rsidR="00F47958">
        <w:t xml:space="preserve">the plague to spread widely and quickly, devastating the population. In this period of medieval Europe, the population had radically increased, especially in urban areas. The plague appeared just after the Great Famine which had killed many, and left the surviving population weakened and vulnerable. In the years that the Black Death raged through Europe it killed an estimated two hundred million people, which could have been up to 80% of the population in certain areas of Europe. Eventually the Black Death had run its course and disappeared, but not before it completely devastated medieval Europe, and caused sweeping religious and cultural changes to occur throughout Europe. </w:t>
      </w:r>
    </w:p>
    <w:p w:rsidR="00F47958" w:rsidRDefault="00F47958" w:rsidP="00EA4BE7">
      <w:pPr>
        <w:spacing w:line="480" w:lineRule="auto"/>
      </w:pPr>
      <w:r>
        <w:t xml:space="preserve">This piece of work will seek to examine the various effects the Black Death had upon medieval religion and culture. How the Black Death directly affected the church will be examined, and how </w:t>
      </w:r>
      <w:proofErr w:type="gramStart"/>
      <w:r>
        <w:t>this caused changes</w:t>
      </w:r>
      <w:proofErr w:type="gramEnd"/>
      <w:r>
        <w:t xml:space="preserve"> in how the people of Europe perceived religion and the powers of the church. An examination of how the Black Death caused new religious persecution to run rampant in Europe will also be looked at. An examination of the various changes in the culture of medieval Europe will then be made. </w:t>
      </w:r>
      <w:r w:rsidR="007F3032">
        <w:t xml:space="preserve">This will include how the Black Death affected art and literature, this will be seen through comparing the art and literature of medieval Europe from before and then after the Black Death. The new popularity of the </w:t>
      </w:r>
      <w:proofErr w:type="spellStart"/>
      <w:r w:rsidR="007F3032">
        <w:t>Danse</w:t>
      </w:r>
      <w:proofErr w:type="spellEnd"/>
      <w:r w:rsidR="007F3032">
        <w:t xml:space="preserve"> Macabre and the Ars </w:t>
      </w:r>
      <w:proofErr w:type="spellStart"/>
      <w:r w:rsidR="007F3032">
        <w:t>Moriendi</w:t>
      </w:r>
      <w:proofErr w:type="spellEnd"/>
      <w:r w:rsidR="007F3032">
        <w:t xml:space="preserve"> will also be examined. Then the Black Deaths influence of the social construct of feudalism will be examined, and how these changes effected the working class of medieval Europe.</w:t>
      </w:r>
    </w:p>
    <w:p w:rsidR="007F3032" w:rsidRDefault="007F3032" w:rsidP="00EA4BE7">
      <w:pPr>
        <w:spacing w:line="480" w:lineRule="auto"/>
      </w:pPr>
      <w:r>
        <w:lastRenderedPageBreak/>
        <w:t xml:space="preserve">It is expected that there will be many large and sweeping changes in medieval Europe’s religion and culture. This piece of works expects to find that these changes were so huge, that medieval Europe was never able to return to how it had been before. It is also expected that the Black Death is one of the contributing factors that led to the Renaissance period and Europe as it is today. </w:t>
      </w:r>
      <w:r w:rsidR="00E657ED">
        <w:t xml:space="preserve"> </w:t>
      </w:r>
    </w:p>
    <w:p w:rsidR="004656A3" w:rsidRDefault="004656A3" w:rsidP="00EA4BE7">
      <w:pPr>
        <w:spacing w:line="480" w:lineRule="auto"/>
      </w:pPr>
      <w:r>
        <w:t xml:space="preserve">Before an examination of the effects of the Black Death in medieval Europe can be made, it is important to note a very important point. Not </w:t>
      </w:r>
      <w:proofErr w:type="gramStart"/>
      <w:r>
        <w:t>all of</w:t>
      </w:r>
      <w:proofErr w:type="gramEnd"/>
      <w:r>
        <w:t xml:space="preserve"> the death and suffering in Europe in this period was caused by the Black Death. As has already been mentioned, the Great Famine of 1315- 1317 had already struck </w:t>
      </w:r>
      <w:proofErr w:type="gramStart"/>
      <w:r>
        <w:t>all of</w:t>
      </w:r>
      <w:proofErr w:type="gramEnd"/>
      <w:r>
        <w:t xml:space="preserve"> medieval Europe, and this alone caused the deaths of millions. The chronic lack of food made many do things that would not have been imaginable beforehand, like abandoning their children and turning to cannibalism.</w:t>
      </w:r>
      <w:r>
        <w:rPr>
          <w:rStyle w:val="FootnoteReference"/>
        </w:rPr>
        <w:footnoteReference w:id="1"/>
      </w:r>
      <w:r>
        <w:t xml:space="preserve"> The Great Famine was also responsible for the spread of disease throughout Europe. Poor weather conditions mixed with a starving population allowed the spread of diseases such as bronchitis and tuberculosis. </w:t>
      </w:r>
    </w:p>
    <w:p w:rsidR="004656A3" w:rsidRDefault="004656A3" w:rsidP="00EA4BE7">
      <w:pPr>
        <w:spacing w:line="480" w:lineRule="auto"/>
      </w:pPr>
      <w:r>
        <w:t xml:space="preserve">Another factor that caused wide spread death and suffering throughout Europe was the wars that were fought in this period. In </w:t>
      </w:r>
      <w:r>
        <w:rPr>
          <w:i/>
        </w:rPr>
        <w:t xml:space="preserve">The Black Death </w:t>
      </w:r>
      <w:r>
        <w:t xml:space="preserve">by Daniel </w:t>
      </w:r>
      <w:proofErr w:type="spellStart"/>
      <w:r>
        <w:t>Williman</w:t>
      </w:r>
      <w:proofErr w:type="spellEnd"/>
      <w:r>
        <w:t>, it is mentioned how in this period of great suffering and upheaval, war spread across mainland Europe.</w:t>
      </w:r>
      <w:r>
        <w:rPr>
          <w:rStyle w:val="FootnoteReference"/>
        </w:rPr>
        <w:footnoteReference w:id="2"/>
      </w:r>
      <w:r>
        <w:t xml:space="preserve"> </w:t>
      </w:r>
      <w:proofErr w:type="spellStart"/>
      <w:r>
        <w:t>Williman</w:t>
      </w:r>
      <w:proofErr w:type="spellEnd"/>
      <w:r>
        <w:t xml:space="preserve"> points out that this would affect the results of any study being conducted by a historian, as it is impossible to now know what deaths were caused by war or the Black Death.</w:t>
      </w:r>
      <w:r>
        <w:rPr>
          <w:rStyle w:val="FootnoteReference"/>
        </w:rPr>
        <w:footnoteReference w:id="3"/>
      </w:r>
      <w:r>
        <w:t xml:space="preserve"> However, </w:t>
      </w:r>
      <w:proofErr w:type="spellStart"/>
      <w:r>
        <w:t>Williman</w:t>
      </w:r>
      <w:proofErr w:type="spellEnd"/>
      <w:r>
        <w:t xml:space="preserve"> also points out that the best way to get around this would be to look at the effects of the Black Death on England alone.</w:t>
      </w:r>
      <w:r>
        <w:rPr>
          <w:rStyle w:val="FootnoteReference"/>
        </w:rPr>
        <w:footnoteReference w:id="4"/>
      </w:r>
      <w:r>
        <w:t xml:space="preserve"> In this period England experienced no wars, so ill effects felt in this country would likely have been caused by the Black Death alone.</w:t>
      </w:r>
      <w:r>
        <w:rPr>
          <w:rStyle w:val="FootnoteReference"/>
        </w:rPr>
        <w:footnoteReference w:id="5"/>
      </w:r>
      <w:r w:rsidR="00E10ABC">
        <w:t xml:space="preserve"> For this reason, England will be the case study used in this piece of work when seeking to find the cultural effects of the Black Death. </w:t>
      </w:r>
    </w:p>
    <w:p w:rsidR="00F74E41" w:rsidRDefault="006C7DD8" w:rsidP="00EA4BE7">
      <w:pPr>
        <w:spacing w:line="480" w:lineRule="auto"/>
      </w:pPr>
      <w:proofErr w:type="gramStart"/>
      <w:r>
        <w:lastRenderedPageBreak/>
        <w:t>In order to</w:t>
      </w:r>
      <w:proofErr w:type="gramEnd"/>
      <w:r>
        <w:t xml:space="preserve"> properly understand the cultural effects of the Black Death in medieval Europe, it is important to look at how the disease effected the economy. </w:t>
      </w:r>
      <w:r w:rsidR="00AD1CD4">
        <w:t>Medieval Europe at this time was at the end of a steady population increase.</w:t>
      </w:r>
      <w:r w:rsidR="00AD1CD4">
        <w:rPr>
          <w:rStyle w:val="FootnoteReference"/>
        </w:rPr>
        <w:footnoteReference w:id="6"/>
      </w:r>
      <w:r w:rsidR="00AD1CD4">
        <w:t xml:space="preserve"> The Great Famine marked the end of this period, when populations </w:t>
      </w:r>
      <w:proofErr w:type="gramStart"/>
      <w:r w:rsidR="00AD1CD4">
        <w:t>actually declined</w:t>
      </w:r>
      <w:proofErr w:type="gramEnd"/>
      <w:r w:rsidR="00AD1CD4">
        <w:t xml:space="preserve"> instead of increasing. The population increase had caused a massive growth in the size of urban populations across medieval Europe. This increase in urban populations put an increased demand on the agricultural sector of the economy. Except for the Great Famine, the agricultural sector was able to keep up with this demand. As feudalism was the basis of the economy in medieval Europe, the average farmer experienced no increase in wealth with this extra demand, instead the ruling nobility that owned the land being farmed gained a</w:t>
      </w:r>
      <w:r w:rsidR="00B353D3">
        <w:t>ll the extra income and wealth.</w:t>
      </w:r>
      <w:r w:rsidR="00B353D3">
        <w:rPr>
          <w:rStyle w:val="FootnoteReference"/>
        </w:rPr>
        <w:footnoteReference w:id="7"/>
      </w:r>
      <w:r w:rsidR="00AD1CD4">
        <w:t xml:space="preserve"> </w:t>
      </w:r>
      <w:r w:rsidR="00B353D3">
        <w:t xml:space="preserve">The Black Death caused massive damage to the economy that brought about an era in which feudalism gradually diminished. </w:t>
      </w:r>
      <w:r w:rsidR="00F74E41">
        <w:t xml:space="preserve">In </w:t>
      </w:r>
      <w:proofErr w:type="gramStart"/>
      <w:r w:rsidR="00F74E41">
        <w:rPr>
          <w:i/>
        </w:rPr>
        <w:t>The</w:t>
      </w:r>
      <w:proofErr w:type="gramEnd"/>
      <w:r w:rsidR="00F74E41">
        <w:rPr>
          <w:i/>
        </w:rPr>
        <w:t xml:space="preserve"> Black Death, </w:t>
      </w:r>
      <w:proofErr w:type="spellStart"/>
      <w:r w:rsidR="00F74E41">
        <w:t>Williman</w:t>
      </w:r>
      <w:proofErr w:type="spellEnd"/>
      <w:r w:rsidR="00F74E41">
        <w:t xml:space="preserve"> mentions how the plague devastated the populations in urban areas far more than those in isolated farms and villages.</w:t>
      </w:r>
      <w:r w:rsidR="00F74E41">
        <w:rPr>
          <w:rStyle w:val="FootnoteReference"/>
        </w:rPr>
        <w:footnoteReference w:id="8"/>
      </w:r>
      <w:r w:rsidR="00F74E41">
        <w:t xml:space="preserve"> While this may seem like a good thing for the people in these isolated places, it also caused almost complete economic ruin for these people. The urban markets that supported this sector of the economy no longer existed.</w:t>
      </w:r>
      <w:r w:rsidR="00F74E41">
        <w:rPr>
          <w:rStyle w:val="FootnoteReference"/>
        </w:rPr>
        <w:footnoteReference w:id="9"/>
      </w:r>
      <w:r w:rsidR="00F74E41">
        <w:t xml:space="preserve"> This economic collapse effected all parts of society, and led to the ruin of many estates. When the Black Death had finally run its course through medieval Europe, the survivors had to try and rebuild the economy. </w:t>
      </w:r>
      <w:r w:rsidR="00DF548B">
        <w:t xml:space="preserve">In </w:t>
      </w:r>
      <w:proofErr w:type="gramStart"/>
      <w:r w:rsidR="00DF548B">
        <w:rPr>
          <w:i/>
        </w:rPr>
        <w:t>The</w:t>
      </w:r>
      <w:proofErr w:type="gramEnd"/>
      <w:r w:rsidR="00DF548B">
        <w:rPr>
          <w:i/>
        </w:rPr>
        <w:t xml:space="preserve"> Black Death </w:t>
      </w:r>
      <w:r w:rsidR="00DF548B">
        <w:t>by Robert Gottfried is mentioned that the cultural shock of the Black Death was immense.</w:t>
      </w:r>
      <w:r w:rsidR="00DF548B">
        <w:rPr>
          <w:rStyle w:val="FootnoteReference"/>
        </w:rPr>
        <w:footnoteReference w:id="10"/>
      </w:r>
      <w:r w:rsidR="00DF548B">
        <w:t xml:space="preserve"> He mentions how the ‘mechanics and commonplaces of everyday life simply </w:t>
      </w:r>
      <w:r w:rsidR="002328C7">
        <w:t>stopped’.</w:t>
      </w:r>
      <w:r w:rsidR="002328C7">
        <w:rPr>
          <w:rStyle w:val="FootnoteReference"/>
        </w:rPr>
        <w:footnoteReference w:id="11"/>
      </w:r>
      <w:r w:rsidR="002328C7">
        <w:t xml:space="preserve"> It was not easy for the people of medieval Europe to recover from the Black Death, and it was this massive cultural shock that left so many lasting changes in the society of medieval Europe. </w:t>
      </w:r>
      <w:r w:rsidR="00F74E41">
        <w:t xml:space="preserve">In </w:t>
      </w:r>
      <w:proofErr w:type="gramStart"/>
      <w:r w:rsidR="00F74E41">
        <w:rPr>
          <w:i/>
        </w:rPr>
        <w:t>The</w:t>
      </w:r>
      <w:proofErr w:type="gramEnd"/>
      <w:r w:rsidR="00F74E41">
        <w:rPr>
          <w:i/>
        </w:rPr>
        <w:t xml:space="preserve"> Black Death </w:t>
      </w:r>
      <w:r w:rsidR="00100C67">
        <w:rPr>
          <w:i/>
        </w:rPr>
        <w:t>in</w:t>
      </w:r>
      <w:r w:rsidR="00F74E41">
        <w:rPr>
          <w:i/>
        </w:rPr>
        <w:t xml:space="preserve"> England </w:t>
      </w:r>
      <w:r w:rsidR="00F74E41">
        <w:t xml:space="preserve">by Mark Ormrod it is mentioned that many people from the countryside moved into urban areas looking for work that </w:t>
      </w:r>
      <w:r w:rsidR="00F74E41">
        <w:lastRenderedPageBreak/>
        <w:t>was no longer available where they had lived before.</w:t>
      </w:r>
      <w:r w:rsidR="00F74E41">
        <w:rPr>
          <w:rStyle w:val="FootnoteReference"/>
        </w:rPr>
        <w:footnoteReference w:id="12"/>
      </w:r>
      <w:r w:rsidR="00F74E41">
        <w:t xml:space="preserve"> Despite this, there was still a massive shortage of workers throughout medieval Europe, and for the first time ever, the working class was able to have some small measure of power and influence over the upper classes. The working class now demanded higher wages for their labour, as they were now in demand. In </w:t>
      </w:r>
      <w:proofErr w:type="gramStart"/>
      <w:r w:rsidR="00F74E41">
        <w:rPr>
          <w:i/>
        </w:rPr>
        <w:t>The</w:t>
      </w:r>
      <w:proofErr w:type="gramEnd"/>
      <w:r w:rsidR="00F74E41">
        <w:rPr>
          <w:i/>
        </w:rPr>
        <w:t xml:space="preserve"> Black Death </w:t>
      </w:r>
      <w:r w:rsidR="00171A10">
        <w:rPr>
          <w:i/>
        </w:rPr>
        <w:t>in</w:t>
      </w:r>
      <w:r w:rsidR="00F74E41">
        <w:rPr>
          <w:i/>
        </w:rPr>
        <w:t xml:space="preserve"> England </w:t>
      </w:r>
      <w:r w:rsidR="00F74E41">
        <w:t xml:space="preserve">it is mentioned that </w:t>
      </w:r>
      <w:r w:rsidR="00DD3FE3">
        <w:t>all of medieval Europe experienced a ‘falling demand for food and higher labour costs.’</w:t>
      </w:r>
      <w:r w:rsidR="00DD3FE3">
        <w:rPr>
          <w:rStyle w:val="FootnoteReference"/>
        </w:rPr>
        <w:footnoteReference w:id="13"/>
      </w:r>
      <w:r w:rsidR="00DD3FE3">
        <w:t xml:space="preserve"> Ormrod writes that this period saw an increase of wage for the working class, and a huge influx in cheap land for sale.</w:t>
      </w:r>
      <w:r w:rsidR="00DD3FE3">
        <w:rPr>
          <w:rStyle w:val="FootnoteReference"/>
        </w:rPr>
        <w:footnoteReference w:id="14"/>
      </w:r>
      <w:r w:rsidR="00DD3FE3">
        <w:t xml:space="preserve"> As the wealthy lost their income and were forced to sell their land to make up for this loss in earnings, the new money available to the working class allowed them to buy this land. This era saw working class families working for themselves instead of for a noble. </w:t>
      </w:r>
      <w:r w:rsidR="00CA3CAE">
        <w:t xml:space="preserve">It was during this period that the middle class properly began to come into being, as merchants began to gain power and wealth. It is important to note that not all areas of the countryside escaped the plague, just simply that they did not generally get hit as hard as the urban areas. There </w:t>
      </w:r>
      <w:proofErr w:type="gramStart"/>
      <w:r w:rsidR="00CA3CAE">
        <w:t>was</w:t>
      </w:r>
      <w:proofErr w:type="gramEnd"/>
      <w:r w:rsidR="00CA3CAE">
        <w:t xml:space="preserve"> still many cases of food shortage throughout Europe as the farming communities were decimated.</w:t>
      </w:r>
      <w:r w:rsidR="00CA3CAE">
        <w:rPr>
          <w:rStyle w:val="FootnoteReference"/>
        </w:rPr>
        <w:footnoteReference w:id="15"/>
      </w:r>
      <w:r w:rsidR="00CA3CAE">
        <w:t xml:space="preserve"> The results of this can be viewed by events such as the Peasants Revolt. </w:t>
      </w:r>
      <w:r w:rsidR="00DD3FE3">
        <w:t xml:space="preserve"> </w:t>
      </w:r>
      <w:proofErr w:type="gramStart"/>
      <w:r w:rsidR="00E10ABC">
        <w:t>It is clear that the</w:t>
      </w:r>
      <w:proofErr w:type="gramEnd"/>
      <w:r w:rsidR="00E10ABC">
        <w:t xml:space="preserve"> ruling class were not happy with this change in circumstances. One </w:t>
      </w:r>
      <w:proofErr w:type="gramStart"/>
      <w:r w:rsidR="00E10ABC">
        <w:t>very obvious</w:t>
      </w:r>
      <w:proofErr w:type="gramEnd"/>
      <w:r w:rsidR="00E10ABC">
        <w:t xml:space="preserve"> example of the displeasure of the ruling class can be seen with the Statute of Labourers 1351. The ruling classes of England set the wages of the working class in law, and legally prevented the working cla</w:t>
      </w:r>
      <w:r w:rsidR="00DF548B">
        <w:t>ss from demanding higher wages.</w:t>
      </w:r>
      <w:r w:rsidR="00DF548B">
        <w:rPr>
          <w:rStyle w:val="FootnoteReference"/>
        </w:rPr>
        <w:footnoteReference w:id="16"/>
      </w:r>
      <w:r w:rsidR="00DF548B">
        <w:t xml:space="preserve"> </w:t>
      </w:r>
    </w:p>
    <w:p w:rsidR="002328C7" w:rsidRDefault="002328C7" w:rsidP="00EA4BE7">
      <w:pPr>
        <w:spacing w:line="480" w:lineRule="auto"/>
      </w:pPr>
      <w:r>
        <w:t xml:space="preserve">The Black Death had a huge effect on religion in medieval Europe. One of the big consequences of the Black Death was religious persecution. When the Black Death struck Europe, people struggled to explain its cause, their lack of medical knowledge meant that most believed it to be a punishment from God. In </w:t>
      </w:r>
      <w:proofErr w:type="gramStart"/>
      <w:r>
        <w:rPr>
          <w:i/>
        </w:rPr>
        <w:t>The</w:t>
      </w:r>
      <w:proofErr w:type="gramEnd"/>
      <w:r>
        <w:rPr>
          <w:i/>
        </w:rPr>
        <w:t xml:space="preserve"> Black Death </w:t>
      </w:r>
      <w:r>
        <w:t xml:space="preserve">by </w:t>
      </w:r>
      <w:proofErr w:type="spellStart"/>
      <w:r>
        <w:t>Williman</w:t>
      </w:r>
      <w:proofErr w:type="spellEnd"/>
      <w:r>
        <w:t>, it is mentioned that the Black Death was God’s plan.</w:t>
      </w:r>
      <w:r>
        <w:rPr>
          <w:rStyle w:val="FootnoteReference"/>
        </w:rPr>
        <w:footnoteReference w:id="17"/>
      </w:r>
      <w:r w:rsidR="00B712B2">
        <w:t xml:space="preserve"> It is </w:t>
      </w:r>
      <w:r w:rsidR="00B712B2">
        <w:lastRenderedPageBreak/>
        <w:t>mentioned that ‘the Black Death was a divine punishment for human evil and a sign of the last days’.</w:t>
      </w:r>
      <w:r w:rsidR="00B712B2">
        <w:rPr>
          <w:rStyle w:val="FootnoteReference"/>
        </w:rPr>
        <w:footnoteReference w:id="18"/>
      </w:r>
      <w:r w:rsidR="00B712B2">
        <w:t xml:space="preserve"> However, not every person believed that it was punishment from God, some believed that it was instead a conspiracy by the Jewish people. </w:t>
      </w:r>
      <w:r w:rsidR="000455A3">
        <w:t>Throughout the medieval period there was a large amount of antisemitism prevalent across Europe, this was especially true in the 14</w:t>
      </w:r>
      <w:r w:rsidR="000455A3" w:rsidRPr="000455A3">
        <w:rPr>
          <w:vertAlign w:val="superscript"/>
        </w:rPr>
        <w:t>th</w:t>
      </w:r>
      <w:r w:rsidR="000455A3">
        <w:t xml:space="preserve"> century. At this time the Jews lived in separate areas, often forcefully separated from the rest of society. The Jews also had many religious laws that involved cleanliness.</w:t>
      </w:r>
      <w:r w:rsidR="000455A3">
        <w:rPr>
          <w:rStyle w:val="FootnoteReference"/>
        </w:rPr>
        <w:footnoteReference w:id="19"/>
      </w:r>
      <w:r w:rsidR="000455A3">
        <w:t xml:space="preserve"> These two factors could be a possible reason as to why the Jews were not devastated by the Black Death in the same way everybody else in Europe was. It was possibly because of this that the Jews were used by many as a scapegoat for the plague. </w:t>
      </w:r>
      <w:proofErr w:type="gramStart"/>
      <w:r w:rsidR="000455A3">
        <w:t>In order for</w:t>
      </w:r>
      <w:proofErr w:type="gramEnd"/>
      <w:r w:rsidR="000455A3">
        <w:t xml:space="preserve"> God to be punishing them, the people of medieval Europe would have to have done something great wrong, it would have been far easier for these people to simply blame it upon a Jewish conspiracy instead. It was believed by these people that the Jews were going around Europe poisoning wells.</w:t>
      </w:r>
      <w:r w:rsidR="00E96971">
        <w:rPr>
          <w:rStyle w:val="FootnoteReference"/>
        </w:rPr>
        <w:footnoteReference w:id="20"/>
      </w:r>
      <w:r w:rsidR="000455A3">
        <w:t xml:space="preserve"> </w:t>
      </w:r>
      <w:proofErr w:type="gramStart"/>
      <w:r w:rsidR="000455A3">
        <w:t>In order to</w:t>
      </w:r>
      <w:proofErr w:type="gramEnd"/>
      <w:r w:rsidR="000455A3">
        <w:t xml:space="preserve"> prove this theory, many Jews were taken prisoner and confessions for these crimes were taken under torture. The response to this was violent and soon spread throughout Europe. Jewish communities were attacked in many cities, with the entire populations often being destroyed.</w:t>
      </w:r>
      <w:r w:rsidR="00E96971">
        <w:rPr>
          <w:rStyle w:val="FootnoteReference"/>
        </w:rPr>
        <w:footnoteReference w:id="21"/>
      </w:r>
      <w:r w:rsidR="000455A3">
        <w:t xml:space="preserve"> The most common method for killing the Jews was to burn them alive, and these occurred often in cities that had not yet been hit by the Black Death. </w:t>
      </w:r>
    </w:p>
    <w:p w:rsidR="002738FA" w:rsidRDefault="002738FA" w:rsidP="00EA4BE7">
      <w:pPr>
        <w:spacing w:line="480" w:lineRule="auto"/>
      </w:pPr>
      <w:r>
        <w:t xml:space="preserve">When the Black Death struck </w:t>
      </w:r>
      <w:proofErr w:type="gramStart"/>
      <w:r>
        <w:t>Europe</w:t>
      </w:r>
      <w:proofErr w:type="gramEnd"/>
      <w:r>
        <w:t xml:space="preserve"> there were countless people who were sick and needed tending. This was a difficult job as the sick were contagious and those that would care for them were the most likely to also fall sick. The task of caring for the sick and administering the last rights to those that were dying fell to the church, so the effects of the plague hit the church hard. Many clergy died </w:t>
      </w:r>
      <w:proofErr w:type="gramStart"/>
      <w:r>
        <w:t>as a result of</w:t>
      </w:r>
      <w:proofErr w:type="gramEnd"/>
      <w:r>
        <w:t xml:space="preserve"> tending the sick and administering the last rights. On the 10</w:t>
      </w:r>
      <w:r w:rsidRPr="002738FA">
        <w:rPr>
          <w:vertAlign w:val="superscript"/>
        </w:rPr>
        <w:t>th</w:t>
      </w:r>
      <w:r>
        <w:t xml:space="preserve"> January 1349 the Bishop of Bath told his clergy that it would be ok for them to give an emergency confession to any lay person available, even a woman if there is no man available. The Bishop describes how many </w:t>
      </w:r>
      <w:r>
        <w:lastRenderedPageBreak/>
        <w:t>were ‘bereft of a priest’ as new priests could not be found ‘to take on the responsibility for those places and visit the sick and administer the sacraments of the church to them’.</w:t>
      </w:r>
      <w:r>
        <w:rPr>
          <w:rStyle w:val="FootnoteReference"/>
        </w:rPr>
        <w:footnoteReference w:id="22"/>
      </w:r>
      <w:r>
        <w:t xml:space="preserve">  This shortage of lay people continued throughout the period of the Black Death, and by the end of the diseases run, the church was suffering from a profound lack of priests. </w:t>
      </w:r>
      <w:r w:rsidR="002E6C65">
        <w:t xml:space="preserve">This caused many issues for the church, the first being that very seriously undermined the authority of the church. For almost the entire medieval period the church ruled supreme over Europe. They did this through propagating the idea of it being their divine right to do so. However, most of the people in Europe believed that the Black Death was caused by God punishing them. For the church to lose so many of their numbers could only mean that the either the church had sinned in some profound way, or that they were wrong about what they preached. This caused many of the people of medieval Europe to begin to question religion and the authority of the church. This was made even worse by the fact that many of the new replacements within the church lacked </w:t>
      </w:r>
      <w:r w:rsidR="00624550">
        <w:t xml:space="preserve">the required training. In 1350 sixty clerks at the age of twenty were ordained as priests because of a chronic shortage of priests in that area, the previous age had been </w:t>
      </w:r>
      <w:proofErr w:type="gramStart"/>
      <w:r w:rsidR="00624550">
        <w:t>twenty five</w:t>
      </w:r>
      <w:proofErr w:type="gramEnd"/>
      <w:r w:rsidR="00624550">
        <w:t>.</w:t>
      </w:r>
      <w:r w:rsidR="00624550">
        <w:rPr>
          <w:rStyle w:val="FootnoteReference"/>
        </w:rPr>
        <w:footnoteReference w:id="23"/>
      </w:r>
      <w:r w:rsidR="00E5686F">
        <w:t xml:space="preserve"> These young and inexperienced members of the clergy further diluted the power of the church and extent of its influence over the people</w:t>
      </w:r>
      <w:r w:rsidR="002E6C65">
        <w:t xml:space="preserve">. </w:t>
      </w:r>
      <w:r w:rsidR="002951D8">
        <w:t xml:space="preserve">The decreasing church influence and authority can be proven with all the wars that occurred in Europe in this period. With the church not able to keep the various countries in line, many of them made war with each other. </w:t>
      </w:r>
    </w:p>
    <w:p w:rsidR="00AF34A6" w:rsidRDefault="00AF34A6" w:rsidP="00EA4BE7">
      <w:pPr>
        <w:spacing w:line="480" w:lineRule="auto"/>
      </w:pPr>
      <w:r>
        <w:t xml:space="preserve">Another new aspect of religion that developed </w:t>
      </w:r>
      <w:proofErr w:type="gramStart"/>
      <w:r>
        <w:t>as a result of</w:t>
      </w:r>
      <w:proofErr w:type="gramEnd"/>
      <w:r>
        <w:t xml:space="preserve"> the Black Death was the rise of the flagellants. The flagellants believed that God was punishing the people of medieval Europe by making them suffer. They hoped that by suffering so much in the act of whipping themselves that they would be able to take on some of that suffering themselves </w:t>
      </w:r>
      <w:proofErr w:type="gramStart"/>
      <w:r>
        <w:t>in order to</w:t>
      </w:r>
      <w:proofErr w:type="gramEnd"/>
      <w:r>
        <w:t xml:space="preserve"> save humanity.</w:t>
      </w:r>
      <w:r>
        <w:rPr>
          <w:rStyle w:val="FootnoteReference"/>
        </w:rPr>
        <w:footnoteReference w:id="24"/>
      </w:r>
      <w:r>
        <w:t xml:space="preserve"> </w:t>
      </w:r>
    </w:p>
    <w:p w:rsidR="00E742A2" w:rsidRDefault="00E742A2" w:rsidP="00EA4BE7">
      <w:pPr>
        <w:spacing w:line="480" w:lineRule="auto"/>
      </w:pPr>
      <w:r>
        <w:t xml:space="preserve">It was in this period that the idea of purgatory properly began. The people of medieval Europe did not like the idea that their family and friends could be sent straight to Hell because there was no </w:t>
      </w:r>
      <w:r>
        <w:lastRenderedPageBreak/>
        <w:t>priest to receive their confession when they died. Purgatory became a very popular concept that allowed people to escape this fear. A permanent change to religion from that period on to today because of the Black Death.</w:t>
      </w:r>
    </w:p>
    <w:p w:rsidR="00AF34A6" w:rsidRDefault="00AF34A6" w:rsidP="00EA4BE7">
      <w:pPr>
        <w:spacing w:line="480" w:lineRule="auto"/>
      </w:pPr>
      <w:r>
        <w:t xml:space="preserve">After all the suffering that was brought about by the Black Death, the people of medieval Europe had a newfound </w:t>
      </w:r>
      <w:r w:rsidR="00F95D8D">
        <w:t xml:space="preserve">fascination with death. One aspect of death that particularly interested the people was the idea of dying well. So many died in the time of the Black Death that many were unable to be given their last rights and have a chance to confess their sins. The idea of family and friends being sent to Hell because of this was scary to the people of the time, and this led to the formation of something called the </w:t>
      </w:r>
      <w:r w:rsidR="00F95D8D">
        <w:rPr>
          <w:i/>
        </w:rPr>
        <w:t xml:space="preserve">Ars </w:t>
      </w:r>
      <w:proofErr w:type="spellStart"/>
      <w:r w:rsidR="00F95D8D">
        <w:rPr>
          <w:i/>
        </w:rPr>
        <w:t>Moriendi</w:t>
      </w:r>
      <w:proofErr w:type="spellEnd"/>
      <w:r w:rsidR="00F95D8D">
        <w:t xml:space="preserve">. The </w:t>
      </w:r>
      <w:r w:rsidR="00F95D8D">
        <w:rPr>
          <w:i/>
        </w:rPr>
        <w:t xml:space="preserve">Ars </w:t>
      </w:r>
      <w:proofErr w:type="spellStart"/>
      <w:r w:rsidR="00F95D8D">
        <w:rPr>
          <w:i/>
        </w:rPr>
        <w:t>Moriendi</w:t>
      </w:r>
      <w:proofErr w:type="spellEnd"/>
      <w:r w:rsidR="00F95D8D">
        <w:rPr>
          <w:i/>
        </w:rPr>
        <w:t xml:space="preserve"> </w:t>
      </w:r>
      <w:r w:rsidR="00F95D8D">
        <w:t>is basically a manual on how to die well.</w:t>
      </w:r>
      <w:r w:rsidR="00AC3D67">
        <w:t xml:space="preserve"> It was written in the early part of the 15</w:t>
      </w:r>
      <w:r w:rsidR="00AC3D67" w:rsidRPr="00AC3D67">
        <w:rPr>
          <w:vertAlign w:val="superscript"/>
        </w:rPr>
        <w:t>th</w:t>
      </w:r>
      <w:r w:rsidR="00AC3D67">
        <w:t xml:space="preserve"> century, so it was almost immediately after the Black Death.</w:t>
      </w:r>
      <w:r w:rsidR="00AC3D67">
        <w:rPr>
          <w:rStyle w:val="FootnoteReference"/>
        </w:rPr>
        <w:footnoteReference w:id="25"/>
      </w:r>
      <w:r w:rsidR="00F95D8D">
        <w:t xml:space="preserve"> In the book called </w:t>
      </w:r>
      <w:r w:rsidR="00F95D8D">
        <w:rPr>
          <w:i/>
        </w:rPr>
        <w:t xml:space="preserve">The Black Death </w:t>
      </w:r>
      <w:r w:rsidR="00F95D8D">
        <w:t xml:space="preserve">by Rosemary </w:t>
      </w:r>
      <w:proofErr w:type="spellStart"/>
      <w:r w:rsidR="00F95D8D">
        <w:t>Horrox</w:t>
      </w:r>
      <w:proofErr w:type="spellEnd"/>
      <w:r w:rsidR="00F95D8D">
        <w:t xml:space="preserve">, the </w:t>
      </w:r>
      <w:r w:rsidR="00F95D8D">
        <w:rPr>
          <w:i/>
        </w:rPr>
        <w:t xml:space="preserve">Ars </w:t>
      </w:r>
      <w:proofErr w:type="spellStart"/>
      <w:r w:rsidR="00F95D8D">
        <w:rPr>
          <w:i/>
        </w:rPr>
        <w:t>Moriendi</w:t>
      </w:r>
      <w:proofErr w:type="spellEnd"/>
      <w:r w:rsidR="00F95D8D">
        <w:rPr>
          <w:i/>
        </w:rPr>
        <w:t xml:space="preserve"> </w:t>
      </w:r>
      <w:r w:rsidR="00F95D8D">
        <w:t>is described as a handbook that details ‘the individuals proper conduct during the process of dying’.</w:t>
      </w:r>
      <w:r w:rsidR="00F95D8D">
        <w:rPr>
          <w:rStyle w:val="FootnoteReference"/>
        </w:rPr>
        <w:footnoteReference w:id="26"/>
      </w:r>
      <w:r w:rsidR="00F95D8D">
        <w:t xml:space="preserve"> This book became hugely popular and quickly spread throughout Europe, even becoming one of the first texts to be printed on a printing press. </w:t>
      </w:r>
      <w:r w:rsidR="00F365AC">
        <w:t>This text allowed people to standardise how they would die, with set rules and procedures to follow. It also provided a guide for any new and inexperienced priests to follow.</w:t>
      </w:r>
      <w:r w:rsidR="00F365AC">
        <w:rPr>
          <w:rStyle w:val="FootnoteReference"/>
        </w:rPr>
        <w:footnoteReference w:id="27"/>
      </w:r>
      <w:r w:rsidR="00F365AC">
        <w:t xml:space="preserve"> The </w:t>
      </w:r>
      <w:r w:rsidR="00F365AC">
        <w:rPr>
          <w:i/>
        </w:rPr>
        <w:t xml:space="preserve">Ars </w:t>
      </w:r>
      <w:proofErr w:type="spellStart"/>
      <w:r w:rsidR="00F365AC">
        <w:rPr>
          <w:i/>
        </w:rPr>
        <w:t>Moriendi</w:t>
      </w:r>
      <w:proofErr w:type="spellEnd"/>
      <w:r w:rsidR="00F365AC">
        <w:rPr>
          <w:i/>
        </w:rPr>
        <w:t xml:space="preserve"> </w:t>
      </w:r>
      <w:r w:rsidR="00F365AC">
        <w:t xml:space="preserve">also had a second version that consisted of pictures instead of text, this could possibly have been used for the illiterate family of the dying person to follow. </w:t>
      </w:r>
    </w:p>
    <w:p w:rsidR="00F365AC" w:rsidRDefault="00EA4BE7" w:rsidP="00EA4BE7">
      <w:pPr>
        <w:spacing w:line="480" w:lineRule="auto"/>
      </w:pPr>
      <w:r>
        <w:t>Another example of how this fascination with death was apparent with</w:t>
      </w:r>
      <w:r w:rsidR="00E742A2">
        <w:t>in</w:t>
      </w:r>
      <w:r>
        <w:t xml:space="preserve"> medieval society is with the </w:t>
      </w:r>
      <w:proofErr w:type="spellStart"/>
      <w:r w:rsidRPr="00EA4BE7">
        <w:rPr>
          <w:i/>
        </w:rPr>
        <w:t>Danse</w:t>
      </w:r>
      <w:proofErr w:type="spellEnd"/>
      <w:r w:rsidRPr="00EA4BE7">
        <w:rPr>
          <w:i/>
        </w:rPr>
        <w:t xml:space="preserve"> </w:t>
      </w:r>
      <w:proofErr w:type="spellStart"/>
      <w:r w:rsidRPr="00EA4BE7">
        <w:rPr>
          <w:i/>
        </w:rPr>
        <w:t>Marabre</w:t>
      </w:r>
      <w:proofErr w:type="spellEnd"/>
      <w:r>
        <w:t>. This piece of artwork always contained images of people from different walks of life dancing to their graves.</w:t>
      </w:r>
      <w:r w:rsidR="000D3ACE">
        <w:rPr>
          <w:rStyle w:val="FootnoteReference"/>
        </w:rPr>
        <w:footnoteReference w:id="28"/>
      </w:r>
      <w:r>
        <w:t xml:space="preserve"> The </w:t>
      </w:r>
      <w:proofErr w:type="spellStart"/>
      <w:r w:rsidRPr="00E742A2">
        <w:rPr>
          <w:i/>
        </w:rPr>
        <w:t>Danse</w:t>
      </w:r>
      <w:proofErr w:type="spellEnd"/>
      <w:r w:rsidRPr="00E742A2">
        <w:rPr>
          <w:i/>
        </w:rPr>
        <w:t xml:space="preserve"> Macabre</w:t>
      </w:r>
      <w:r>
        <w:t xml:space="preserve"> often had accompanying text that describes the various sins of each person. The moral of the </w:t>
      </w:r>
      <w:proofErr w:type="spellStart"/>
      <w:r w:rsidRPr="00E742A2">
        <w:rPr>
          <w:i/>
        </w:rPr>
        <w:t>Danse</w:t>
      </w:r>
      <w:proofErr w:type="spellEnd"/>
      <w:r w:rsidRPr="00E742A2">
        <w:rPr>
          <w:i/>
        </w:rPr>
        <w:t xml:space="preserve"> Macabre</w:t>
      </w:r>
      <w:r>
        <w:t xml:space="preserve"> was to remind people to avoid any </w:t>
      </w:r>
      <w:r w:rsidR="00E742A2">
        <w:t xml:space="preserve">sins </w:t>
      </w:r>
      <w:r w:rsidR="00E742A2">
        <w:lastRenderedPageBreak/>
        <w:t>and live their lives well.</w:t>
      </w:r>
      <w:r w:rsidR="000D3ACE">
        <w:rPr>
          <w:rStyle w:val="FootnoteReference"/>
        </w:rPr>
        <w:footnoteReference w:id="29"/>
      </w:r>
      <w:r w:rsidR="00E742A2">
        <w:t xml:space="preserve"> The </w:t>
      </w:r>
      <w:proofErr w:type="spellStart"/>
      <w:r w:rsidR="00E742A2" w:rsidRPr="00E742A2">
        <w:rPr>
          <w:i/>
        </w:rPr>
        <w:t>Danse</w:t>
      </w:r>
      <w:proofErr w:type="spellEnd"/>
      <w:r w:rsidR="00E742A2" w:rsidRPr="00E742A2">
        <w:rPr>
          <w:i/>
        </w:rPr>
        <w:t xml:space="preserve"> Macabre</w:t>
      </w:r>
      <w:r w:rsidR="00E742A2">
        <w:t xml:space="preserve"> often showed the people from the lowliest walks of life being most readily accepted into Heaven. This was done </w:t>
      </w:r>
      <w:proofErr w:type="gramStart"/>
      <w:r w:rsidR="00E742A2">
        <w:t>in order to</w:t>
      </w:r>
      <w:proofErr w:type="gramEnd"/>
      <w:r w:rsidR="00E742A2">
        <w:t xml:space="preserve"> promote the idea of being humble and to avoid being vain.</w:t>
      </w:r>
      <w:r w:rsidR="000D3ACE">
        <w:rPr>
          <w:rStyle w:val="FootnoteReference"/>
        </w:rPr>
        <w:footnoteReference w:id="30"/>
      </w:r>
      <w:r w:rsidR="00E742A2">
        <w:t xml:space="preserve"> </w:t>
      </w:r>
    </w:p>
    <w:p w:rsidR="00E742A2" w:rsidRPr="00171A10" w:rsidRDefault="00E742A2" w:rsidP="00EA4BE7">
      <w:pPr>
        <w:spacing w:line="480" w:lineRule="auto"/>
      </w:pPr>
      <w:r>
        <w:t xml:space="preserve">In conclusion, </w:t>
      </w:r>
      <w:proofErr w:type="gramStart"/>
      <w:r>
        <w:t>it is clear that the</w:t>
      </w:r>
      <w:proofErr w:type="gramEnd"/>
      <w:r>
        <w:t xml:space="preserve"> Black Death had many large and far reaching effects both culturally and in religion that are still apparent today. The Black Death was one of many issues that caused a great deal of suffering for the people of medieval Europe in the 14</w:t>
      </w:r>
      <w:r w:rsidRPr="00E742A2">
        <w:rPr>
          <w:vertAlign w:val="superscript"/>
        </w:rPr>
        <w:t>th</w:t>
      </w:r>
      <w:r>
        <w:t xml:space="preserve"> century. </w:t>
      </w:r>
      <w:r w:rsidR="00171A10">
        <w:t xml:space="preserve">It led to massive changes for the people of Europe, leading to the end of serfdom and feudalism. The power of nobility began to wane in this period, and greater powers and opportunities came to the working class. The Black Death also had a huge effect upon religion in medieval Europe. It fundamentally weakened the foundations of the church by wiping out a large proportion of the lay people of Europe. This left many questioning the power of the church, and from this moment onwards the church had far less influence with the various nations of Europe. The Black Death also led to an increased fascination with death, as medieval people were reminded so forcefully of their own mortality. This caused new art and ideas to come forward, with the rise of the </w:t>
      </w:r>
      <w:r w:rsidR="00171A10">
        <w:rPr>
          <w:i/>
        </w:rPr>
        <w:t xml:space="preserve">Ars </w:t>
      </w:r>
      <w:proofErr w:type="spellStart"/>
      <w:r w:rsidR="00171A10">
        <w:rPr>
          <w:i/>
        </w:rPr>
        <w:t>Moriendi</w:t>
      </w:r>
      <w:proofErr w:type="spellEnd"/>
      <w:r w:rsidR="00171A10">
        <w:rPr>
          <w:i/>
        </w:rPr>
        <w:t xml:space="preserve"> </w:t>
      </w:r>
      <w:r w:rsidR="00171A10">
        <w:t xml:space="preserve">and </w:t>
      </w:r>
      <w:proofErr w:type="spellStart"/>
      <w:r w:rsidR="00171A10">
        <w:rPr>
          <w:i/>
        </w:rPr>
        <w:t>Danse</w:t>
      </w:r>
      <w:proofErr w:type="spellEnd"/>
      <w:r w:rsidR="00171A10">
        <w:rPr>
          <w:i/>
        </w:rPr>
        <w:t xml:space="preserve"> Macabre</w:t>
      </w:r>
      <w:r w:rsidR="00171A10">
        <w:t>. While it can be argued that the Black Death is just a part of many events that took place across the 14</w:t>
      </w:r>
      <w:r w:rsidR="00171A10" w:rsidRPr="00171A10">
        <w:rPr>
          <w:vertAlign w:val="superscript"/>
        </w:rPr>
        <w:t>th</w:t>
      </w:r>
      <w:r w:rsidR="00171A10">
        <w:t xml:space="preserve"> century that caused a great deal of suffering, it is also clear that the </w:t>
      </w:r>
      <w:r w:rsidR="00295BB8">
        <w:t xml:space="preserve">Black Death was by far the worst. It was the Black Death that really brought about the sweeping social, economic, cultural and religious reforms towards the latter part of the medieval period in Europe. </w:t>
      </w:r>
    </w:p>
    <w:p w:rsidR="00E06809" w:rsidRDefault="00E06809" w:rsidP="005B3A3F"/>
    <w:p w:rsidR="000455A3" w:rsidRPr="002328C7" w:rsidRDefault="000455A3" w:rsidP="005B3A3F"/>
    <w:p w:rsidR="000812C0" w:rsidRDefault="000812C0" w:rsidP="005B3A3F"/>
    <w:p w:rsidR="00F365AC" w:rsidRDefault="00F365AC" w:rsidP="005B3A3F"/>
    <w:p w:rsidR="00F365AC" w:rsidRDefault="00F365AC" w:rsidP="005B3A3F"/>
    <w:p w:rsidR="00F365AC" w:rsidRDefault="00F365AC" w:rsidP="005B3A3F"/>
    <w:p w:rsidR="00F365AC" w:rsidRDefault="00F365AC" w:rsidP="005B3A3F"/>
    <w:p w:rsidR="00E036BB" w:rsidRDefault="00E036BB" w:rsidP="005B3A3F"/>
    <w:p w:rsidR="00E036BB" w:rsidRDefault="00E036BB" w:rsidP="005B3A3F"/>
    <w:p w:rsidR="00F365AC" w:rsidRDefault="00F365AC" w:rsidP="005B3A3F"/>
    <w:p w:rsidR="000812C0" w:rsidRDefault="000812C0" w:rsidP="000D3ACE">
      <w:pPr>
        <w:spacing w:line="480" w:lineRule="auto"/>
        <w:rPr>
          <w:u w:val="single"/>
        </w:rPr>
      </w:pPr>
      <w:r>
        <w:rPr>
          <w:u w:val="single"/>
        </w:rPr>
        <w:t>Bibliography</w:t>
      </w:r>
    </w:p>
    <w:p w:rsidR="000812C0" w:rsidRDefault="000812C0" w:rsidP="000D3ACE">
      <w:pPr>
        <w:spacing w:line="480" w:lineRule="auto"/>
        <w:rPr>
          <w:u w:val="single"/>
        </w:rPr>
      </w:pPr>
    </w:p>
    <w:p w:rsidR="00AC3D67" w:rsidRDefault="00AC3D67" w:rsidP="000D3ACE">
      <w:pPr>
        <w:pStyle w:val="ListParagraph"/>
        <w:numPr>
          <w:ilvl w:val="0"/>
          <w:numId w:val="1"/>
        </w:numPr>
        <w:spacing w:line="480" w:lineRule="auto"/>
      </w:pPr>
      <w:proofErr w:type="spellStart"/>
      <w:r>
        <w:t>Beaty</w:t>
      </w:r>
      <w:proofErr w:type="spellEnd"/>
      <w:r>
        <w:t xml:space="preserve"> N, A Study of the Literary Tradition of the Ars </w:t>
      </w:r>
      <w:proofErr w:type="spellStart"/>
      <w:r>
        <w:t>Moriendi</w:t>
      </w:r>
      <w:proofErr w:type="spellEnd"/>
      <w:r>
        <w:t xml:space="preserve"> in England. </w:t>
      </w:r>
      <w:r>
        <w:rPr>
          <w:i/>
        </w:rPr>
        <w:t xml:space="preserve">‘The Craft of Dying’ </w:t>
      </w:r>
      <w:r>
        <w:t xml:space="preserve">(Yale: Yale University Press, 1970). </w:t>
      </w:r>
    </w:p>
    <w:p w:rsidR="000D3ACE" w:rsidRDefault="000D3ACE" w:rsidP="000D3ACE">
      <w:pPr>
        <w:pStyle w:val="ListParagraph"/>
        <w:numPr>
          <w:ilvl w:val="0"/>
          <w:numId w:val="1"/>
        </w:numPr>
        <w:spacing w:line="480" w:lineRule="auto"/>
      </w:pPr>
      <w:r>
        <w:t xml:space="preserve">Clark J. </w:t>
      </w:r>
      <w:r>
        <w:rPr>
          <w:i/>
        </w:rPr>
        <w:t xml:space="preserve">‘The Dance of death in the Middle Ages and the Renaissance’ </w:t>
      </w:r>
      <w:r>
        <w:t>(London: Jackson &amp; Co, 1950).</w:t>
      </w:r>
      <w:r>
        <w:rPr>
          <w:i/>
        </w:rPr>
        <w:t xml:space="preserve"> </w:t>
      </w:r>
    </w:p>
    <w:p w:rsidR="00100C67" w:rsidRDefault="00100C67" w:rsidP="000D3ACE">
      <w:pPr>
        <w:pStyle w:val="ListParagraph"/>
        <w:numPr>
          <w:ilvl w:val="0"/>
          <w:numId w:val="1"/>
        </w:numPr>
        <w:spacing w:line="480" w:lineRule="auto"/>
      </w:pPr>
      <w:r>
        <w:t xml:space="preserve">Gottfried R, Natural and Human Disaster in Medieval Europe. </w:t>
      </w:r>
      <w:r>
        <w:rPr>
          <w:i/>
        </w:rPr>
        <w:t xml:space="preserve">‘The Black Death’ </w:t>
      </w:r>
      <w:r>
        <w:t>(London: Robert Hale Limited, 1984).</w:t>
      </w:r>
    </w:p>
    <w:p w:rsidR="00E036BB" w:rsidRDefault="00E036BB" w:rsidP="000D3ACE">
      <w:pPr>
        <w:pStyle w:val="ListParagraph"/>
        <w:numPr>
          <w:ilvl w:val="0"/>
          <w:numId w:val="1"/>
        </w:numPr>
        <w:spacing w:line="480" w:lineRule="auto"/>
      </w:pPr>
      <w:proofErr w:type="spellStart"/>
      <w:r>
        <w:t>Horrox</w:t>
      </w:r>
      <w:proofErr w:type="spellEnd"/>
      <w:r>
        <w:t xml:space="preserve"> R. </w:t>
      </w:r>
      <w:r>
        <w:rPr>
          <w:i/>
        </w:rPr>
        <w:t xml:space="preserve">‘The Black Death’ </w:t>
      </w:r>
      <w:r>
        <w:t xml:space="preserve">(Manchester: Manchester University Press, 1994). </w:t>
      </w:r>
    </w:p>
    <w:p w:rsidR="00DD3FE3" w:rsidRDefault="00DD3FE3" w:rsidP="000D3ACE">
      <w:pPr>
        <w:pStyle w:val="ListParagraph"/>
        <w:numPr>
          <w:ilvl w:val="0"/>
          <w:numId w:val="1"/>
        </w:numPr>
        <w:spacing w:line="480" w:lineRule="auto"/>
      </w:pPr>
      <w:r>
        <w:t xml:space="preserve">Ormrod M. </w:t>
      </w:r>
      <w:r>
        <w:rPr>
          <w:i/>
        </w:rPr>
        <w:t xml:space="preserve">‘The Black Death in England’ </w:t>
      </w:r>
      <w:r>
        <w:t xml:space="preserve">(Lincolnshire: </w:t>
      </w:r>
      <w:proofErr w:type="spellStart"/>
      <w:r>
        <w:t>Woolnough</w:t>
      </w:r>
      <w:proofErr w:type="spellEnd"/>
      <w:r>
        <w:t xml:space="preserve"> Bookbinding Ltd, 1996)</w:t>
      </w:r>
      <w:r w:rsidR="00E96971">
        <w:t>.</w:t>
      </w:r>
    </w:p>
    <w:p w:rsidR="00E96971" w:rsidRDefault="00E96971" w:rsidP="000D3ACE">
      <w:pPr>
        <w:pStyle w:val="ListParagraph"/>
        <w:numPr>
          <w:ilvl w:val="0"/>
          <w:numId w:val="1"/>
        </w:numPr>
        <w:spacing w:line="480" w:lineRule="auto"/>
      </w:pPr>
      <w:r>
        <w:t xml:space="preserve">Porter S. </w:t>
      </w:r>
      <w:r>
        <w:rPr>
          <w:i/>
        </w:rPr>
        <w:t xml:space="preserve">‘The Great Plague’ </w:t>
      </w:r>
      <w:r>
        <w:t xml:space="preserve">(Gloucester: Amberley Publishing plc, 2009). </w:t>
      </w:r>
    </w:p>
    <w:p w:rsidR="000812C0" w:rsidRDefault="000812C0" w:rsidP="000D3ACE">
      <w:pPr>
        <w:pStyle w:val="ListParagraph"/>
        <w:numPr>
          <w:ilvl w:val="0"/>
          <w:numId w:val="1"/>
        </w:numPr>
        <w:spacing w:line="480" w:lineRule="auto"/>
      </w:pPr>
      <w:proofErr w:type="spellStart"/>
      <w:r>
        <w:t>Williman</w:t>
      </w:r>
      <w:proofErr w:type="spellEnd"/>
      <w:r>
        <w:t xml:space="preserve"> D, </w:t>
      </w:r>
      <w:r w:rsidR="00720B04">
        <w:t xml:space="preserve">The Impact of the Fourteenth Century Plague. </w:t>
      </w:r>
      <w:r w:rsidR="00720B04">
        <w:rPr>
          <w:i/>
        </w:rPr>
        <w:t xml:space="preserve">‘The Black Death’ </w:t>
      </w:r>
      <w:r w:rsidR="00720B04">
        <w:t xml:space="preserve">(Binghamton: </w:t>
      </w:r>
      <w:proofErr w:type="spellStart"/>
      <w:r w:rsidR="00720B04">
        <w:t>Center</w:t>
      </w:r>
      <w:proofErr w:type="spellEnd"/>
      <w:r w:rsidR="00720B04">
        <w:t xml:space="preserve"> for Medieval &amp; Early Renaissance Studies, 1982). </w:t>
      </w:r>
    </w:p>
    <w:p w:rsidR="00E96971" w:rsidRPr="000812C0" w:rsidRDefault="00E96971" w:rsidP="000D3ACE">
      <w:pPr>
        <w:pStyle w:val="ListParagraph"/>
        <w:numPr>
          <w:ilvl w:val="0"/>
          <w:numId w:val="1"/>
        </w:numPr>
        <w:spacing w:line="480" w:lineRule="auto"/>
      </w:pPr>
      <w:r>
        <w:t xml:space="preserve">Ziegler P. </w:t>
      </w:r>
      <w:r>
        <w:rPr>
          <w:i/>
        </w:rPr>
        <w:t xml:space="preserve">‘The Black Death’ </w:t>
      </w:r>
      <w:r>
        <w:t xml:space="preserve">(London: Sutton, 1991). </w:t>
      </w:r>
    </w:p>
    <w:p w:rsidR="007F3032" w:rsidRPr="005B3A3F" w:rsidRDefault="007F3032" w:rsidP="000D3ACE">
      <w:pPr>
        <w:spacing w:line="480" w:lineRule="auto"/>
      </w:pPr>
      <w:r>
        <w:t xml:space="preserve"> </w:t>
      </w:r>
    </w:p>
    <w:p w:rsidR="005B3A3F" w:rsidRPr="005B3A3F" w:rsidRDefault="005B3A3F" w:rsidP="000D3ACE">
      <w:pPr>
        <w:spacing w:line="480" w:lineRule="auto"/>
        <w:jc w:val="center"/>
        <w:rPr>
          <w:u w:val="single"/>
        </w:rPr>
      </w:pPr>
    </w:p>
    <w:sectPr w:rsidR="005B3A3F" w:rsidRPr="005B3A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58F" w:rsidRDefault="000C058F" w:rsidP="004656A3">
      <w:pPr>
        <w:spacing w:after="0" w:line="240" w:lineRule="auto"/>
      </w:pPr>
      <w:r>
        <w:separator/>
      </w:r>
    </w:p>
  </w:endnote>
  <w:endnote w:type="continuationSeparator" w:id="0">
    <w:p w:rsidR="000C058F" w:rsidRDefault="000C058F" w:rsidP="00465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58F" w:rsidRDefault="000C058F" w:rsidP="004656A3">
      <w:pPr>
        <w:spacing w:after="0" w:line="240" w:lineRule="auto"/>
      </w:pPr>
      <w:r>
        <w:separator/>
      </w:r>
    </w:p>
  </w:footnote>
  <w:footnote w:type="continuationSeparator" w:id="0">
    <w:p w:rsidR="000C058F" w:rsidRDefault="000C058F" w:rsidP="004656A3">
      <w:pPr>
        <w:spacing w:after="0" w:line="240" w:lineRule="auto"/>
      </w:pPr>
      <w:r>
        <w:continuationSeparator/>
      </w:r>
    </w:p>
  </w:footnote>
  <w:footnote w:id="1">
    <w:p w:rsidR="004656A3" w:rsidRDefault="004656A3">
      <w:pPr>
        <w:pStyle w:val="FootnoteText"/>
      </w:pPr>
      <w:r>
        <w:rPr>
          <w:rStyle w:val="FootnoteReference"/>
        </w:rPr>
        <w:footnoteRef/>
      </w:r>
      <w:r>
        <w:t xml:space="preserve"> </w:t>
      </w:r>
      <w:r w:rsidR="00E96971">
        <w:t xml:space="preserve">P Ziegler. </w:t>
      </w:r>
      <w:r w:rsidR="00E96971">
        <w:rPr>
          <w:i/>
        </w:rPr>
        <w:t xml:space="preserve">‘The Black Death’ </w:t>
      </w:r>
      <w:r w:rsidR="00E96971">
        <w:t>(London: Sutton, 1991).</w:t>
      </w:r>
    </w:p>
  </w:footnote>
  <w:footnote w:id="2">
    <w:p w:rsidR="004656A3" w:rsidRDefault="004656A3">
      <w:pPr>
        <w:pStyle w:val="FootnoteText"/>
      </w:pPr>
      <w:r>
        <w:rPr>
          <w:rStyle w:val="FootnoteReference"/>
        </w:rPr>
        <w:footnoteRef/>
      </w:r>
      <w:r>
        <w:t xml:space="preserve"> </w:t>
      </w:r>
      <w:r w:rsidR="00720B04">
        <w:t xml:space="preserve">D </w:t>
      </w:r>
      <w:proofErr w:type="spellStart"/>
      <w:r w:rsidR="00720B04">
        <w:t>Williman</w:t>
      </w:r>
      <w:proofErr w:type="spellEnd"/>
      <w:r w:rsidR="00720B04">
        <w:t xml:space="preserve">, The Impact of the Fourteenth Century Plague. </w:t>
      </w:r>
      <w:r w:rsidR="00720B04">
        <w:rPr>
          <w:i/>
        </w:rPr>
        <w:t xml:space="preserve">‘The Black Death’ </w:t>
      </w:r>
      <w:r w:rsidR="00720B04">
        <w:t xml:space="preserve">(Binghamton: </w:t>
      </w:r>
      <w:proofErr w:type="spellStart"/>
      <w:r w:rsidR="00720B04">
        <w:t>Center</w:t>
      </w:r>
      <w:proofErr w:type="spellEnd"/>
      <w:r w:rsidR="00720B04">
        <w:t xml:space="preserve"> for Medieval &amp; Early Renaissance Studies, 1982) p29. </w:t>
      </w:r>
    </w:p>
  </w:footnote>
  <w:footnote w:id="3">
    <w:p w:rsidR="004656A3" w:rsidRDefault="004656A3" w:rsidP="00720B04">
      <w:pPr>
        <w:pStyle w:val="FootnoteText"/>
      </w:pPr>
      <w:r>
        <w:rPr>
          <w:rStyle w:val="FootnoteReference"/>
        </w:rPr>
        <w:footnoteRef/>
      </w:r>
      <w:r>
        <w:t xml:space="preserve"> </w:t>
      </w:r>
      <w:r w:rsidR="00720B04">
        <w:t xml:space="preserve">D </w:t>
      </w:r>
      <w:proofErr w:type="spellStart"/>
      <w:r w:rsidR="00720B04">
        <w:t>Williman</w:t>
      </w:r>
      <w:proofErr w:type="spellEnd"/>
      <w:r w:rsidR="00720B04">
        <w:t xml:space="preserve">. </w:t>
      </w:r>
      <w:r w:rsidR="00720B04">
        <w:rPr>
          <w:i/>
        </w:rPr>
        <w:t xml:space="preserve">‘The Black Death’ </w:t>
      </w:r>
      <w:r w:rsidR="00720B04">
        <w:t xml:space="preserve">(Binghamton: </w:t>
      </w:r>
      <w:proofErr w:type="spellStart"/>
      <w:r w:rsidR="00720B04">
        <w:t>Center</w:t>
      </w:r>
      <w:proofErr w:type="spellEnd"/>
      <w:r w:rsidR="00720B04">
        <w:t xml:space="preserve"> for Medieval &amp; Early Renaissance Studies, 1982) p29.</w:t>
      </w:r>
    </w:p>
  </w:footnote>
  <w:footnote w:id="4">
    <w:p w:rsidR="004656A3" w:rsidRDefault="004656A3">
      <w:pPr>
        <w:pStyle w:val="FootnoteText"/>
      </w:pPr>
      <w:r>
        <w:rPr>
          <w:rStyle w:val="FootnoteReference"/>
        </w:rPr>
        <w:footnoteRef/>
      </w:r>
      <w:r>
        <w:t xml:space="preserve"> </w:t>
      </w:r>
      <w:r w:rsidR="00720B04">
        <w:t xml:space="preserve">D </w:t>
      </w:r>
      <w:proofErr w:type="spellStart"/>
      <w:r w:rsidR="00720B04">
        <w:t>Williman</w:t>
      </w:r>
      <w:proofErr w:type="spellEnd"/>
      <w:r w:rsidR="00720B04">
        <w:t xml:space="preserve">. </w:t>
      </w:r>
      <w:r w:rsidR="00720B04">
        <w:rPr>
          <w:i/>
        </w:rPr>
        <w:t xml:space="preserve">‘The Black Death’ </w:t>
      </w:r>
      <w:r w:rsidR="00720B04">
        <w:t xml:space="preserve">(Binghamton: </w:t>
      </w:r>
      <w:proofErr w:type="spellStart"/>
      <w:r w:rsidR="00720B04">
        <w:t>Center</w:t>
      </w:r>
      <w:proofErr w:type="spellEnd"/>
      <w:r w:rsidR="00720B04">
        <w:t xml:space="preserve"> for Medieval &amp; Early Renaissance Studies, 1982) p29.</w:t>
      </w:r>
    </w:p>
  </w:footnote>
  <w:footnote w:id="5">
    <w:p w:rsidR="004656A3" w:rsidRDefault="004656A3">
      <w:pPr>
        <w:pStyle w:val="FootnoteText"/>
      </w:pPr>
      <w:r>
        <w:rPr>
          <w:rStyle w:val="FootnoteReference"/>
        </w:rPr>
        <w:footnoteRef/>
      </w:r>
      <w:r>
        <w:t xml:space="preserve"> </w:t>
      </w:r>
      <w:r w:rsidR="00720B04">
        <w:t xml:space="preserve">D </w:t>
      </w:r>
      <w:proofErr w:type="spellStart"/>
      <w:r w:rsidR="00720B04">
        <w:t>Williman</w:t>
      </w:r>
      <w:proofErr w:type="spellEnd"/>
      <w:r w:rsidR="00720B04">
        <w:t xml:space="preserve">. </w:t>
      </w:r>
      <w:r w:rsidR="00720B04">
        <w:rPr>
          <w:i/>
        </w:rPr>
        <w:t xml:space="preserve">‘The Black Death’ </w:t>
      </w:r>
      <w:r w:rsidR="00720B04">
        <w:t xml:space="preserve">(Binghamton: </w:t>
      </w:r>
      <w:proofErr w:type="spellStart"/>
      <w:r w:rsidR="00720B04">
        <w:t>Center</w:t>
      </w:r>
      <w:proofErr w:type="spellEnd"/>
      <w:r w:rsidR="00720B04">
        <w:t xml:space="preserve"> for Medieval &amp; Early Renaissance Studies, 1982) p29.</w:t>
      </w:r>
    </w:p>
  </w:footnote>
  <w:footnote w:id="6">
    <w:p w:rsidR="00AD1CD4" w:rsidRDefault="00AD1CD4">
      <w:pPr>
        <w:pStyle w:val="FootnoteText"/>
      </w:pPr>
      <w:r>
        <w:rPr>
          <w:rStyle w:val="FootnoteReference"/>
        </w:rPr>
        <w:footnoteRef/>
      </w:r>
      <w:r>
        <w:t xml:space="preserve"> </w:t>
      </w:r>
      <w:r w:rsidR="00E96971">
        <w:t xml:space="preserve">S Porter. </w:t>
      </w:r>
      <w:r w:rsidR="00E96971">
        <w:rPr>
          <w:i/>
        </w:rPr>
        <w:t xml:space="preserve">‘The Great Plague’ </w:t>
      </w:r>
      <w:r w:rsidR="00E96971">
        <w:t>(Gloucester: Amberley Publishing plc, 2009).</w:t>
      </w:r>
    </w:p>
  </w:footnote>
  <w:footnote w:id="7">
    <w:p w:rsidR="00B353D3" w:rsidRDefault="00B353D3">
      <w:pPr>
        <w:pStyle w:val="FootnoteText"/>
      </w:pPr>
      <w:r>
        <w:rPr>
          <w:rStyle w:val="FootnoteReference"/>
        </w:rPr>
        <w:footnoteRef/>
      </w:r>
      <w:r>
        <w:t xml:space="preserve"> </w:t>
      </w:r>
      <w:r w:rsidR="00E96971">
        <w:t xml:space="preserve">S Porter. </w:t>
      </w:r>
      <w:r w:rsidR="00E96971">
        <w:rPr>
          <w:i/>
        </w:rPr>
        <w:t xml:space="preserve">‘The Great Plague’ </w:t>
      </w:r>
      <w:r w:rsidR="00E96971">
        <w:t>(Gloucester: Amberley Publishing plc, 2009).</w:t>
      </w:r>
    </w:p>
  </w:footnote>
  <w:footnote w:id="8">
    <w:p w:rsidR="00F74E41" w:rsidRDefault="00F74E41">
      <w:pPr>
        <w:pStyle w:val="FootnoteText"/>
      </w:pPr>
      <w:r>
        <w:rPr>
          <w:rStyle w:val="FootnoteReference"/>
        </w:rPr>
        <w:footnoteRef/>
      </w:r>
      <w:r>
        <w:t xml:space="preserve"> D </w:t>
      </w:r>
      <w:proofErr w:type="spellStart"/>
      <w:r>
        <w:t>Williman</w:t>
      </w:r>
      <w:proofErr w:type="spellEnd"/>
      <w:r>
        <w:t xml:space="preserve">. </w:t>
      </w:r>
      <w:r>
        <w:rPr>
          <w:i/>
        </w:rPr>
        <w:t xml:space="preserve">‘The Black Death’ </w:t>
      </w:r>
      <w:r>
        <w:t xml:space="preserve">(Binghamton: </w:t>
      </w:r>
      <w:proofErr w:type="spellStart"/>
      <w:r>
        <w:t>Center</w:t>
      </w:r>
      <w:proofErr w:type="spellEnd"/>
      <w:r>
        <w:t xml:space="preserve"> for Medieval &amp; Early Renaissance Studies, 1982) p32.</w:t>
      </w:r>
    </w:p>
  </w:footnote>
  <w:footnote w:id="9">
    <w:p w:rsidR="00F74E41" w:rsidRDefault="00F74E41">
      <w:pPr>
        <w:pStyle w:val="FootnoteText"/>
      </w:pPr>
      <w:r>
        <w:rPr>
          <w:rStyle w:val="FootnoteReference"/>
        </w:rPr>
        <w:footnoteRef/>
      </w:r>
      <w:r>
        <w:t xml:space="preserve"> D </w:t>
      </w:r>
      <w:proofErr w:type="spellStart"/>
      <w:r>
        <w:t>Williman</w:t>
      </w:r>
      <w:proofErr w:type="spellEnd"/>
      <w:r>
        <w:t xml:space="preserve">. </w:t>
      </w:r>
      <w:r>
        <w:rPr>
          <w:i/>
        </w:rPr>
        <w:t xml:space="preserve">‘The Black Death’ </w:t>
      </w:r>
      <w:r>
        <w:t xml:space="preserve">(Binghamton: </w:t>
      </w:r>
      <w:proofErr w:type="spellStart"/>
      <w:r>
        <w:t>Center</w:t>
      </w:r>
      <w:proofErr w:type="spellEnd"/>
      <w:r>
        <w:t xml:space="preserve"> for Medieval &amp; Early Renaissance Studies, 1982) p33.</w:t>
      </w:r>
    </w:p>
  </w:footnote>
  <w:footnote w:id="10">
    <w:p w:rsidR="00DF548B" w:rsidRDefault="00DF548B">
      <w:pPr>
        <w:pStyle w:val="FootnoteText"/>
      </w:pPr>
      <w:r>
        <w:rPr>
          <w:rStyle w:val="FootnoteReference"/>
        </w:rPr>
        <w:footnoteRef/>
      </w:r>
      <w:r>
        <w:t xml:space="preserve"> </w:t>
      </w:r>
      <w:r w:rsidR="00100C67">
        <w:t xml:space="preserve">R Gottfried, Natural and Human Disaster in Medieval Europe. </w:t>
      </w:r>
      <w:r w:rsidR="00100C67">
        <w:rPr>
          <w:i/>
        </w:rPr>
        <w:t xml:space="preserve">‘The Black Death’ </w:t>
      </w:r>
      <w:r w:rsidR="00100C67">
        <w:t>(London: Robert Hale Limited, 1984) p77.</w:t>
      </w:r>
    </w:p>
  </w:footnote>
  <w:footnote w:id="11">
    <w:p w:rsidR="002328C7" w:rsidRDefault="002328C7">
      <w:pPr>
        <w:pStyle w:val="FootnoteText"/>
      </w:pPr>
      <w:r>
        <w:rPr>
          <w:rStyle w:val="FootnoteReference"/>
        </w:rPr>
        <w:footnoteRef/>
      </w:r>
      <w:r>
        <w:t xml:space="preserve"> </w:t>
      </w:r>
      <w:r w:rsidR="00100C67">
        <w:t xml:space="preserve">R Gottfried. </w:t>
      </w:r>
      <w:r w:rsidR="00100C67">
        <w:rPr>
          <w:i/>
        </w:rPr>
        <w:t xml:space="preserve">‘The Black Death’ </w:t>
      </w:r>
      <w:r w:rsidR="00100C67">
        <w:t>(London: Robert Hale Limited, 1984) p77.</w:t>
      </w:r>
    </w:p>
  </w:footnote>
  <w:footnote w:id="12">
    <w:p w:rsidR="00F74E41" w:rsidRDefault="00F74E41">
      <w:pPr>
        <w:pStyle w:val="FootnoteText"/>
      </w:pPr>
      <w:r>
        <w:rPr>
          <w:rStyle w:val="FootnoteReference"/>
        </w:rPr>
        <w:footnoteRef/>
      </w:r>
      <w:r>
        <w:t xml:space="preserve"> </w:t>
      </w:r>
      <w:r w:rsidR="00DD3FE3">
        <w:t xml:space="preserve">M Ormrod. </w:t>
      </w:r>
      <w:r w:rsidR="00DD3FE3">
        <w:rPr>
          <w:i/>
        </w:rPr>
        <w:t xml:space="preserve">‘The Black Death in England’ </w:t>
      </w:r>
      <w:r w:rsidR="00DD3FE3">
        <w:t xml:space="preserve">(Lincolnshire: </w:t>
      </w:r>
      <w:proofErr w:type="spellStart"/>
      <w:r w:rsidR="00DD3FE3">
        <w:t>Woolnough</w:t>
      </w:r>
      <w:proofErr w:type="spellEnd"/>
      <w:r w:rsidR="00DD3FE3">
        <w:t xml:space="preserve"> Bookbinding Ltd, 1996) p18.</w:t>
      </w:r>
    </w:p>
  </w:footnote>
  <w:footnote w:id="13">
    <w:p w:rsidR="00DD3FE3" w:rsidRDefault="00DD3FE3">
      <w:pPr>
        <w:pStyle w:val="FootnoteText"/>
      </w:pPr>
      <w:r>
        <w:rPr>
          <w:rStyle w:val="FootnoteReference"/>
        </w:rPr>
        <w:footnoteRef/>
      </w:r>
      <w:r>
        <w:t xml:space="preserve"> M Ormrod. </w:t>
      </w:r>
      <w:r>
        <w:rPr>
          <w:i/>
        </w:rPr>
        <w:t xml:space="preserve">‘The Black Death in England’ </w:t>
      </w:r>
      <w:r>
        <w:t xml:space="preserve">(Lincolnshire: </w:t>
      </w:r>
      <w:proofErr w:type="spellStart"/>
      <w:r>
        <w:t>Woolnough</w:t>
      </w:r>
      <w:proofErr w:type="spellEnd"/>
      <w:r>
        <w:t xml:space="preserve"> Bookbinding Ltd, 1996) p18.</w:t>
      </w:r>
    </w:p>
  </w:footnote>
  <w:footnote w:id="14">
    <w:p w:rsidR="00DD3FE3" w:rsidRDefault="00DD3FE3">
      <w:pPr>
        <w:pStyle w:val="FootnoteText"/>
      </w:pPr>
      <w:r>
        <w:rPr>
          <w:rStyle w:val="FootnoteReference"/>
        </w:rPr>
        <w:footnoteRef/>
      </w:r>
      <w:r>
        <w:t xml:space="preserve"> </w:t>
      </w:r>
      <w:r w:rsidR="00CA3CAE">
        <w:t xml:space="preserve">M Ormrod. </w:t>
      </w:r>
      <w:r w:rsidR="00CA3CAE">
        <w:rPr>
          <w:i/>
        </w:rPr>
        <w:t xml:space="preserve">‘The Black Death in England’ </w:t>
      </w:r>
      <w:r w:rsidR="00CA3CAE">
        <w:t xml:space="preserve">(Lincolnshire: </w:t>
      </w:r>
      <w:proofErr w:type="spellStart"/>
      <w:r w:rsidR="00CA3CAE">
        <w:t>Woolnough</w:t>
      </w:r>
      <w:proofErr w:type="spellEnd"/>
      <w:r w:rsidR="00CA3CAE">
        <w:t xml:space="preserve"> Bookbinding Ltd, 1996) p19.</w:t>
      </w:r>
    </w:p>
  </w:footnote>
  <w:footnote w:id="15">
    <w:p w:rsidR="00CA3CAE" w:rsidRDefault="00CA3CAE">
      <w:pPr>
        <w:pStyle w:val="FootnoteText"/>
      </w:pPr>
      <w:r>
        <w:rPr>
          <w:rStyle w:val="FootnoteReference"/>
        </w:rPr>
        <w:footnoteRef/>
      </w:r>
      <w:r>
        <w:t xml:space="preserve"> M Ormrod. </w:t>
      </w:r>
      <w:r>
        <w:rPr>
          <w:i/>
        </w:rPr>
        <w:t xml:space="preserve">‘The Black Death in England’ </w:t>
      </w:r>
      <w:r>
        <w:t xml:space="preserve">(Lincolnshire: </w:t>
      </w:r>
      <w:proofErr w:type="spellStart"/>
      <w:r>
        <w:t>Woolnough</w:t>
      </w:r>
      <w:proofErr w:type="spellEnd"/>
      <w:r>
        <w:t xml:space="preserve"> Bookbinding Ltd, 1996) p26.</w:t>
      </w:r>
    </w:p>
  </w:footnote>
  <w:footnote w:id="16">
    <w:p w:rsidR="00DF548B" w:rsidRDefault="00DF548B">
      <w:pPr>
        <w:pStyle w:val="FootnoteText"/>
      </w:pPr>
      <w:r>
        <w:rPr>
          <w:rStyle w:val="FootnoteReference"/>
        </w:rPr>
        <w:footnoteRef/>
      </w:r>
      <w:r>
        <w:t xml:space="preserve"> </w:t>
      </w:r>
      <w:r w:rsidR="00E96971">
        <w:t xml:space="preserve">S Porter. </w:t>
      </w:r>
      <w:r w:rsidR="00E96971">
        <w:rPr>
          <w:i/>
        </w:rPr>
        <w:t xml:space="preserve">‘The Great Plague’ </w:t>
      </w:r>
      <w:r w:rsidR="00E96971">
        <w:t>(Gloucester: Amberley Publishing plc, 2009).</w:t>
      </w:r>
    </w:p>
  </w:footnote>
  <w:footnote w:id="17">
    <w:p w:rsidR="002328C7" w:rsidRDefault="002328C7">
      <w:pPr>
        <w:pStyle w:val="FootnoteText"/>
      </w:pPr>
      <w:r>
        <w:rPr>
          <w:rStyle w:val="FootnoteReference"/>
        </w:rPr>
        <w:footnoteRef/>
      </w:r>
      <w:r>
        <w:t xml:space="preserve"> D </w:t>
      </w:r>
      <w:proofErr w:type="spellStart"/>
      <w:r>
        <w:t>Williman</w:t>
      </w:r>
      <w:proofErr w:type="spellEnd"/>
      <w:r>
        <w:t xml:space="preserve">. </w:t>
      </w:r>
      <w:r>
        <w:rPr>
          <w:i/>
        </w:rPr>
        <w:t xml:space="preserve">‘The Black Death’ </w:t>
      </w:r>
      <w:r>
        <w:t xml:space="preserve">(Binghamton: </w:t>
      </w:r>
      <w:proofErr w:type="spellStart"/>
      <w:r>
        <w:t>Center</w:t>
      </w:r>
      <w:proofErr w:type="spellEnd"/>
      <w:r>
        <w:t xml:space="preserve"> for Medieval &amp; Early Renaissance Studies, 1982) p78.</w:t>
      </w:r>
    </w:p>
  </w:footnote>
  <w:footnote w:id="18">
    <w:p w:rsidR="00B712B2" w:rsidRDefault="00B712B2">
      <w:pPr>
        <w:pStyle w:val="FootnoteText"/>
      </w:pPr>
      <w:r>
        <w:rPr>
          <w:rStyle w:val="FootnoteReference"/>
        </w:rPr>
        <w:footnoteRef/>
      </w:r>
      <w:r>
        <w:t xml:space="preserve"> D </w:t>
      </w:r>
      <w:proofErr w:type="spellStart"/>
      <w:r>
        <w:t>Williman</w:t>
      </w:r>
      <w:proofErr w:type="spellEnd"/>
      <w:r>
        <w:t xml:space="preserve">. </w:t>
      </w:r>
      <w:r>
        <w:rPr>
          <w:i/>
        </w:rPr>
        <w:t xml:space="preserve">‘The Black Death’ </w:t>
      </w:r>
      <w:r>
        <w:t xml:space="preserve">(Binghamton: </w:t>
      </w:r>
      <w:proofErr w:type="spellStart"/>
      <w:r>
        <w:t>Center</w:t>
      </w:r>
      <w:proofErr w:type="spellEnd"/>
      <w:r>
        <w:t xml:space="preserve"> for Medieval &amp; Early Renaissance Studies, 1982) p78.</w:t>
      </w:r>
    </w:p>
  </w:footnote>
  <w:footnote w:id="19">
    <w:p w:rsidR="000455A3" w:rsidRDefault="000455A3">
      <w:pPr>
        <w:pStyle w:val="FootnoteText"/>
      </w:pPr>
      <w:r>
        <w:rPr>
          <w:rStyle w:val="FootnoteReference"/>
        </w:rPr>
        <w:footnoteRef/>
      </w:r>
      <w:r>
        <w:t xml:space="preserve"> </w:t>
      </w:r>
      <w:r w:rsidR="00E96971">
        <w:t xml:space="preserve">P Ziegler. </w:t>
      </w:r>
      <w:r w:rsidR="00E96971">
        <w:rPr>
          <w:i/>
        </w:rPr>
        <w:t xml:space="preserve">‘The Black Death’ </w:t>
      </w:r>
      <w:r w:rsidR="00E96971">
        <w:t>(London: Sutton, 1991).</w:t>
      </w:r>
    </w:p>
  </w:footnote>
  <w:footnote w:id="20">
    <w:p w:rsidR="00E96971" w:rsidRDefault="00E96971">
      <w:pPr>
        <w:pStyle w:val="FootnoteText"/>
      </w:pPr>
      <w:r>
        <w:rPr>
          <w:rStyle w:val="FootnoteReference"/>
        </w:rPr>
        <w:footnoteRef/>
      </w:r>
      <w:r>
        <w:t xml:space="preserve"> P Ziegler. </w:t>
      </w:r>
      <w:r>
        <w:rPr>
          <w:i/>
        </w:rPr>
        <w:t xml:space="preserve">‘The Black Death’ </w:t>
      </w:r>
      <w:r>
        <w:t>(London: Sutton, 1991).</w:t>
      </w:r>
    </w:p>
  </w:footnote>
  <w:footnote w:id="21">
    <w:p w:rsidR="00E96971" w:rsidRDefault="00E96971" w:rsidP="00E96971">
      <w:pPr>
        <w:pStyle w:val="FootnoteText"/>
      </w:pPr>
      <w:r>
        <w:rPr>
          <w:rStyle w:val="FootnoteReference"/>
        </w:rPr>
        <w:footnoteRef/>
      </w:r>
      <w:r>
        <w:t xml:space="preserve"> S Porter. </w:t>
      </w:r>
      <w:r>
        <w:rPr>
          <w:i/>
        </w:rPr>
        <w:t xml:space="preserve">‘The Great Plague’ </w:t>
      </w:r>
      <w:r>
        <w:t>(Gloucester: Amberley Publishing plc, 2009).</w:t>
      </w:r>
    </w:p>
  </w:footnote>
  <w:footnote w:id="22">
    <w:p w:rsidR="002738FA" w:rsidRDefault="002738FA" w:rsidP="00E96971">
      <w:pPr>
        <w:pStyle w:val="FootnoteText"/>
      </w:pPr>
      <w:r>
        <w:rPr>
          <w:rStyle w:val="FootnoteReference"/>
        </w:rPr>
        <w:footnoteRef/>
      </w:r>
      <w:r w:rsidR="00E96971">
        <w:t xml:space="preserve"> P Ziegler.</w:t>
      </w:r>
      <w:r>
        <w:t xml:space="preserve"> </w:t>
      </w:r>
      <w:r w:rsidR="00E96971">
        <w:rPr>
          <w:i/>
        </w:rPr>
        <w:t xml:space="preserve">‘The Black Death’ </w:t>
      </w:r>
      <w:r w:rsidR="00E96971">
        <w:t>(London: Sutton, 1991).</w:t>
      </w:r>
    </w:p>
  </w:footnote>
  <w:footnote w:id="23">
    <w:p w:rsidR="00624550" w:rsidRDefault="00624550">
      <w:pPr>
        <w:pStyle w:val="FootnoteText"/>
      </w:pPr>
      <w:r>
        <w:rPr>
          <w:rStyle w:val="FootnoteReference"/>
        </w:rPr>
        <w:footnoteRef/>
      </w:r>
      <w:r>
        <w:t xml:space="preserve"> M Ormrod. </w:t>
      </w:r>
      <w:r>
        <w:rPr>
          <w:i/>
        </w:rPr>
        <w:t xml:space="preserve">‘The Black Death in England’ </w:t>
      </w:r>
      <w:r>
        <w:t xml:space="preserve">(Lincolnshire: </w:t>
      </w:r>
      <w:proofErr w:type="spellStart"/>
      <w:r>
        <w:t>Woolnough</w:t>
      </w:r>
      <w:proofErr w:type="spellEnd"/>
      <w:r>
        <w:t xml:space="preserve"> Bookbinding Ltd, 1996) p87.</w:t>
      </w:r>
    </w:p>
  </w:footnote>
  <w:footnote w:id="24">
    <w:p w:rsidR="00AF34A6" w:rsidRDefault="00AF34A6">
      <w:pPr>
        <w:pStyle w:val="FootnoteText"/>
      </w:pPr>
      <w:r>
        <w:rPr>
          <w:rStyle w:val="FootnoteReference"/>
        </w:rPr>
        <w:footnoteRef/>
      </w:r>
      <w:r>
        <w:t xml:space="preserve"> </w:t>
      </w:r>
      <w:r w:rsidR="00E96971">
        <w:t xml:space="preserve">M Ormrod. </w:t>
      </w:r>
      <w:r w:rsidR="00E96971">
        <w:rPr>
          <w:i/>
        </w:rPr>
        <w:t xml:space="preserve">‘The Black Death in England’ </w:t>
      </w:r>
      <w:r w:rsidR="00E96971">
        <w:t xml:space="preserve">(Lincolnshire: </w:t>
      </w:r>
      <w:proofErr w:type="spellStart"/>
      <w:r w:rsidR="00E96971">
        <w:t>Woolnough</w:t>
      </w:r>
      <w:proofErr w:type="spellEnd"/>
      <w:r w:rsidR="00E96971">
        <w:t xml:space="preserve"> Bookbinding Ltd, 1996) p93.</w:t>
      </w:r>
    </w:p>
  </w:footnote>
  <w:footnote w:id="25">
    <w:p w:rsidR="00AC3D67" w:rsidRDefault="00AC3D67" w:rsidP="00AC3D67">
      <w:pPr>
        <w:pStyle w:val="FootnoteText"/>
      </w:pPr>
      <w:r>
        <w:rPr>
          <w:rStyle w:val="FootnoteReference"/>
        </w:rPr>
        <w:footnoteRef/>
      </w:r>
      <w:r>
        <w:t xml:space="preserve"> N </w:t>
      </w:r>
      <w:proofErr w:type="spellStart"/>
      <w:r>
        <w:t>Beaty</w:t>
      </w:r>
      <w:proofErr w:type="spellEnd"/>
      <w:r>
        <w:t xml:space="preserve">, A Study of the Literary Tradition of the Ars </w:t>
      </w:r>
      <w:proofErr w:type="spellStart"/>
      <w:r>
        <w:t>Moriendi</w:t>
      </w:r>
      <w:proofErr w:type="spellEnd"/>
      <w:r>
        <w:t xml:space="preserve"> in England. </w:t>
      </w:r>
      <w:r>
        <w:rPr>
          <w:i/>
        </w:rPr>
        <w:t xml:space="preserve">‘The Craft of Dying’ </w:t>
      </w:r>
      <w:r>
        <w:t xml:space="preserve">(Yale: Yale University Press, 1970) p26. </w:t>
      </w:r>
    </w:p>
  </w:footnote>
  <w:footnote w:id="26">
    <w:p w:rsidR="00F95D8D" w:rsidRDefault="00F95D8D" w:rsidP="00E036BB">
      <w:pPr>
        <w:pStyle w:val="FootnoteText"/>
      </w:pPr>
      <w:r>
        <w:rPr>
          <w:rStyle w:val="FootnoteReference"/>
        </w:rPr>
        <w:footnoteRef/>
      </w:r>
      <w:r>
        <w:t xml:space="preserve"> </w:t>
      </w:r>
      <w:r w:rsidR="00E036BB">
        <w:t xml:space="preserve">R </w:t>
      </w:r>
      <w:proofErr w:type="spellStart"/>
      <w:r w:rsidR="00E036BB">
        <w:t>Horrox</w:t>
      </w:r>
      <w:proofErr w:type="spellEnd"/>
      <w:r w:rsidR="00E036BB">
        <w:t xml:space="preserve">. </w:t>
      </w:r>
      <w:r w:rsidR="00E036BB">
        <w:rPr>
          <w:i/>
        </w:rPr>
        <w:t xml:space="preserve">‘The Black Death’ </w:t>
      </w:r>
      <w:r w:rsidR="00E036BB">
        <w:t xml:space="preserve">(Manchester: Manchester University Press, 1994) p123. </w:t>
      </w:r>
    </w:p>
  </w:footnote>
  <w:footnote w:id="27">
    <w:p w:rsidR="00F365AC" w:rsidRDefault="00F365AC" w:rsidP="00E036BB">
      <w:pPr>
        <w:pStyle w:val="FootnoteText"/>
      </w:pPr>
      <w:r>
        <w:rPr>
          <w:rStyle w:val="FootnoteReference"/>
        </w:rPr>
        <w:footnoteRef/>
      </w:r>
      <w:r>
        <w:t xml:space="preserve"> </w:t>
      </w:r>
      <w:r w:rsidR="00E036BB">
        <w:t xml:space="preserve">N </w:t>
      </w:r>
      <w:proofErr w:type="spellStart"/>
      <w:r w:rsidR="00E036BB">
        <w:t>Beaty</w:t>
      </w:r>
      <w:proofErr w:type="spellEnd"/>
      <w:r w:rsidR="00E036BB">
        <w:t xml:space="preserve">, A Study of the Literary Tradition of the Ars </w:t>
      </w:r>
      <w:proofErr w:type="spellStart"/>
      <w:r w:rsidR="00E036BB">
        <w:t>Moriendi</w:t>
      </w:r>
      <w:proofErr w:type="spellEnd"/>
      <w:r w:rsidR="00E036BB">
        <w:t xml:space="preserve"> in England. </w:t>
      </w:r>
      <w:r w:rsidR="00E036BB">
        <w:rPr>
          <w:i/>
        </w:rPr>
        <w:t xml:space="preserve">‘The Craft of Dying’ </w:t>
      </w:r>
      <w:r w:rsidR="00E036BB">
        <w:t>(Yale: Yale University Press, 1970) p26.</w:t>
      </w:r>
    </w:p>
  </w:footnote>
  <w:footnote w:id="28">
    <w:p w:rsidR="000D3ACE" w:rsidRDefault="000D3ACE">
      <w:pPr>
        <w:pStyle w:val="FootnoteText"/>
      </w:pPr>
      <w:r>
        <w:rPr>
          <w:rStyle w:val="FootnoteReference"/>
        </w:rPr>
        <w:footnoteRef/>
      </w:r>
      <w:r>
        <w:t xml:space="preserve"> J Clark. </w:t>
      </w:r>
      <w:r>
        <w:rPr>
          <w:i/>
        </w:rPr>
        <w:t xml:space="preserve">‘The Dance of death in the Middle Ages and the Renaissance’ </w:t>
      </w:r>
      <w:r>
        <w:t>(London: Jackson &amp; Co, 1950).</w:t>
      </w:r>
    </w:p>
  </w:footnote>
  <w:footnote w:id="29">
    <w:p w:rsidR="000D3ACE" w:rsidRDefault="000D3ACE">
      <w:pPr>
        <w:pStyle w:val="FootnoteText"/>
      </w:pPr>
      <w:r>
        <w:rPr>
          <w:rStyle w:val="FootnoteReference"/>
        </w:rPr>
        <w:footnoteRef/>
      </w:r>
      <w:r>
        <w:t xml:space="preserve"> J Clark. </w:t>
      </w:r>
      <w:r>
        <w:rPr>
          <w:i/>
        </w:rPr>
        <w:t xml:space="preserve">‘The Dance of death in the Middle Ages and the Renaissance’ </w:t>
      </w:r>
      <w:r>
        <w:t>(London: Jackson &amp; Co, 1950).</w:t>
      </w:r>
    </w:p>
  </w:footnote>
  <w:footnote w:id="30">
    <w:p w:rsidR="000D3ACE" w:rsidRDefault="000D3ACE">
      <w:pPr>
        <w:pStyle w:val="FootnoteText"/>
      </w:pPr>
      <w:r>
        <w:rPr>
          <w:rStyle w:val="FootnoteReference"/>
        </w:rPr>
        <w:footnoteRef/>
      </w:r>
      <w:r>
        <w:t xml:space="preserve"> J Clark. </w:t>
      </w:r>
      <w:r>
        <w:rPr>
          <w:i/>
        </w:rPr>
        <w:t xml:space="preserve">‘The Dance of death in the Middle Ages and the Renaissance’ </w:t>
      </w:r>
      <w:r>
        <w:t>(London: Jackson &amp; Co, 1950).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A010E"/>
    <w:multiLevelType w:val="hybridMultilevel"/>
    <w:tmpl w:val="43EAF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A3F"/>
    <w:rsid w:val="00040623"/>
    <w:rsid w:val="000455A3"/>
    <w:rsid w:val="000812C0"/>
    <w:rsid w:val="000C058F"/>
    <w:rsid w:val="000D3ACE"/>
    <w:rsid w:val="00100C67"/>
    <w:rsid w:val="00171A10"/>
    <w:rsid w:val="002328C7"/>
    <w:rsid w:val="002738FA"/>
    <w:rsid w:val="002951D8"/>
    <w:rsid w:val="00295BB8"/>
    <w:rsid w:val="002E6C65"/>
    <w:rsid w:val="002F0ACE"/>
    <w:rsid w:val="004656A3"/>
    <w:rsid w:val="005B3A3F"/>
    <w:rsid w:val="005E191D"/>
    <w:rsid w:val="00624550"/>
    <w:rsid w:val="006C7DD8"/>
    <w:rsid w:val="00720B04"/>
    <w:rsid w:val="007F3032"/>
    <w:rsid w:val="008F727E"/>
    <w:rsid w:val="00A671CE"/>
    <w:rsid w:val="00AC3D67"/>
    <w:rsid w:val="00AD1CD4"/>
    <w:rsid w:val="00AF34A6"/>
    <w:rsid w:val="00B353D3"/>
    <w:rsid w:val="00B712B2"/>
    <w:rsid w:val="00C936F2"/>
    <w:rsid w:val="00CA3CAE"/>
    <w:rsid w:val="00D438B3"/>
    <w:rsid w:val="00D80921"/>
    <w:rsid w:val="00DD3FE3"/>
    <w:rsid w:val="00DF548B"/>
    <w:rsid w:val="00E036BB"/>
    <w:rsid w:val="00E06809"/>
    <w:rsid w:val="00E10ABC"/>
    <w:rsid w:val="00E5686F"/>
    <w:rsid w:val="00E657ED"/>
    <w:rsid w:val="00E742A2"/>
    <w:rsid w:val="00E96971"/>
    <w:rsid w:val="00EA4BE7"/>
    <w:rsid w:val="00F365AC"/>
    <w:rsid w:val="00F45291"/>
    <w:rsid w:val="00F47958"/>
    <w:rsid w:val="00F74E41"/>
    <w:rsid w:val="00F95D8D"/>
    <w:rsid w:val="00FB0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9A80C1-674F-455C-A28F-CD2B17F5D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56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56A3"/>
    <w:rPr>
      <w:sz w:val="20"/>
      <w:szCs w:val="20"/>
    </w:rPr>
  </w:style>
  <w:style w:type="character" w:styleId="FootnoteReference">
    <w:name w:val="footnote reference"/>
    <w:basedOn w:val="DefaultParagraphFont"/>
    <w:uiPriority w:val="99"/>
    <w:semiHidden/>
    <w:unhideWhenUsed/>
    <w:rsid w:val="004656A3"/>
    <w:rPr>
      <w:vertAlign w:val="superscript"/>
    </w:rPr>
  </w:style>
  <w:style w:type="paragraph" w:styleId="ListParagraph">
    <w:name w:val="List Paragraph"/>
    <w:basedOn w:val="Normal"/>
    <w:uiPriority w:val="34"/>
    <w:qFormat/>
    <w:rsid w:val="000812C0"/>
    <w:pPr>
      <w:ind w:left="720"/>
      <w:contextualSpacing/>
    </w:pPr>
  </w:style>
  <w:style w:type="paragraph" w:styleId="EndnoteText">
    <w:name w:val="endnote text"/>
    <w:basedOn w:val="Normal"/>
    <w:link w:val="EndnoteTextChar"/>
    <w:uiPriority w:val="99"/>
    <w:semiHidden/>
    <w:unhideWhenUsed/>
    <w:rsid w:val="00F74E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74E41"/>
    <w:rPr>
      <w:sz w:val="20"/>
      <w:szCs w:val="20"/>
    </w:rPr>
  </w:style>
  <w:style w:type="character" w:styleId="EndnoteReference">
    <w:name w:val="endnote reference"/>
    <w:basedOn w:val="DefaultParagraphFont"/>
    <w:uiPriority w:val="99"/>
    <w:semiHidden/>
    <w:unhideWhenUsed/>
    <w:rsid w:val="00F74E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996259">
      <w:bodyDiv w:val="1"/>
      <w:marLeft w:val="0"/>
      <w:marRight w:val="0"/>
      <w:marTop w:val="0"/>
      <w:marBottom w:val="0"/>
      <w:divBdr>
        <w:top w:val="none" w:sz="0" w:space="0" w:color="auto"/>
        <w:left w:val="none" w:sz="0" w:space="0" w:color="auto"/>
        <w:bottom w:val="none" w:sz="0" w:space="0" w:color="auto"/>
        <w:right w:val="none" w:sz="0" w:space="0" w:color="auto"/>
      </w:divBdr>
      <w:divsChild>
        <w:div w:id="797183096">
          <w:marLeft w:val="0"/>
          <w:marRight w:val="0"/>
          <w:marTop w:val="0"/>
          <w:marBottom w:val="0"/>
          <w:divBdr>
            <w:top w:val="none" w:sz="0" w:space="0" w:color="auto"/>
            <w:left w:val="none" w:sz="0" w:space="0" w:color="auto"/>
            <w:bottom w:val="none" w:sz="0" w:space="0" w:color="auto"/>
            <w:right w:val="none" w:sz="0" w:space="0" w:color="auto"/>
          </w:divBdr>
          <w:divsChild>
            <w:div w:id="450247682">
              <w:marLeft w:val="0"/>
              <w:marRight w:val="0"/>
              <w:marTop w:val="0"/>
              <w:marBottom w:val="0"/>
              <w:divBdr>
                <w:top w:val="none" w:sz="0" w:space="0" w:color="auto"/>
                <w:left w:val="none" w:sz="0" w:space="0" w:color="auto"/>
                <w:bottom w:val="none" w:sz="0" w:space="0" w:color="auto"/>
                <w:right w:val="none" w:sz="0" w:space="0" w:color="auto"/>
              </w:divBdr>
              <w:divsChild>
                <w:div w:id="1367946971">
                  <w:marLeft w:val="0"/>
                  <w:marRight w:val="0"/>
                  <w:marTop w:val="0"/>
                  <w:marBottom w:val="0"/>
                  <w:divBdr>
                    <w:top w:val="none" w:sz="0" w:space="0" w:color="auto"/>
                    <w:left w:val="none" w:sz="0" w:space="0" w:color="auto"/>
                    <w:bottom w:val="none" w:sz="0" w:space="0" w:color="auto"/>
                    <w:right w:val="none" w:sz="0" w:space="0" w:color="auto"/>
                  </w:divBdr>
                  <w:divsChild>
                    <w:div w:id="1858956745">
                      <w:marLeft w:val="0"/>
                      <w:marRight w:val="0"/>
                      <w:marTop w:val="0"/>
                      <w:marBottom w:val="0"/>
                      <w:divBdr>
                        <w:top w:val="none" w:sz="0" w:space="0" w:color="auto"/>
                        <w:left w:val="none" w:sz="0" w:space="0" w:color="auto"/>
                        <w:bottom w:val="none" w:sz="0" w:space="0" w:color="auto"/>
                        <w:right w:val="none" w:sz="0" w:space="0" w:color="auto"/>
                      </w:divBdr>
                      <w:divsChild>
                        <w:div w:id="590814466">
                          <w:marLeft w:val="0"/>
                          <w:marRight w:val="0"/>
                          <w:marTop w:val="0"/>
                          <w:marBottom w:val="0"/>
                          <w:divBdr>
                            <w:top w:val="none" w:sz="0" w:space="0" w:color="auto"/>
                            <w:left w:val="none" w:sz="0" w:space="0" w:color="auto"/>
                            <w:bottom w:val="none" w:sz="0" w:space="0" w:color="auto"/>
                            <w:right w:val="none" w:sz="0" w:space="0" w:color="auto"/>
                          </w:divBdr>
                          <w:divsChild>
                            <w:div w:id="357004057">
                              <w:marLeft w:val="0"/>
                              <w:marRight w:val="0"/>
                              <w:marTop w:val="0"/>
                              <w:marBottom w:val="0"/>
                              <w:divBdr>
                                <w:top w:val="none" w:sz="0" w:space="0" w:color="auto"/>
                                <w:left w:val="none" w:sz="0" w:space="0" w:color="auto"/>
                                <w:bottom w:val="none" w:sz="0" w:space="0" w:color="auto"/>
                                <w:right w:val="none" w:sz="0" w:space="0" w:color="auto"/>
                              </w:divBdr>
                              <w:divsChild>
                                <w:div w:id="755394738">
                                  <w:marLeft w:val="0"/>
                                  <w:marRight w:val="0"/>
                                  <w:marTop w:val="0"/>
                                  <w:marBottom w:val="0"/>
                                  <w:divBdr>
                                    <w:top w:val="none" w:sz="0" w:space="0" w:color="auto"/>
                                    <w:left w:val="none" w:sz="0" w:space="0" w:color="auto"/>
                                    <w:bottom w:val="none" w:sz="0" w:space="0" w:color="auto"/>
                                    <w:right w:val="none" w:sz="0" w:space="0" w:color="auto"/>
                                  </w:divBdr>
                                  <w:divsChild>
                                    <w:div w:id="341277729">
                                      <w:marLeft w:val="0"/>
                                      <w:marRight w:val="0"/>
                                      <w:marTop w:val="0"/>
                                      <w:marBottom w:val="0"/>
                                      <w:divBdr>
                                        <w:top w:val="none" w:sz="0" w:space="0" w:color="auto"/>
                                        <w:left w:val="none" w:sz="0" w:space="0" w:color="auto"/>
                                        <w:bottom w:val="none" w:sz="0" w:space="0" w:color="auto"/>
                                        <w:right w:val="none" w:sz="0" w:space="0" w:color="auto"/>
                                      </w:divBdr>
                                      <w:divsChild>
                                        <w:div w:id="1875540757">
                                          <w:marLeft w:val="0"/>
                                          <w:marRight w:val="0"/>
                                          <w:marTop w:val="0"/>
                                          <w:marBottom w:val="0"/>
                                          <w:divBdr>
                                            <w:top w:val="none" w:sz="0" w:space="0" w:color="auto"/>
                                            <w:left w:val="none" w:sz="0" w:space="0" w:color="auto"/>
                                            <w:bottom w:val="none" w:sz="0" w:space="0" w:color="auto"/>
                                            <w:right w:val="none" w:sz="0" w:space="0" w:color="auto"/>
                                          </w:divBdr>
                                          <w:divsChild>
                                            <w:div w:id="1813671500">
                                              <w:marLeft w:val="0"/>
                                              <w:marRight w:val="0"/>
                                              <w:marTop w:val="0"/>
                                              <w:marBottom w:val="0"/>
                                              <w:divBdr>
                                                <w:top w:val="none" w:sz="0" w:space="0" w:color="auto"/>
                                                <w:left w:val="none" w:sz="0" w:space="0" w:color="auto"/>
                                                <w:bottom w:val="none" w:sz="0" w:space="0" w:color="auto"/>
                                                <w:right w:val="none" w:sz="0" w:space="0" w:color="auto"/>
                                              </w:divBdr>
                                              <w:divsChild>
                                                <w:div w:id="695273322">
                                                  <w:marLeft w:val="0"/>
                                                  <w:marRight w:val="0"/>
                                                  <w:marTop w:val="0"/>
                                                  <w:marBottom w:val="0"/>
                                                  <w:divBdr>
                                                    <w:top w:val="none" w:sz="0" w:space="0" w:color="auto"/>
                                                    <w:left w:val="none" w:sz="0" w:space="0" w:color="auto"/>
                                                    <w:bottom w:val="none" w:sz="0" w:space="0" w:color="auto"/>
                                                    <w:right w:val="none" w:sz="0" w:space="0" w:color="auto"/>
                                                  </w:divBdr>
                                                  <w:divsChild>
                                                    <w:div w:id="99105867">
                                                      <w:marLeft w:val="0"/>
                                                      <w:marRight w:val="0"/>
                                                      <w:marTop w:val="0"/>
                                                      <w:marBottom w:val="0"/>
                                                      <w:divBdr>
                                                        <w:top w:val="none" w:sz="0" w:space="0" w:color="auto"/>
                                                        <w:left w:val="none" w:sz="0" w:space="0" w:color="auto"/>
                                                        <w:bottom w:val="none" w:sz="0" w:space="0" w:color="auto"/>
                                                        <w:right w:val="none" w:sz="0" w:space="0" w:color="auto"/>
                                                      </w:divBdr>
                                                      <w:divsChild>
                                                        <w:div w:id="1200707133">
                                                          <w:marLeft w:val="0"/>
                                                          <w:marRight w:val="0"/>
                                                          <w:marTop w:val="0"/>
                                                          <w:marBottom w:val="0"/>
                                                          <w:divBdr>
                                                            <w:top w:val="none" w:sz="0" w:space="0" w:color="auto"/>
                                                            <w:left w:val="none" w:sz="0" w:space="0" w:color="auto"/>
                                                            <w:bottom w:val="none" w:sz="0" w:space="0" w:color="auto"/>
                                                            <w:right w:val="none" w:sz="0" w:space="0" w:color="auto"/>
                                                          </w:divBdr>
                                                          <w:divsChild>
                                                            <w:div w:id="481233449">
                                                              <w:marLeft w:val="0"/>
                                                              <w:marRight w:val="0"/>
                                                              <w:marTop w:val="0"/>
                                                              <w:marBottom w:val="0"/>
                                                              <w:divBdr>
                                                                <w:top w:val="none" w:sz="0" w:space="0" w:color="auto"/>
                                                                <w:left w:val="none" w:sz="0" w:space="0" w:color="auto"/>
                                                                <w:bottom w:val="none" w:sz="0" w:space="0" w:color="auto"/>
                                                                <w:right w:val="none" w:sz="0" w:space="0" w:color="auto"/>
                                                              </w:divBdr>
                                                              <w:divsChild>
                                                                <w:div w:id="1194884489">
                                                                  <w:marLeft w:val="0"/>
                                                                  <w:marRight w:val="0"/>
                                                                  <w:marTop w:val="0"/>
                                                                  <w:marBottom w:val="0"/>
                                                                  <w:divBdr>
                                                                    <w:top w:val="none" w:sz="0" w:space="0" w:color="auto"/>
                                                                    <w:left w:val="none" w:sz="0" w:space="0" w:color="auto"/>
                                                                    <w:bottom w:val="none" w:sz="0" w:space="0" w:color="auto"/>
                                                                    <w:right w:val="none" w:sz="0" w:space="0" w:color="auto"/>
                                                                  </w:divBdr>
                                                                  <w:divsChild>
                                                                    <w:div w:id="1980647317">
                                                                      <w:marLeft w:val="0"/>
                                                                      <w:marRight w:val="0"/>
                                                                      <w:marTop w:val="0"/>
                                                                      <w:marBottom w:val="0"/>
                                                                      <w:divBdr>
                                                                        <w:top w:val="none" w:sz="0" w:space="0" w:color="auto"/>
                                                                        <w:left w:val="none" w:sz="0" w:space="0" w:color="auto"/>
                                                                        <w:bottom w:val="none" w:sz="0" w:space="0" w:color="auto"/>
                                                                        <w:right w:val="none" w:sz="0" w:space="0" w:color="auto"/>
                                                                      </w:divBdr>
                                                                      <w:divsChild>
                                                                        <w:div w:id="1165821815">
                                                                          <w:marLeft w:val="0"/>
                                                                          <w:marRight w:val="0"/>
                                                                          <w:marTop w:val="0"/>
                                                                          <w:marBottom w:val="0"/>
                                                                          <w:divBdr>
                                                                            <w:top w:val="none" w:sz="0" w:space="0" w:color="auto"/>
                                                                            <w:left w:val="none" w:sz="0" w:space="0" w:color="auto"/>
                                                                            <w:bottom w:val="none" w:sz="0" w:space="0" w:color="auto"/>
                                                                            <w:right w:val="none" w:sz="0" w:space="0" w:color="auto"/>
                                                                          </w:divBdr>
                                                                          <w:divsChild>
                                                                            <w:div w:id="204216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29415-D912-4E5E-B063-9B392F0B5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2558</Words>
  <Characters>14584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Harries (1500258)</dc:creator>
  <cp:keywords/>
  <dc:description/>
  <cp:lastModifiedBy>Richard Harries</cp:lastModifiedBy>
  <cp:revision>2</cp:revision>
  <dcterms:created xsi:type="dcterms:W3CDTF">2018-01-11T21:10:00Z</dcterms:created>
  <dcterms:modified xsi:type="dcterms:W3CDTF">2018-01-11T21:10:00Z</dcterms:modified>
</cp:coreProperties>
</file>