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A9110" w14:textId="77777777" w:rsidR="0013411D" w:rsidRPr="009C2D32" w:rsidRDefault="0013411D" w:rsidP="003656E8">
      <w:pPr>
        <w:spacing w:line="360" w:lineRule="auto"/>
        <w:jc w:val="center"/>
        <w:rPr>
          <w:rFonts w:ascii="Arial" w:hAnsi="Arial" w:cs="Arial"/>
          <w:b/>
          <w:bCs/>
        </w:rPr>
      </w:pPr>
      <w:r w:rsidRPr="009C2D32">
        <w:rPr>
          <w:rFonts w:ascii="Arial" w:hAnsi="Arial" w:cs="Arial"/>
          <w:b/>
          <w:bCs/>
        </w:rPr>
        <w:t>Understanding Type 2 Diabetes: Blood Glucose Regulation, Energy Metabolism and Lifestyle Management</w:t>
      </w:r>
    </w:p>
    <w:p w14:paraId="293BCEAF" w14:textId="77777777" w:rsidR="0013411D" w:rsidRPr="009C2D32" w:rsidRDefault="0013411D" w:rsidP="009C2D32">
      <w:pPr>
        <w:spacing w:line="360" w:lineRule="auto"/>
        <w:jc w:val="both"/>
        <w:rPr>
          <w:rFonts w:ascii="Arial" w:hAnsi="Arial" w:cs="Arial"/>
          <w:b/>
          <w:bCs/>
        </w:rPr>
      </w:pPr>
      <w:r w:rsidRPr="009C2D32">
        <w:rPr>
          <w:rFonts w:ascii="Arial" w:hAnsi="Arial" w:cs="Arial"/>
          <w:b/>
          <w:bCs/>
        </w:rPr>
        <w:t>Introduction</w:t>
      </w:r>
    </w:p>
    <w:p w14:paraId="3272E8D4" w14:textId="79976088" w:rsidR="001B4477" w:rsidRPr="001B4477" w:rsidRDefault="001B4477" w:rsidP="001B4477">
      <w:pPr>
        <w:spacing w:line="360" w:lineRule="auto"/>
        <w:jc w:val="both"/>
        <w:rPr>
          <w:rFonts w:ascii="Arial" w:hAnsi="Arial" w:cs="Arial"/>
        </w:rPr>
      </w:pPr>
      <w:r w:rsidRPr="001B4477">
        <w:rPr>
          <w:rFonts w:ascii="Arial" w:hAnsi="Arial" w:cs="Arial"/>
        </w:rPr>
        <w:t xml:space="preserve">Type 2 diabetes is a chronic metabolic disorder characterised by persistent hyperglycaemia resulting from insulin resistance and progressive pancreatic β-cell dysfunction. It is a major public health concern due to its association with significant morbidity, mortality and healthcare costs. Although genetic predisposition contributes to disease susceptibility, the increasing global prevalence of Type 2 diabetes highlights the important role of environmental and lifestyle factors in its development (DeFronzo </w:t>
      </w:r>
      <w:r w:rsidRPr="007A35DA">
        <w:rPr>
          <w:rFonts w:ascii="Arial" w:hAnsi="Arial" w:cs="Arial"/>
          <w:i/>
          <w:iCs/>
        </w:rPr>
        <w:t>et</w:t>
      </w:r>
      <w:r w:rsidRPr="001B4477">
        <w:rPr>
          <w:rFonts w:ascii="Arial" w:hAnsi="Arial" w:cs="Arial"/>
        </w:rPr>
        <w:t xml:space="preserve"> al., 2015).</w:t>
      </w:r>
    </w:p>
    <w:p w14:paraId="7D5AD1A6" w14:textId="77777777" w:rsidR="001B4477" w:rsidRPr="001B4477" w:rsidRDefault="001B4477" w:rsidP="001B4477">
      <w:pPr>
        <w:spacing w:line="360" w:lineRule="auto"/>
        <w:jc w:val="both"/>
        <w:rPr>
          <w:rFonts w:ascii="Arial" w:hAnsi="Arial" w:cs="Arial"/>
        </w:rPr>
      </w:pPr>
      <w:r w:rsidRPr="001B4477">
        <w:rPr>
          <w:rFonts w:ascii="Arial" w:hAnsi="Arial" w:cs="Arial"/>
        </w:rPr>
        <w:t xml:space="preserve">The condition involves more than impaired insulin secretion alone. Abnormalities in insulin action, hepatic glucose production, adipose tissue metabolism and pancreatic function collectively contribute to poor glycaemic control (DeFronzo </w:t>
      </w:r>
      <w:r w:rsidRPr="007A35DA">
        <w:rPr>
          <w:rFonts w:ascii="Arial" w:hAnsi="Arial" w:cs="Arial"/>
          <w:i/>
          <w:iCs/>
        </w:rPr>
        <w:t>et</w:t>
      </w:r>
      <w:r w:rsidRPr="001B4477">
        <w:rPr>
          <w:rFonts w:ascii="Arial" w:hAnsi="Arial" w:cs="Arial"/>
        </w:rPr>
        <w:t xml:space="preserve"> al., 2015). Major risk factors include obesity, physical inactivity, unhealthy dietary patterns and smoking, while age, ethnicity and family history also increase susceptibility (NICE, 2025). These factors demonstrate that Type 2 diabetes is influenced by both physiological and behavioural determinants of health.</w:t>
      </w:r>
    </w:p>
    <w:p w14:paraId="2029B5D5" w14:textId="77777777" w:rsidR="001B4477" w:rsidRPr="001B4477" w:rsidRDefault="001B4477" w:rsidP="001B4477">
      <w:pPr>
        <w:spacing w:line="360" w:lineRule="auto"/>
        <w:jc w:val="both"/>
        <w:rPr>
          <w:rFonts w:ascii="Arial" w:hAnsi="Arial" w:cs="Arial"/>
        </w:rPr>
      </w:pPr>
      <w:r w:rsidRPr="001B4477">
        <w:rPr>
          <w:rFonts w:ascii="Arial" w:hAnsi="Arial" w:cs="Arial"/>
        </w:rPr>
        <w:t>Patient education is therefore fundamental to effective diabetes management. Improving understanding of glucose regulation, energy metabolism, blood glucose monitoring and lifestyle modification can support self-management and reduce the risk of complications. This report examines the physiological basis of Type 2 diabetes and evaluates strategies that support effective disease management.</w:t>
      </w:r>
    </w:p>
    <w:p w14:paraId="0ADE50DE" w14:textId="1CFBA70A" w:rsidR="0013411D" w:rsidRPr="009C2D32" w:rsidRDefault="000B7302" w:rsidP="009C2D32">
      <w:pPr>
        <w:spacing w:line="360" w:lineRule="auto"/>
        <w:jc w:val="both"/>
        <w:rPr>
          <w:rFonts w:ascii="Arial" w:hAnsi="Arial" w:cs="Arial"/>
          <w:b/>
          <w:bCs/>
        </w:rPr>
      </w:pPr>
      <w:r>
        <w:rPr>
          <w:rFonts w:ascii="Arial" w:hAnsi="Arial" w:cs="Arial"/>
          <w:b/>
          <w:bCs/>
        </w:rPr>
        <w:t xml:space="preserve">1. </w:t>
      </w:r>
      <w:r>
        <w:rPr>
          <w:rFonts w:ascii="Arial" w:hAnsi="Arial" w:cs="Arial"/>
          <w:b/>
          <w:bCs/>
        </w:rPr>
        <w:tab/>
      </w:r>
      <w:r w:rsidR="0013411D" w:rsidRPr="009C2D32">
        <w:rPr>
          <w:rFonts w:ascii="Arial" w:hAnsi="Arial" w:cs="Arial"/>
          <w:b/>
          <w:bCs/>
        </w:rPr>
        <w:t>Regulation of Blood Glucose Levels</w:t>
      </w:r>
    </w:p>
    <w:p w14:paraId="0DD11670" w14:textId="77777777" w:rsidR="0013411D" w:rsidRPr="009C2D32" w:rsidRDefault="0013411D" w:rsidP="009C2D32">
      <w:pPr>
        <w:spacing w:line="360" w:lineRule="auto"/>
        <w:jc w:val="both"/>
        <w:rPr>
          <w:rFonts w:ascii="Arial" w:hAnsi="Arial" w:cs="Arial"/>
        </w:rPr>
      </w:pPr>
      <w:r w:rsidRPr="009C2D32">
        <w:rPr>
          <w:rFonts w:ascii="Arial" w:hAnsi="Arial" w:cs="Arial"/>
        </w:rPr>
        <w:t>Glucose homeostasis is a tightly regulated physiological process that ensures an adequate but controlled supply of glucose is available for cellular function. Maintaining blood glucose within a relatively narrow range is essential because both hyperglycaemia and hypoglycaemia can have serious consequences for health.</w:t>
      </w:r>
    </w:p>
    <w:p w14:paraId="29568C99" w14:textId="77777777" w:rsidR="0013411D" w:rsidRPr="009C2D32" w:rsidRDefault="0013411D" w:rsidP="009C2D32">
      <w:pPr>
        <w:spacing w:line="360" w:lineRule="auto"/>
        <w:jc w:val="both"/>
        <w:rPr>
          <w:rFonts w:ascii="Arial" w:hAnsi="Arial" w:cs="Arial"/>
        </w:rPr>
      </w:pPr>
      <w:r w:rsidRPr="009C2D32">
        <w:rPr>
          <w:rFonts w:ascii="Arial" w:hAnsi="Arial" w:cs="Arial"/>
        </w:rPr>
        <w:t>The pancreas plays a central role in glucose regulation through the endocrine activities of the Islets of Langerhans. Beta cells secrete insulin, whereas alpha cells release glucagon (Tortora and Derrickson, 2023). Together, these hormones operate through a negative feedback mechanism to maintain blood glucose homeostasis.</w:t>
      </w:r>
    </w:p>
    <w:p w14:paraId="785C8F1D" w14:textId="77777777" w:rsidR="0013411D" w:rsidRPr="009C2D32" w:rsidRDefault="0013411D" w:rsidP="009C2D32">
      <w:pPr>
        <w:spacing w:line="360" w:lineRule="auto"/>
        <w:jc w:val="both"/>
        <w:rPr>
          <w:rFonts w:ascii="Arial" w:hAnsi="Arial" w:cs="Arial"/>
        </w:rPr>
      </w:pPr>
      <w:r w:rsidRPr="009C2D32">
        <w:rPr>
          <w:rFonts w:ascii="Arial" w:hAnsi="Arial" w:cs="Arial"/>
        </w:rPr>
        <w:lastRenderedPageBreak/>
        <w:t>Following carbohydrate consumption, glucose enters the circulation, causing blood glucose concentrations to rise. In response, insulin is secreted by pancreatic beta cells. Insulin promotes the transport of glucose into skeletal muscle and adipose tissue while stimulating glycogen synthesis in the liver and muscles. It simultaneously suppresses hepatic glucose production, thereby reducing blood glucose concentrations (Hall, 2021).</w:t>
      </w:r>
    </w:p>
    <w:p w14:paraId="11EB3AF5" w14:textId="77777777" w:rsidR="0013411D" w:rsidRPr="009C2D32" w:rsidRDefault="0013411D" w:rsidP="009C2D32">
      <w:pPr>
        <w:spacing w:line="360" w:lineRule="auto"/>
        <w:jc w:val="both"/>
        <w:rPr>
          <w:rFonts w:ascii="Arial" w:hAnsi="Arial" w:cs="Arial"/>
        </w:rPr>
      </w:pPr>
      <w:r w:rsidRPr="009C2D32">
        <w:rPr>
          <w:rFonts w:ascii="Arial" w:hAnsi="Arial" w:cs="Arial"/>
        </w:rPr>
        <w:t>Conversely, when blood glucose levels decline during fasting or exercise, glucagon is released. Glucagon stimulates glycogenolysis and gluconeogenesis in the liver, increasing glucose availability and preventing hypoglycaemia (Kumar and Clark, 2023). This coordinated interaction between insulin and glucagon illustrates the principle of homeostasis, whereby physiological systems continuously adapt to maintain internal stability.</w:t>
      </w:r>
    </w:p>
    <w:p w14:paraId="08418061" w14:textId="23DE07E5" w:rsidR="0013411D" w:rsidRPr="009C2D32" w:rsidRDefault="0013411D" w:rsidP="009C2D32">
      <w:pPr>
        <w:spacing w:line="360" w:lineRule="auto"/>
        <w:jc w:val="both"/>
        <w:rPr>
          <w:rFonts w:ascii="Arial" w:hAnsi="Arial" w:cs="Arial"/>
        </w:rPr>
      </w:pPr>
      <w:r w:rsidRPr="009C2D32">
        <w:rPr>
          <w:rFonts w:ascii="Arial" w:hAnsi="Arial" w:cs="Arial"/>
        </w:rPr>
        <w:t xml:space="preserve">However, the regulation of blood glucose in Type 2 diabetes is considerably more complex than a simple deficiency of insulin. </w:t>
      </w:r>
      <w:r w:rsidR="00E21DAB">
        <w:rPr>
          <w:rFonts w:ascii="Arial" w:hAnsi="Arial" w:cs="Arial"/>
        </w:rPr>
        <w:t>(</w:t>
      </w:r>
      <w:r w:rsidRPr="009C2D32">
        <w:rPr>
          <w:rFonts w:ascii="Arial" w:hAnsi="Arial" w:cs="Arial"/>
        </w:rPr>
        <w:t xml:space="preserve">DeFronzo </w:t>
      </w:r>
      <w:r w:rsidRPr="007A35DA">
        <w:rPr>
          <w:rFonts w:ascii="Arial" w:hAnsi="Arial" w:cs="Arial"/>
          <w:i/>
          <w:iCs/>
        </w:rPr>
        <w:t>et</w:t>
      </w:r>
      <w:r w:rsidRPr="009C2D32">
        <w:rPr>
          <w:rFonts w:ascii="Arial" w:hAnsi="Arial" w:cs="Arial"/>
        </w:rPr>
        <w:t xml:space="preserve"> al.</w:t>
      </w:r>
      <w:r w:rsidR="00E21DAB">
        <w:rPr>
          <w:rFonts w:ascii="Arial" w:hAnsi="Arial" w:cs="Arial"/>
        </w:rPr>
        <w:t xml:space="preserve">, </w:t>
      </w:r>
      <w:r w:rsidRPr="009C2D32">
        <w:rPr>
          <w:rFonts w:ascii="Arial" w:hAnsi="Arial" w:cs="Arial"/>
        </w:rPr>
        <w:t>2015) argue that insulin resistance affects multiple tissues, including skeletal muscle, the liver and adipose tissue, while abnormal glucagon secretion may further exacerbate hyperglycaemia. This suggests that disturbances in multiple physiological pathways contribute to disease development rather than insulin dysfunction alone.</w:t>
      </w:r>
    </w:p>
    <w:p w14:paraId="53E6C5A1" w14:textId="1E483AAD" w:rsidR="0013411D" w:rsidRPr="009C2D32" w:rsidRDefault="00F31788" w:rsidP="009C2D32">
      <w:pPr>
        <w:spacing w:line="360" w:lineRule="auto"/>
        <w:jc w:val="both"/>
        <w:rPr>
          <w:rFonts w:ascii="Arial" w:hAnsi="Arial" w:cs="Arial"/>
        </w:rPr>
      </w:pPr>
      <w:r w:rsidRPr="00F31788">
        <w:rPr>
          <w:rFonts w:ascii="Arial" w:hAnsi="Arial" w:cs="Arial"/>
        </w:rPr>
        <w:t>A critical consequence of insulin resistance is that glucose remains within the bloodstream despite being present in sufficient quantities.</w:t>
      </w:r>
      <w:r>
        <w:rPr>
          <w:rFonts w:ascii="Arial" w:hAnsi="Arial" w:cs="Arial"/>
        </w:rPr>
        <w:t xml:space="preserve"> </w:t>
      </w:r>
      <w:r w:rsidR="0013411D" w:rsidRPr="009C2D32">
        <w:rPr>
          <w:rFonts w:ascii="Arial" w:hAnsi="Arial" w:cs="Arial"/>
        </w:rPr>
        <w:t xml:space="preserve">Initially, the pancreas attempts to compensate by increasing insulin production. However, sustained metabolic stress can result in progressive β-cell exhaustion and declining insulin secretion (DeFronzo </w:t>
      </w:r>
      <w:r w:rsidR="0013411D" w:rsidRPr="007A35DA">
        <w:rPr>
          <w:rFonts w:ascii="Arial" w:hAnsi="Arial" w:cs="Arial"/>
          <w:i/>
          <w:iCs/>
        </w:rPr>
        <w:t>et</w:t>
      </w:r>
      <w:r w:rsidR="0013411D" w:rsidRPr="009C2D32">
        <w:rPr>
          <w:rFonts w:ascii="Arial" w:hAnsi="Arial" w:cs="Arial"/>
        </w:rPr>
        <w:t xml:space="preserve"> al., 2015). This progression helps explain why glycaemic control often deteriorates over time in many individuals.</w:t>
      </w:r>
    </w:p>
    <w:p w14:paraId="57389AC3" w14:textId="487E94AD" w:rsidR="0013411D" w:rsidRPr="009C2D32" w:rsidRDefault="0013411D" w:rsidP="009C2D32">
      <w:pPr>
        <w:spacing w:line="360" w:lineRule="auto"/>
        <w:jc w:val="both"/>
        <w:rPr>
          <w:rFonts w:ascii="Arial" w:hAnsi="Arial" w:cs="Arial"/>
        </w:rPr>
      </w:pPr>
      <w:r w:rsidRPr="009C2D32">
        <w:rPr>
          <w:rFonts w:ascii="Arial" w:hAnsi="Arial" w:cs="Arial"/>
        </w:rPr>
        <w:t>The significance of maintaining glucose homeostasis becomes evident when considering the complications associated with chronic hyperglycaemia. Persistent elevations in blood glucose contribute to endothelial dysfunction, inflammation and vascular damage. Consequently, poorly controlled diabetes is associated with retinopathy, nephropathy, neuropathy and cardiovascular disease (American Diabetes Association,</w:t>
      </w:r>
      <w:r w:rsidR="00E21DAB">
        <w:rPr>
          <w:rFonts w:ascii="Arial" w:hAnsi="Arial" w:cs="Arial"/>
        </w:rPr>
        <w:t xml:space="preserve"> </w:t>
      </w:r>
      <w:r w:rsidRPr="009C2D32">
        <w:rPr>
          <w:rFonts w:ascii="Arial" w:hAnsi="Arial" w:cs="Arial"/>
        </w:rPr>
        <w:t>2024). Therefore, understanding the physiological mechanisms underlying glucose regulation is essential for appreciating the importance of effective diabetes management.</w:t>
      </w:r>
    </w:p>
    <w:p w14:paraId="75A4D0B8" w14:textId="77777777" w:rsidR="00244559" w:rsidRDefault="0013411D" w:rsidP="009C2D32">
      <w:pPr>
        <w:spacing w:line="360" w:lineRule="auto"/>
        <w:jc w:val="both"/>
        <w:rPr>
          <w:rFonts w:ascii="Arial" w:hAnsi="Arial" w:cs="Arial"/>
        </w:rPr>
      </w:pPr>
      <w:r w:rsidRPr="009C2D32">
        <w:rPr>
          <w:rFonts w:ascii="Arial" w:hAnsi="Arial" w:cs="Arial"/>
        </w:rPr>
        <w:lastRenderedPageBreak/>
        <w:t xml:space="preserve">An additional factor influencing glucose homeostasis is the role of adipose tissue in metabolic regulation. Adipose tissue was traditionally viewed primarily as an energy storage site; however, contemporary research demonstrates that it functions as an active endocrine organ. Fat cells release numerous bioactive substances known as adipokines, including leptin, adiponectin and inflammatory cytokines. In individuals with obesity, particularly central obesity, altered adipokine secretion contributes to chronic low-grade inflammation and increased insulin resistance (DeFronzo </w:t>
      </w:r>
      <w:r w:rsidRPr="007A35DA">
        <w:rPr>
          <w:rFonts w:ascii="Arial" w:hAnsi="Arial" w:cs="Arial"/>
          <w:i/>
          <w:iCs/>
        </w:rPr>
        <w:t>et</w:t>
      </w:r>
      <w:r w:rsidRPr="009C2D32">
        <w:rPr>
          <w:rFonts w:ascii="Arial" w:hAnsi="Arial" w:cs="Arial"/>
        </w:rPr>
        <w:t xml:space="preserve"> al., 2015).</w:t>
      </w:r>
      <w:r w:rsidR="00244559" w:rsidRPr="009C2D32">
        <w:rPr>
          <w:rFonts w:ascii="Arial" w:hAnsi="Arial" w:cs="Arial"/>
        </w:rPr>
        <w:t xml:space="preserve"> This relationship explains why obesity is one of the strongest risk factors for Type 2 diabetes. It also demonstrates that diabetes is not solely a disorder of pancreatic dysfunction but involves complex interactions between endocrine, metabolic and inflammatory pathways. Therefore, interventions that reduce body fat may improve glycaemic control by addressing the underlying causes of insulin resistance rather than simply treating elevated blood glucose levels.</w:t>
      </w:r>
    </w:p>
    <w:p w14:paraId="22E64CBF" w14:textId="77777777" w:rsidR="00F31788" w:rsidRPr="00F31788" w:rsidRDefault="00F31788" w:rsidP="00F31788">
      <w:pPr>
        <w:spacing w:line="360" w:lineRule="auto"/>
        <w:jc w:val="both"/>
        <w:rPr>
          <w:rFonts w:ascii="Arial" w:hAnsi="Arial" w:cs="Arial"/>
        </w:rPr>
      </w:pPr>
      <w:r w:rsidRPr="00F31788">
        <w:rPr>
          <w:rFonts w:ascii="Arial" w:hAnsi="Arial" w:cs="Arial"/>
        </w:rPr>
        <w:t>This relationship helps explain why obesity is one of the strongest modifiable risk factors for Type 2 diabetes. Furthermore, it illustrates that glucose dysregulation results from interactions between multiple physiological systems rather than pancreatic dysfunction alone. Consequently, interventions aimed at reducing excess adiposity may improve glycaemic control by addressing underlying mechanisms of insulin resistance.</w:t>
      </w:r>
    </w:p>
    <w:p w14:paraId="646C2B4D" w14:textId="0C15B8F3" w:rsidR="0013411D" w:rsidRPr="009C2D32" w:rsidRDefault="000B7302" w:rsidP="009C2D32">
      <w:pPr>
        <w:spacing w:line="360" w:lineRule="auto"/>
        <w:jc w:val="both"/>
        <w:rPr>
          <w:rFonts w:ascii="Arial" w:hAnsi="Arial" w:cs="Arial"/>
          <w:b/>
          <w:bCs/>
        </w:rPr>
      </w:pPr>
      <w:r>
        <w:rPr>
          <w:rFonts w:ascii="Arial" w:hAnsi="Arial" w:cs="Arial"/>
          <w:b/>
          <w:bCs/>
        </w:rPr>
        <w:t>2.</w:t>
      </w:r>
      <w:r>
        <w:rPr>
          <w:rFonts w:ascii="Arial" w:hAnsi="Arial" w:cs="Arial"/>
          <w:b/>
          <w:bCs/>
        </w:rPr>
        <w:tab/>
      </w:r>
      <w:r w:rsidR="0013411D" w:rsidRPr="009C2D32">
        <w:rPr>
          <w:rFonts w:ascii="Arial" w:hAnsi="Arial" w:cs="Arial"/>
          <w:b/>
          <w:bCs/>
        </w:rPr>
        <w:t>Oxygen, Glucose and Energy Production Through Cellular Metabolism</w:t>
      </w:r>
    </w:p>
    <w:p w14:paraId="24C61E03" w14:textId="77777777" w:rsidR="0013411D" w:rsidRPr="009C2D32" w:rsidRDefault="0013411D" w:rsidP="009C2D32">
      <w:pPr>
        <w:spacing w:line="360" w:lineRule="auto"/>
        <w:jc w:val="both"/>
        <w:rPr>
          <w:rFonts w:ascii="Arial" w:hAnsi="Arial" w:cs="Arial"/>
        </w:rPr>
      </w:pPr>
      <w:r w:rsidRPr="009C2D32">
        <w:rPr>
          <w:rFonts w:ascii="Arial" w:hAnsi="Arial" w:cs="Arial"/>
        </w:rPr>
        <w:t>Cellular metabolism is the process through which nutrients are converted into usable energy. Glucose is the body's primary metabolic fuel, while oxygen is required for efficient ATP production through aerobic respiration. ATP serves as the immediate energy source for virtually all physiological activities, including muscle contraction, active transport and cellular repair (Tortora and Derrickson, 2023).</w:t>
      </w:r>
    </w:p>
    <w:p w14:paraId="5F7A284A" w14:textId="77777777" w:rsidR="0013411D" w:rsidRDefault="0013411D" w:rsidP="009C2D32">
      <w:pPr>
        <w:spacing w:line="360" w:lineRule="auto"/>
        <w:jc w:val="both"/>
        <w:rPr>
          <w:rFonts w:ascii="Arial" w:hAnsi="Arial" w:cs="Arial"/>
        </w:rPr>
      </w:pPr>
      <w:r w:rsidRPr="009C2D32">
        <w:rPr>
          <w:rFonts w:ascii="Arial" w:hAnsi="Arial" w:cs="Arial"/>
        </w:rPr>
        <w:t>Cellular respiration occurs in three interconnected stages: glycolysis, the Krebs cycle and the electron transport chain. During glycolysis, glucose is converted into pyruvate within the cytoplasm. The Krebs cycle subsequently occurs within the mitochondria, generating electron carriers that transfer energy to the electron transport chain, where oxygen acts as the final electron acceptor. This process produces the majority of ATP required by the cell (Hall, 2021).</w:t>
      </w:r>
    </w:p>
    <w:p w14:paraId="1288720F" w14:textId="77777777" w:rsidR="000B7302" w:rsidRDefault="000B7302" w:rsidP="009C2D32">
      <w:pPr>
        <w:spacing w:line="360" w:lineRule="auto"/>
        <w:jc w:val="both"/>
        <w:rPr>
          <w:rFonts w:ascii="Arial" w:hAnsi="Arial" w:cs="Arial"/>
        </w:rPr>
      </w:pPr>
    </w:p>
    <w:p w14:paraId="1C0EB397" w14:textId="77777777" w:rsidR="001B4477" w:rsidRPr="001B4477" w:rsidRDefault="001B4477" w:rsidP="001B4477">
      <w:pPr>
        <w:spacing w:line="360" w:lineRule="auto"/>
        <w:jc w:val="both"/>
        <w:rPr>
          <w:rFonts w:ascii="Arial" w:hAnsi="Arial" w:cs="Arial"/>
        </w:rPr>
      </w:pPr>
      <w:r w:rsidRPr="001B4477">
        <w:rPr>
          <w:rFonts w:ascii="Arial" w:hAnsi="Arial" w:cs="Arial"/>
        </w:rPr>
        <w:lastRenderedPageBreak/>
        <w:t>The overall equation for aerobic respiration can be represented as:</w:t>
      </w:r>
    </w:p>
    <w:p w14:paraId="7B0C6F7C" w14:textId="77777777" w:rsidR="001B4477" w:rsidRPr="001B4477" w:rsidRDefault="001B4477" w:rsidP="001B4477">
      <w:pPr>
        <w:spacing w:line="360" w:lineRule="auto"/>
        <w:jc w:val="both"/>
        <w:rPr>
          <w:rFonts w:ascii="Arial" w:hAnsi="Arial" w:cs="Arial"/>
        </w:rPr>
      </w:pPr>
      <w:r w:rsidRPr="001B4477">
        <w:rPr>
          <w:rFonts w:ascii="Arial" w:hAnsi="Arial" w:cs="Arial"/>
          <w:b/>
          <w:bCs/>
        </w:rPr>
        <w:t>Glucose + Oxygen → Carbon Dioxide + Water + ATP (Energy)</w:t>
      </w:r>
    </w:p>
    <w:p w14:paraId="271DDAC4" w14:textId="77777777" w:rsidR="001B4477" w:rsidRPr="001B4477" w:rsidRDefault="001B4477" w:rsidP="001B4477">
      <w:pPr>
        <w:spacing w:line="360" w:lineRule="auto"/>
        <w:jc w:val="both"/>
        <w:rPr>
          <w:rFonts w:ascii="Arial" w:hAnsi="Arial" w:cs="Arial"/>
        </w:rPr>
      </w:pPr>
      <w:r w:rsidRPr="001B4477">
        <w:rPr>
          <w:rFonts w:ascii="Arial" w:hAnsi="Arial" w:cs="Arial"/>
        </w:rPr>
        <w:t>ATP generated through aerobic respiration powers essential physiological processes, including muscle contraction, nerve impulse transmission, active transport and tissue repair.</w:t>
      </w:r>
    </w:p>
    <w:p w14:paraId="6C68787F" w14:textId="77777777" w:rsidR="0013411D" w:rsidRPr="009C2D32" w:rsidRDefault="0013411D" w:rsidP="009C2D32">
      <w:pPr>
        <w:spacing w:line="360" w:lineRule="auto"/>
        <w:jc w:val="both"/>
        <w:rPr>
          <w:rFonts w:ascii="Arial" w:hAnsi="Arial" w:cs="Arial"/>
        </w:rPr>
      </w:pPr>
      <w:r w:rsidRPr="009C2D32">
        <w:rPr>
          <w:rFonts w:ascii="Arial" w:hAnsi="Arial" w:cs="Arial"/>
        </w:rPr>
        <w:t>The dependence of ATP production on both glucose and oxygen illustrates the close relationship between metabolic and cardiovascular physiology. In healthy individuals, insulin facilitates glucose uptake into cells, ensuring that glucose can be utilised effectively during cellular respiration. However, in Type 2 diabetes, insulin resistance impairs cellular glucose uptake despite elevated blood glucose concentrations.</w:t>
      </w:r>
    </w:p>
    <w:p w14:paraId="7EE38343" w14:textId="77777777" w:rsidR="0013411D" w:rsidRPr="009C2D32" w:rsidRDefault="0013411D" w:rsidP="009C2D32">
      <w:pPr>
        <w:spacing w:line="360" w:lineRule="auto"/>
        <w:jc w:val="both"/>
        <w:rPr>
          <w:rFonts w:ascii="Arial" w:hAnsi="Arial" w:cs="Arial"/>
        </w:rPr>
      </w:pPr>
      <w:r w:rsidRPr="009C2D32">
        <w:rPr>
          <w:rFonts w:ascii="Arial" w:hAnsi="Arial" w:cs="Arial"/>
        </w:rPr>
        <w:t>This creates an important physiological paradox. Although excess glucose is present within the bloodstream, cells may be unable to access and utilise it efficiently. Consequently, patients frequently report fatigue and reduced physical stamina despite hyperglycaemia. This demonstrates that metabolic health depends not only on glucose availability but also on the body's ability to utilise glucose appropriately.</w:t>
      </w:r>
    </w:p>
    <w:p w14:paraId="35210E8D" w14:textId="60ED56EF" w:rsidR="0013411D" w:rsidRPr="009C2D32" w:rsidRDefault="0013411D" w:rsidP="009C2D32">
      <w:pPr>
        <w:spacing w:line="360" w:lineRule="auto"/>
        <w:jc w:val="both"/>
        <w:rPr>
          <w:rFonts w:ascii="Arial" w:hAnsi="Arial" w:cs="Arial"/>
        </w:rPr>
      </w:pPr>
      <w:r w:rsidRPr="009C2D32">
        <w:rPr>
          <w:rFonts w:ascii="Arial" w:hAnsi="Arial" w:cs="Arial"/>
        </w:rPr>
        <w:t>Furthermore, prolonged hyperglycaemia promotes oxidative stress and chronic inflammation, which may further impair metabolic function (DeFronzo et al., 2015). Therefore, maintaining effective glucose regulation is important not merely for preventing elevated blood glucose levels but also for preserving efficient cellular energy production and reducing long-term tissue damage.</w:t>
      </w:r>
    </w:p>
    <w:p w14:paraId="50381076" w14:textId="1EA43E49" w:rsidR="0013411D" w:rsidRPr="009C2D32" w:rsidRDefault="000B7302" w:rsidP="009C2D32">
      <w:pPr>
        <w:spacing w:line="360" w:lineRule="auto"/>
        <w:jc w:val="both"/>
        <w:rPr>
          <w:rFonts w:ascii="Arial" w:hAnsi="Arial" w:cs="Arial"/>
          <w:b/>
          <w:bCs/>
        </w:rPr>
      </w:pPr>
      <w:r>
        <w:rPr>
          <w:rFonts w:ascii="Arial" w:hAnsi="Arial" w:cs="Arial"/>
          <w:b/>
          <w:bCs/>
        </w:rPr>
        <w:t>3.</w:t>
      </w:r>
      <w:r>
        <w:rPr>
          <w:rFonts w:ascii="Arial" w:hAnsi="Arial" w:cs="Arial"/>
          <w:b/>
          <w:bCs/>
        </w:rPr>
        <w:tab/>
      </w:r>
      <w:r w:rsidR="0013411D" w:rsidRPr="009C2D32">
        <w:rPr>
          <w:rFonts w:ascii="Arial" w:hAnsi="Arial" w:cs="Arial"/>
          <w:b/>
          <w:bCs/>
        </w:rPr>
        <w:t>The Importance of Recording and Tracking Blood Sugar Levels</w:t>
      </w:r>
    </w:p>
    <w:p w14:paraId="11DC6586" w14:textId="77777777" w:rsidR="0013411D" w:rsidRPr="009C2D32" w:rsidRDefault="0013411D" w:rsidP="009C2D32">
      <w:pPr>
        <w:spacing w:line="360" w:lineRule="auto"/>
        <w:jc w:val="both"/>
        <w:rPr>
          <w:rFonts w:ascii="Arial" w:hAnsi="Arial" w:cs="Arial"/>
        </w:rPr>
      </w:pPr>
      <w:r w:rsidRPr="009C2D32">
        <w:rPr>
          <w:rFonts w:ascii="Arial" w:hAnsi="Arial" w:cs="Arial"/>
        </w:rPr>
        <w:t>Self-monitoring of blood glucose forms an important component of Type 2 diabetes management. Monitoring enables patients and healthcare professionals to identify trends, assess treatment effectiveness and detect abnormal glucose fluctuations before serious complications develop.</w:t>
      </w:r>
    </w:p>
    <w:p w14:paraId="4F2F734F" w14:textId="77777777" w:rsidR="0013411D" w:rsidRPr="009C2D32" w:rsidRDefault="0013411D" w:rsidP="009C2D32">
      <w:pPr>
        <w:spacing w:line="360" w:lineRule="auto"/>
        <w:jc w:val="both"/>
        <w:rPr>
          <w:rFonts w:ascii="Arial" w:hAnsi="Arial" w:cs="Arial"/>
        </w:rPr>
      </w:pPr>
      <w:r w:rsidRPr="009C2D32">
        <w:rPr>
          <w:rFonts w:ascii="Arial" w:hAnsi="Arial" w:cs="Arial"/>
        </w:rPr>
        <w:t>Regular blood glucose monitoring allows individuals to observe how dietary intake, physical activity, medication adherence and illness influence glycaemic control (NICE, 2025). This feedback can enhance understanding of the condition and promote more informed health-related decision-making.</w:t>
      </w:r>
    </w:p>
    <w:p w14:paraId="6A678F4A" w14:textId="77777777" w:rsidR="0013411D" w:rsidRPr="009C2D32" w:rsidRDefault="0013411D" w:rsidP="009C2D32">
      <w:pPr>
        <w:spacing w:line="360" w:lineRule="auto"/>
        <w:jc w:val="both"/>
        <w:rPr>
          <w:rFonts w:ascii="Arial" w:hAnsi="Arial" w:cs="Arial"/>
        </w:rPr>
      </w:pPr>
      <w:r w:rsidRPr="009C2D32">
        <w:rPr>
          <w:rFonts w:ascii="Arial" w:hAnsi="Arial" w:cs="Arial"/>
        </w:rPr>
        <w:lastRenderedPageBreak/>
        <w:t xml:space="preserve">However, the value of blood glucose monitoring should be considered critically. While monitoring can improve awareness and facilitate self-management, evidence suggests that monitoring alone is unlikely to produce significant improvements in long-term outcomes unless accompanied by structured education and behavioural support (Davies </w:t>
      </w:r>
      <w:r w:rsidRPr="007A35DA">
        <w:rPr>
          <w:rFonts w:ascii="Arial" w:hAnsi="Arial" w:cs="Arial"/>
          <w:i/>
          <w:iCs/>
        </w:rPr>
        <w:t>et</w:t>
      </w:r>
      <w:r w:rsidRPr="009C2D32">
        <w:rPr>
          <w:rFonts w:ascii="Arial" w:hAnsi="Arial" w:cs="Arial"/>
        </w:rPr>
        <w:t xml:space="preserve"> al., 2022). Therefore, monitoring should be viewed as a tool that supports self-management rather than an intervention capable of improving outcomes independently.</w:t>
      </w:r>
    </w:p>
    <w:p w14:paraId="21F0F1CF" w14:textId="77777777" w:rsidR="0013411D" w:rsidRPr="009C2D32" w:rsidRDefault="0013411D" w:rsidP="009C2D32">
      <w:pPr>
        <w:spacing w:line="360" w:lineRule="auto"/>
        <w:jc w:val="both"/>
        <w:rPr>
          <w:rFonts w:ascii="Arial" w:hAnsi="Arial" w:cs="Arial"/>
        </w:rPr>
      </w:pPr>
      <w:r w:rsidRPr="009C2D32">
        <w:rPr>
          <w:rFonts w:ascii="Arial" w:hAnsi="Arial" w:cs="Arial"/>
        </w:rPr>
        <w:t>HbA1c measurement provides an additional method of evaluating glycaemic control by reflecting average blood glucose concentrations over approximately two to three months. Unlike single glucose readings, HbA1c offers insight into long-term patterns and allows healthcare professionals to evaluate whether treatment goals are being achieved (American Diabetes Association, 2024).</w:t>
      </w:r>
    </w:p>
    <w:p w14:paraId="53D3B192" w14:textId="360E2394" w:rsidR="0013411D" w:rsidRPr="009C2D32" w:rsidRDefault="0013411D" w:rsidP="009C2D32">
      <w:pPr>
        <w:spacing w:line="360" w:lineRule="auto"/>
        <w:jc w:val="both"/>
        <w:rPr>
          <w:rFonts w:ascii="Arial" w:hAnsi="Arial" w:cs="Arial"/>
        </w:rPr>
      </w:pPr>
      <w:r w:rsidRPr="009C2D32">
        <w:rPr>
          <w:rFonts w:ascii="Arial" w:hAnsi="Arial" w:cs="Arial"/>
        </w:rPr>
        <w:t>Importantly, recording blood glucose values can enhance patient engagement and promote shared decision-making within healthcare consultations. When patients understand how their behaviours influence glucose levels, they may be better positioned to participate actively in their care plans. Consequently, monitoring has both physiological and educational significance within diabetes management.</w:t>
      </w:r>
    </w:p>
    <w:p w14:paraId="7B501C55" w14:textId="17FC137B" w:rsidR="0013411D" w:rsidRPr="009C2D32" w:rsidRDefault="000B7302" w:rsidP="009C2D32">
      <w:pPr>
        <w:spacing w:line="360" w:lineRule="auto"/>
        <w:jc w:val="both"/>
        <w:rPr>
          <w:rFonts w:ascii="Arial" w:hAnsi="Arial" w:cs="Arial"/>
          <w:b/>
          <w:bCs/>
        </w:rPr>
      </w:pPr>
      <w:r>
        <w:rPr>
          <w:rFonts w:ascii="Arial" w:hAnsi="Arial" w:cs="Arial"/>
          <w:b/>
          <w:bCs/>
        </w:rPr>
        <w:t>4.</w:t>
      </w:r>
      <w:r>
        <w:rPr>
          <w:rFonts w:ascii="Arial" w:hAnsi="Arial" w:cs="Arial"/>
          <w:b/>
          <w:bCs/>
        </w:rPr>
        <w:tab/>
      </w:r>
      <w:r w:rsidR="0013411D" w:rsidRPr="009C2D32">
        <w:rPr>
          <w:rFonts w:ascii="Arial" w:hAnsi="Arial" w:cs="Arial"/>
          <w:b/>
          <w:bCs/>
        </w:rPr>
        <w:t>Evidence-Based Lifestyle Recommendations</w:t>
      </w:r>
    </w:p>
    <w:p w14:paraId="1F214E4D" w14:textId="614CEEB0" w:rsidR="0013411D" w:rsidRDefault="00244559" w:rsidP="009C2D32">
      <w:pPr>
        <w:spacing w:after="0" w:line="360" w:lineRule="auto"/>
        <w:jc w:val="both"/>
        <w:rPr>
          <w:rFonts w:ascii="Arial" w:eastAsia="Times New Roman" w:hAnsi="Arial" w:cs="Arial"/>
          <w:kern w:val="0"/>
          <w:lang w:eastAsia="en-GB"/>
          <w14:ligatures w14:val="none"/>
        </w:rPr>
      </w:pPr>
      <w:r w:rsidRPr="009C2D32">
        <w:rPr>
          <w:rFonts w:ascii="Arial" w:eastAsia="Times New Roman" w:hAnsi="Arial" w:cs="Arial"/>
          <w:kern w:val="0"/>
          <w:lang w:eastAsia="en-GB"/>
          <w14:ligatures w14:val="none"/>
        </w:rPr>
        <w:t xml:space="preserve">Lifestyle factors including diet, physical activity, smoking behaviour and weight management play a significant role in Type 2 diabetes management. </w:t>
      </w:r>
      <w:r w:rsidR="0013411D" w:rsidRPr="009C2D32">
        <w:rPr>
          <w:rFonts w:ascii="Arial" w:eastAsia="Times New Roman" w:hAnsi="Arial" w:cs="Arial"/>
          <w:kern w:val="0"/>
          <w:lang w:eastAsia="en-GB"/>
          <w14:ligatures w14:val="none"/>
        </w:rPr>
        <w:t>While lifestyle modification is widely recommended, implementing and sustaining behavioural change remains challenging. Many individuals with Type 2 diabetes face barriers including financial constraints, limited access to healthy food options, work commitments, cultural influences and physical health limitations. Consequently, simply advising patients to improve their diet or increase physical activity is often insufficient to support meaningful change.</w:t>
      </w:r>
    </w:p>
    <w:p w14:paraId="30B397D1" w14:textId="77777777" w:rsidR="000B7302" w:rsidRPr="009C2D32" w:rsidRDefault="000B7302" w:rsidP="009C2D32">
      <w:pPr>
        <w:spacing w:after="0" w:line="360" w:lineRule="auto"/>
        <w:jc w:val="both"/>
        <w:rPr>
          <w:rFonts w:ascii="Arial" w:eastAsia="Times New Roman" w:hAnsi="Arial" w:cs="Arial"/>
          <w:kern w:val="0"/>
          <w:lang w:eastAsia="en-GB"/>
          <w14:ligatures w14:val="none"/>
        </w:rPr>
      </w:pPr>
    </w:p>
    <w:p w14:paraId="5BC5A475" w14:textId="77777777" w:rsidR="0013411D" w:rsidRDefault="0013411D" w:rsidP="009C2D32">
      <w:pPr>
        <w:spacing w:after="0" w:line="360" w:lineRule="auto"/>
        <w:jc w:val="both"/>
        <w:rPr>
          <w:rFonts w:ascii="Arial" w:eastAsia="Times New Roman" w:hAnsi="Arial" w:cs="Arial"/>
          <w:kern w:val="0"/>
          <w:lang w:eastAsia="en-GB"/>
          <w14:ligatures w14:val="none"/>
        </w:rPr>
      </w:pPr>
      <w:r w:rsidRPr="009C2D32">
        <w:rPr>
          <w:rFonts w:ascii="Arial" w:eastAsia="Times New Roman" w:hAnsi="Arial" w:cs="Arial"/>
          <w:kern w:val="0"/>
          <w:lang w:eastAsia="en-GB"/>
          <w14:ligatures w14:val="none"/>
        </w:rPr>
        <w:t xml:space="preserve">Current healthcare practice increasingly recognises the importance of person-centred care. This approach involves working collaboratively with patients to identify achievable goals and tailor interventions to individual circumstances. Evidence suggests that interventions are more likely to be successful when patients actively </w:t>
      </w:r>
      <w:r w:rsidRPr="009C2D32">
        <w:rPr>
          <w:rFonts w:ascii="Arial" w:eastAsia="Times New Roman" w:hAnsi="Arial" w:cs="Arial"/>
          <w:kern w:val="0"/>
          <w:lang w:eastAsia="en-GB"/>
          <w14:ligatures w14:val="none"/>
        </w:rPr>
        <w:lastRenderedPageBreak/>
        <w:t xml:space="preserve">participate in decision-making and perceive recommendations as realistic and relevant to their daily lives (Davies </w:t>
      </w:r>
      <w:r w:rsidRPr="007A35DA">
        <w:rPr>
          <w:rFonts w:ascii="Arial" w:eastAsia="Times New Roman" w:hAnsi="Arial" w:cs="Arial"/>
          <w:i/>
          <w:iCs/>
          <w:kern w:val="0"/>
          <w:lang w:eastAsia="en-GB"/>
          <w14:ligatures w14:val="none"/>
        </w:rPr>
        <w:t>et</w:t>
      </w:r>
      <w:r w:rsidRPr="009C2D32">
        <w:rPr>
          <w:rFonts w:ascii="Arial" w:eastAsia="Times New Roman" w:hAnsi="Arial" w:cs="Arial"/>
          <w:kern w:val="0"/>
          <w:lang w:eastAsia="en-GB"/>
          <w14:ligatures w14:val="none"/>
        </w:rPr>
        <w:t xml:space="preserve"> al., 2022).</w:t>
      </w:r>
    </w:p>
    <w:p w14:paraId="04598749" w14:textId="77777777" w:rsidR="000B7302" w:rsidRPr="009C2D32" w:rsidRDefault="000B7302" w:rsidP="009C2D32">
      <w:pPr>
        <w:spacing w:after="0" w:line="360" w:lineRule="auto"/>
        <w:jc w:val="both"/>
        <w:rPr>
          <w:rFonts w:ascii="Arial" w:eastAsia="Times New Roman" w:hAnsi="Arial" w:cs="Arial"/>
          <w:kern w:val="0"/>
          <w:lang w:eastAsia="en-GB"/>
          <w14:ligatures w14:val="none"/>
        </w:rPr>
      </w:pPr>
    </w:p>
    <w:p w14:paraId="48430298" w14:textId="77777777" w:rsidR="0013411D" w:rsidRPr="009C2D32" w:rsidRDefault="0013411D" w:rsidP="009C2D32">
      <w:pPr>
        <w:spacing w:after="0" w:line="360" w:lineRule="auto"/>
        <w:jc w:val="both"/>
        <w:rPr>
          <w:rFonts w:ascii="Arial" w:eastAsia="Times New Roman" w:hAnsi="Arial" w:cs="Arial"/>
          <w:kern w:val="0"/>
          <w:lang w:eastAsia="en-GB"/>
          <w14:ligatures w14:val="none"/>
        </w:rPr>
      </w:pPr>
      <w:r w:rsidRPr="009C2D32">
        <w:rPr>
          <w:rFonts w:ascii="Arial" w:eastAsia="Times New Roman" w:hAnsi="Arial" w:cs="Arial"/>
          <w:kern w:val="0"/>
          <w:lang w:eastAsia="en-GB"/>
          <w14:ligatures w14:val="none"/>
        </w:rPr>
        <w:t>In addition, behavioural change theories emphasise the importance of motivation, confidence and social support. Patients may require ongoing encouragement and structured support from healthcare professionals, family members and community services to maintain long-term lifestyle changes. Therefore, successful diabetes management depends on both physiological understanding and behavioural support strategies.</w:t>
      </w:r>
    </w:p>
    <w:p w14:paraId="41E955AC" w14:textId="77777777" w:rsidR="006E79DF" w:rsidRPr="009C2D32" w:rsidRDefault="006E79DF" w:rsidP="009C2D32">
      <w:pPr>
        <w:spacing w:after="0" w:line="360" w:lineRule="auto"/>
        <w:jc w:val="both"/>
        <w:rPr>
          <w:rFonts w:ascii="Arial" w:eastAsia="Times New Roman" w:hAnsi="Arial" w:cs="Arial"/>
          <w:kern w:val="0"/>
          <w:lang w:eastAsia="en-GB"/>
          <w14:ligatures w14:val="none"/>
        </w:rPr>
      </w:pPr>
    </w:p>
    <w:p w14:paraId="4DC75A88" w14:textId="77777777" w:rsidR="0013411D" w:rsidRPr="009C2D32" w:rsidRDefault="0013411D" w:rsidP="009C2D32">
      <w:pPr>
        <w:spacing w:after="0" w:line="360" w:lineRule="auto"/>
        <w:jc w:val="both"/>
        <w:rPr>
          <w:rFonts w:ascii="Arial" w:eastAsia="Times New Roman" w:hAnsi="Arial" w:cs="Arial"/>
          <w:kern w:val="0"/>
          <w:lang w:eastAsia="en-GB"/>
          <w14:ligatures w14:val="none"/>
        </w:rPr>
      </w:pPr>
      <w:r w:rsidRPr="009C2D32">
        <w:rPr>
          <w:rFonts w:ascii="Arial" w:eastAsia="Times New Roman" w:hAnsi="Arial" w:cs="Arial"/>
          <w:kern w:val="0"/>
          <w:lang w:eastAsia="en-GB"/>
          <w14:ligatures w14:val="none"/>
        </w:rPr>
        <w:t xml:space="preserve">The growing evidence surrounding Type 2 diabetes remission further reinforces the importance of lifestyle intervention. Research demonstrating improvement in β-cell function following substantial weight loss has challenged traditional assumptions that diabetes is inevitably progressive (Taylor </w:t>
      </w:r>
      <w:r w:rsidRPr="007A35DA">
        <w:rPr>
          <w:rFonts w:ascii="Arial" w:eastAsia="Times New Roman" w:hAnsi="Arial" w:cs="Arial"/>
          <w:i/>
          <w:iCs/>
          <w:kern w:val="0"/>
          <w:lang w:eastAsia="en-GB"/>
          <w14:ligatures w14:val="none"/>
        </w:rPr>
        <w:t>et</w:t>
      </w:r>
      <w:r w:rsidRPr="009C2D32">
        <w:rPr>
          <w:rFonts w:ascii="Arial" w:eastAsia="Times New Roman" w:hAnsi="Arial" w:cs="Arial"/>
          <w:kern w:val="0"/>
          <w:lang w:eastAsia="en-GB"/>
          <w14:ligatures w14:val="none"/>
        </w:rPr>
        <w:t xml:space="preserve"> al., 2018). However, remission is not guaranteed and may not be achievable for all individuals. This highlights the importance of individualised care plans that focus on achievable improvements in health outcomes rather than unrealistic expectations.</w:t>
      </w:r>
    </w:p>
    <w:p w14:paraId="4B5BD11B" w14:textId="04D5CA7B" w:rsidR="0013411D" w:rsidRPr="000B7302" w:rsidRDefault="0013411D" w:rsidP="000B7302">
      <w:pPr>
        <w:pStyle w:val="ListParagraph"/>
        <w:numPr>
          <w:ilvl w:val="0"/>
          <w:numId w:val="2"/>
        </w:numPr>
        <w:spacing w:line="360" w:lineRule="auto"/>
        <w:jc w:val="both"/>
        <w:rPr>
          <w:rFonts w:ascii="Arial" w:hAnsi="Arial" w:cs="Arial"/>
          <w:b/>
          <w:bCs/>
        </w:rPr>
      </w:pPr>
      <w:r w:rsidRPr="000B7302">
        <w:rPr>
          <w:rFonts w:ascii="Arial" w:hAnsi="Arial" w:cs="Arial"/>
          <w:b/>
          <w:bCs/>
        </w:rPr>
        <w:t>Dietary Modification</w:t>
      </w:r>
    </w:p>
    <w:p w14:paraId="1C71C5C3" w14:textId="77777777" w:rsidR="0013411D" w:rsidRPr="009C2D32" w:rsidRDefault="0013411D" w:rsidP="009C2D32">
      <w:pPr>
        <w:spacing w:line="360" w:lineRule="auto"/>
        <w:jc w:val="both"/>
        <w:rPr>
          <w:rFonts w:ascii="Arial" w:hAnsi="Arial" w:cs="Arial"/>
        </w:rPr>
      </w:pPr>
      <w:r w:rsidRPr="009C2D32">
        <w:rPr>
          <w:rFonts w:ascii="Arial" w:hAnsi="Arial" w:cs="Arial"/>
        </w:rPr>
        <w:t>Dietary intervention is widely regarded as a cornerstone of Type 2 diabetes management. Nutritional strategies aimed at reducing excess calorie consumption and improving diet quality can positively influence glycaemic control and cardiovascular health.</w:t>
      </w:r>
    </w:p>
    <w:p w14:paraId="53BC9238" w14:textId="77777777" w:rsidR="0013411D" w:rsidRPr="009C2D32" w:rsidRDefault="0013411D" w:rsidP="009C2D32">
      <w:pPr>
        <w:spacing w:line="360" w:lineRule="auto"/>
        <w:jc w:val="both"/>
        <w:rPr>
          <w:rFonts w:ascii="Arial" w:hAnsi="Arial" w:cs="Arial"/>
        </w:rPr>
      </w:pPr>
      <w:r w:rsidRPr="009C2D32">
        <w:rPr>
          <w:rFonts w:ascii="Arial" w:hAnsi="Arial" w:cs="Arial"/>
        </w:rPr>
        <w:t xml:space="preserve">Nevertheless, a critical evaluation of the evidence suggests that no single dietary approach is universally superior for all individuals. While dietary patterns rich in vegetables, whole grains, legumes and fibre are generally associated with improved metabolic outcomes, long-term adherence often determines effectiveness more than the specific diet itself (Davies </w:t>
      </w:r>
      <w:r w:rsidRPr="007A35DA">
        <w:rPr>
          <w:rFonts w:ascii="Arial" w:hAnsi="Arial" w:cs="Arial"/>
          <w:i/>
          <w:iCs/>
        </w:rPr>
        <w:t>et</w:t>
      </w:r>
      <w:r w:rsidRPr="009C2D32">
        <w:rPr>
          <w:rFonts w:ascii="Arial" w:hAnsi="Arial" w:cs="Arial"/>
        </w:rPr>
        <w:t xml:space="preserve"> al., 2022). Therefore, dietary recommendations should be tailored to individual preferences and circumstances to maximise sustainability.</w:t>
      </w:r>
    </w:p>
    <w:p w14:paraId="04425A05" w14:textId="1BAD7968" w:rsidR="0013411D" w:rsidRPr="000B7302" w:rsidRDefault="0013411D" w:rsidP="000B7302">
      <w:pPr>
        <w:pStyle w:val="ListParagraph"/>
        <w:numPr>
          <w:ilvl w:val="0"/>
          <w:numId w:val="2"/>
        </w:numPr>
        <w:spacing w:line="360" w:lineRule="auto"/>
        <w:jc w:val="both"/>
        <w:rPr>
          <w:rFonts w:ascii="Arial" w:hAnsi="Arial" w:cs="Arial"/>
          <w:b/>
          <w:bCs/>
        </w:rPr>
      </w:pPr>
      <w:r w:rsidRPr="000B7302">
        <w:rPr>
          <w:rFonts w:ascii="Arial" w:hAnsi="Arial" w:cs="Arial"/>
          <w:b/>
          <w:bCs/>
        </w:rPr>
        <w:t>Physical Activity</w:t>
      </w:r>
    </w:p>
    <w:p w14:paraId="008425F8" w14:textId="77777777" w:rsidR="0013411D" w:rsidRPr="009C2D32" w:rsidRDefault="0013411D" w:rsidP="009C2D32">
      <w:pPr>
        <w:spacing w:line="360" w:lineRule="auto"/>
        <w:jc w:val="both"/>
        <w:rPr>
          <w:rFonts w:ascii="Arial" w:hAnsi="Arial" w:cs="Arial"/>
        </w:rPr>
      </w:pPr>
      <w:r w:rsidRPr="009C2D32">
        <w:rPr>
          <w:rFonts w:ascii="Arial" w:hAnsi="Arial" w:cs="Arial"/>
        </w:rPr>
        <w:t>Exercise improves insulin sensitivity and promotes glucose uptake by skeletal muscle independent of insulin activity. Consequently, regular physical activity can reduce blood glucose levels and improve cardiovascular fitness.</w:t>
      </w:r>
    </w:p>
    <w:p w14:paraId="68B15EC0" w14:textId="77777777" w:rsidR="0013411D" w:rsidRPr="009C2D32" w:rsidRDefault="0013411D" w:rsidP="009C2D32">
      <w:pPr>
        <w:spacing w:line="360" w:lineRule="auto"/>
        <w:jc w:val="both"/>
        <w:rPr>
          <w:rFonts w:ascii="Arial" w:hAnsi="Arial" w:cs="Arial"/>
        </w:rPr>
      </w:pPr>
      <w:r w:rsidRPr="009C2D32">
        <w:rPr>
          <w:rFonts w:ascii="Arial" w:hAnsi="Arial" w:cs="Arial"/>
        </w:rPr>
        <w:lastRenderedPageBreak/>
        <w:t>Despite these benefits, barriers such as physical limitations, socioeconomic factors and competing life responsibilities may reduce participation. Therefore, healthcare professionals should avoid prescriptive approaches and instead collaborate with patients to identify realistic and sustainable opportunities for physical activity. This person-centred strategy may improve adherence and long-term outcomes.</w:t>
      </w:r>
    </w:p>
    <w:p w14:paraId="778CECC6" w14:textId="5B102609" w:rsidR="0013411D" w:rsidRPr="000B7302" w:rsidRDefault="0013411D" w:rsidP="000B7302">
      <w:pPr>
        <w:pStyle w:val="ListParagraph"/>
        <w:numPr>
          <w:ilvl w:val="0"/>
          <w:numId w:val="2"/>
        </w:numPr>
        <w:spacing w:line="360" w:lineRule="auto"/>
        <w:jc w:val="both"/>
        <w:rPr>
          <w:rFonts w:ascii="Arial" w:hAnsi="Arial" w:cs="Arial"/>
          <w:b/>
          <w:bCs/>
        </w:rPr>
      </w:pPr>
      <w:r w:rsidRPr="000B7302">
        <w:rPr>
          <w:rFonts w:ascii="Arial" w:hAnsi="Arial" w:cs="Arial"/>
          <w:b/>
          <w:bCs/>
        </w:rPr>
        <w:t>Smoking Cessation</w:t>
      </w:r>
    </w:p>
    <w:p w14:paraId="74646B5A" w14:textId="3B3DC21A" w:rsidR="0013411D" w:rsidRPr="009C2D32" w:rsidRDefault="0013411D" w:rsidP="009C2D32">
      <w:pPr>
        <w:spacing w:line="360" w:lineRule="auto"/>
        <w:jc w:val="both"/>
        <w:rPr>
          <w:rFonts w:ascii="Arial" w:hAnsi="Arial" w:cs="Arial"/>
        </w:rPr>
      </w:pPr>
      <w:r w:rsidRPr="009C2D32">
        <w:rPr>
          <w:rFonts w:ascii="Arial" w:hAnsi="Arial" w:cs="Arial"/>
        </w:rPr>
        <w:t>Smoking contributes significantly to cardiovascular risk and may worsen insulin resistance. Given that cardiovascular disease remains a leading cause of mortality among individuals with Type 2 diabetes, smoking cessation should form an integral component of diabetes management (DeFronzo</w:t>
      </w:r>
      <w:r w:rsidRPr="007A35DA">
        <w:rPr>
          <w:rFonts w:ascii="Informal Roman" w:hAnsi="Informal Roman" w:cs="Arial"/>
        </w:rPr>
        <w:t xml:space="preserve"> </w:t>
      </w:r>
      <w:r w:rsidR="007A35DA" w:rsidRPr="007A35DA">
        <w:rPr>
          <w:rFonts w:ascii="Arial" w:hAnsi="Arial" w:cs="Arial"/>
          <w:i/>
          <w:iCs/>
        </w:rPr>
        <w:t>et</w:t>
      </w:r>
      <w:r w:rsidRPr="009C2D32">
        <w:rPr>
          <w:rFonts w:ascii="Arial" w:hAnsi="Arial" w:cs="Arial"/>
        </w:rPr>
        <w:t xml:space="preserve"> al., 2015).</w:t>
      </w:r>
    </w:p>
    <w:p w14:paraId="4B774C9D" w14:textId="77777777" w:rsidR="0013411D" w:rsidRPr="009C2D32" w:rsidRDefault="0013411D" w:rsidP="009C2D32">
      <w:pPr>
        <w:spacing w:line="360" w:lineRule="auto"/>
        <w:jc w:val="both"/>
        <w:rPr>
          <w:rFonts w:ascii="Arial" w:hAnsi="Arial" w:cs="Arial"/>
        </w:rPr>
      </w:pPr>
      <w:r w:rsidRPr="009C2D32">
        <w:rPr>
          <w:rFonts w:ascii="Arial" w:hAnsi="Arial" w:cs="Arial"/>
        </w:rPr>
        <w:t>However, achieving smoking cessation can be challenging because nicotine dependence involves both physiological and psychological factors. Consequently, education alone may be insufficient. Successful smoking cessation often requires behavioural support, pharmacological interventions and ongoing professional encouragement.</w:t>
      </w:r>
    </w:p>
    <w:p w14:paraId="3AC2F2AF" w14:textId="0B6B485B" w:rsidR="0013411D" w:rsidRPr="000B7302" w:rsidRDefault="0013411D" w:rsidP="000B7302">
      <w:pPr>
        <w:pStyle w:val="ListParagraph"/>
        <w:numPr>
          <w:ilvl w:val="0"/>
          <w:numId w:val="2"/>
        </w:numPr>
        <w:spacing w:line="360" w:lineRule="auto"/>
        <w:jc w:val="both"/>
        <w:rPr>
          <w:rFonts w:ascii="Arial" w:hAnsi="Arial" w:cs="Arial"/>
          <w:b/>
          <w:bCs/>
        </w:rPr>
      </w:pPr>
      <w:r w:rsidRPr="000B7302">
        <w:rPr>
          <w:rFonts w:ascii="Arial" w:hAnsi="Arial" w:cs="Arial"/>
          <w:b/>
          <w:bCs/>
        </w:rPr>
        <w:t>Weight Management</w:t>
      </w:r>
    </w:p>
    <w:p w14:paraId="63E500A2" w14:textId="77777777" w:rsidR="0013411D" w:rsidRPr="009C2D32" w:rsidRDefault="0013411D" w:rsidP="009C2D32">
      <w:pPr>
        <w:spacing w:line="360" w:lineRule="auto"/>
        <w:jc w:val="both"/>
        <w:rPr>
          <w:rFonts w:ascii="Arial" w:hAnsi="Arial" w:cs="Arial"/>
        </w:rPr>
      </w:pPr>
      <w:r w:rsidRPr="009C2D32">
        <w:rPr>
          <w:rFonts w:ascii="Arial" w:hAnsi="Arial" w:cs="Arial"/>
        </w:rPr>
        <w:t>Weight management represents one of the most significant opportunities for improving Type 2 diabetes outcomes. Excess adiposity is strongly associated with insulin resistance, and weight reduction can improve glucose regulation and cardiovascular risk factors.</w:t>
      </w:r>
    </w:p>
    <w:p w14:paraId="6356379E" w14:textId="77777777" w:rsidR="0013411D" w:rsidRPr="009C2D32" w:rsidRDefault="0013411D" w:rsidP="009C2D32">
      <w:pPr>
        <w:spacing w:line="360" w:lineRule="auto"/>
        <w:jc w:val="both"/>
        <w:rPr>
          <w:rFonts w:ascii="Arial" w:hAnsi="Arial" w:cs="Arial"/>
        </w:rPr>
      </w:pPr>
      <w:r w:rsidRPr="009C2D32">
        <w:rPr>
          <w:rFonts w:ascii="Arial" w:hAnsi="Arial" w:cs="Arial"/>
        </w:rPr>
        <w:t xml:space="preserve">Importantly, emerging research has challenged the traditional assumption that Type 2 diabetes is inevitably progressive. Taylor et al. (2018) demonstrated that substantial weight loss can reduce liver and pancreatic fat accumulation, potentially </w:t>
      </w:r>
      <w:proofErr w:type="gramStart"/>
      <w:r w:rsidRPr="009C2D32">
        <w:rPr>
          <w:rFonts w:ascii="Arial" w:hAnsi="Arial" w:cs="Arial"/>
        </w:rPr>
        <w:t>restoring</w:t>
      </w:r>
      <w:proofErr w:type="gramEnd"/>
      <w:r w:rsidRPr="009C2D32">
        <w:rPr>
          <w:rFonts w:ascii="Arial" w:hAnsi="Arial" w:cs="Arial"/>
        </w:rPr>
        <w:t xml:space="preserve"> β-cell function and contributing to diabetes remission in some individuals. This evidence is particularly significant because it shifts the focus of diabetes management from solely controlling disease progression toward considering opportunities for disease reversal.</w:t>
      </w:r>
    </w:p>
    <w:p w14:paraId="13D07764" w14:textId="293C81F2" w:rsidR="0013411D" w:rsidRPr="009C2D32" w:rsidRDefault="0013411D" w:rsidP="009C2D32">
      <w:pPr>
        <w:spacing w:line="360" w:lineRule="auto"/>
        <w:jc w:val="both"/>
        <w:rPr>
          <w:rFonts w:ascii="Arial" w:hAnsi="Arial" w:cs="Arial"/>
        </w:rPr>
      </w:pPr>
      <w:r w:rsidRPr="009C2D32">
        <w:rPr>
          <w:rFonts w:ascii="Arial" w:hAnsi="Arial" w:cs="Arial"/>
        </w:rPr>
        <w:t>However, it is also important to recognise that remission may not be achievable for all patients. Differences in disease duration, β-cell function and individual circumstances can influence outcomes. Therefore, weight management strategies should be personalised and delivered within a realistic framework of patient-centred care.</w:t>
      </w:r>
    </w:p>
    <w:p w14:paraId="3F81052E" w14:textId="77777777" w:rsidR="0013411D" w:rsidRPr="009C2D32" w:rsidRDefault="0013411D" w:rsidP="009C2D32">
      <w:pPr>
        <w:spacing w:line="360" w:lineRule="auto"/>
        <w:jc w:val="both"/>
        <w:rPr>
          <w:rFonts w:ascii="Arial" w:hAnsi="Arial" w:cs="Arial"/>
          <w:b/>
          <w:bCs/>
        </w:rPr>
      </w:pPr>
      <w:r w:rsidRPr="009C2D32">
        <w:rPr>
          <w:rFonts w:ascii="Arial" w:hAnsi="Arial" w:cs="Arial"/>
          <w:b/>
          <w:bCs/>
        </w:rPr>
        <w:lastRenderedPageBreak/>
        <w:t>Conclusion</w:t>
      </w:r>
    </w:p>
    <w:p w14:paraId="34F70216" w14:textId="77777777" w:rsidR="001B4477" w:rsidRPr="001B4477" w:rsidRDefault="001B4477" w:rsidP="001B4477">
      <w:pPr>
        <w:spacing w:line="360" w:lineRule="auto"/>
        <w:jc w:val="both"/>
        <w:rPr>
          <w:rFonts w:ascii="Arial" w:hAnsi="Arial" w:cs="Arial"/>
        </w:rPr>
      </w:pPr>
      <w:r w:rsidRPr="001B4477">
        <w:rPr>
          <w:rFonts w:ascii="Arial" w:hAnsi="Arial" w:cs="Arial"/>
        </w:rPr>
        <w:t>Type 2 diabetes is a multifactorial metabolic disorder characterised by disruptions in glucose homeostasis, insulin action and cellular metabolism. While insulin resistance is a defining feature of the condition, evidence indicates that abnormalities across several physiological systems contribute to disease development and progression. Effective regulation of blood glucose through the actions of insulin and glucagon is essential for maintaining ATP production and normal cellular function, whereas chronic hyperglycaemia can lead to significant vascular and metabolic complications.</w:t>
      </w:r>
    </w:p>
    <w:p w14:paraId="0317E1A3" w14:textId="77777777" w:rsidR="001B4477" w:rsidRPr="001B4477" w:rsidRDefault="001B4477" w:rsidP="001B4477">
      <w:pPr>
        <w:spacing w:line="360" w:lineRule="auto"/>
        <w:jc w:val="both"/>
        <w:rPr>
          <w:rFonts w:ascii="Arial" w:hAnsi="Arial" w:cs="Arial"/>
        </w:rPr>
      </w:pPr>
      <w:r w:rsidRPr="001B4477">
        <w:rPr>
          <w:rFonts w:ascii="Arial" w:hAnsi="Arial" w:cs="Arial"/>
        </w:rPr>
        <w:t>The evidence reviewed in this report demonstrates that successful management of Type 2 diabetes requires more than pharmacological treatment alone. Regular blood glucose monitoring can support glycaemic control and patient engagement, particularly when combined with education and behavioural support. Furthermore, lifestyle modifications, including dietary improvement, increased physical activity, smoking cessation and weight management, remain fundamental to reducing complications and improving long-term health outcomes. Therefore, empowering individuals to understand and actively manage their condition remains a key component of effective diabetes care within primary healthcare settings.</w:t>
      </w:r>
    </w:p>
    <w:p w14:paraId="4CA8031D" w14:textId="1A22F621" w:rsidR="009C2D32" w:rsidRPr="009C2D32" w:rsidRDefault="009C2D32" w:rsidP="009C2D32">
      <w:pPr>
        <w:spacing w:line="360" w:lineRule="auto"/>
        <w:jc w:val="both"/>
        <w:rPr>
          <w:rFonts w:ascii="Arial" w:hAnsi="Arial" w:cs="Arial"/>
        </w:rPr>
      </w:pPr>
    </w:p>
    <w:p w14:paraId="17B7DB8E" w14:textId="77777777" w:rsidR="009C2D32" w:rsidRPr="009C2D32" w:rsidRDefault="009C2D32" w:rsidP="009C2D32">
      <w:pPr>
        <w:spacing w:line="360" w:lineRule="auto"/>
        <w:jc w:val="both"/>
        <w:rPr>
          <w:rFonts w:ascii="Arial" w:hAnsi="Arial" w:cs="Arial"/>
        </w:rPr>
      </w:pPr>
    </w:p>
    <w:p w14:paraId="25C28A34" w14:textId="77777777" w:rsidR="009C2D32" w:rsidRPr="009C2D32" w:rsidRDefault="009C2D32" w:rsidP="009C2D32">
      <w:pPr>
        <w:spacing w:line="360" w:lineRule="auto"/>
        <w:jc w:val="both"/>
        <w:rPr>
          <w:rFonts w:ascii="Arial" w:hAnsi="Arial" w:cs="Arial"/>
        </w:rPr>
      </w:pPr>
    </w:p>
    <w:p w14:paraId="60D7DDA9" w14:textId="77777777" w:rsidR="00131566" w:rsidRDefault="00131566">
      <w:pPr>
        <w:rPr>
          <w:rFonts w:ascii="Arial" w:hAnsi="Arial" w:cs="Arial"/>
        </w:rPr>
      </w:pPr>
      <w:r>
        <w:rPr>
          <w:rFonts w:ascii="Arial" w:hAnsi="Arial" w:cs="Arial"/>
        </w:rPr>
        <w:br w:type="page"/>
      </w:r>
    </w:p>
    <w:sectPr w:rsidR="001315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65CD5"/>
    <w:multiLevelType w:val="hybridMultilevel"/>
    <w:tmpl w:val="F23C7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D2B4B"/>
    <w:multiLevelType w:val="hybridMultilevel"/>
    <w:tmpl w:val="73DAEA8E"/>
    <w:lvl w:ilvl="0" w:tplc="49EC3B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0696341">
    <w:abstractNumId w:val="0"/>
  </w:num>
  <w:num w:numId="2" w16cid:durableId="608702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11D"/>
    <w:rsid w:val="000B7302"/>
    <w:rsid w:val="00131566"/>
    <w:rsid w:val="0013411D"/>
    <w:rsid w:val="001B4477"/>
    <w:rsid w:val="00244559"/>
    <w:rsid w:val="003656E8"/>
    <w:rsid w:val="005F28DE"/>
    <w:rsid w:val="006E79DF"/>
    <w:rsid w:val="007A35DA"/>
    <w:rsid w:val="007A5052"/>
    <w:rsid w:val="00957A9A"/>
    <w:rsid w:val="009C2D32"/>
    <w:rsid w:val="00C656C6"/>
    <w:rsid w:val="00E21DAB"/>
    <w:rsid w:val="00F31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8465"/>
  <w15:chartTrackingRefBased/>
  <w15:docId w15:val="{77D0561D-FD95-484C-A4E1-95A328764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4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4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4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11D"/>
    <w:rPr>
      <w:rFonts w:eastAsiaTheme="majorEastAsia" w:cstheme="majorBidi"/>
      <w:color w:val="272727" w:themeColor="text1" w:themeTint="D8"/>
    </w:rPr>
  </w:style>
  <w:style w:type="paragraph" w:styleId="Title">
    <w:name w:val="Title"/>
    <w:basedOn w:val="Normal"/>
    <w:next w:val="Normal"/>
    <w:link w:val="TitleChar"/>
    <w:uiPriority w:val="10"/>
    <w:qFormat/>
    <w:rsid w:val="00134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11D"/>
    <w:pPr>
      <w:spacing w:before="160"/>
      <w:jc w:val="center"/>
    </w:pPr>
    <w:rPr>
      <w:i/>
      <w:iCs/>
      <w:color w:val="404040" w:themeColor="text1" w:themeTint="BF"/>
    </w:rPr>
  </w:style>
  <w:style w:type="character" w:customStyle="1" w:styleId="QuoteChar">
    <w:name w:val="Quote Char"/>
    <w:basedOn w:val="DefaultParagraphFont"/>
    <w:link w:val="Quote"/>
    <w:uiPriority w:val="29"/>
    <w:rsid w:val="0013411D"/>
    <w:rPr>
      <w:i/>
      <w:iCs/>
      <w:color w:val="404040" w:themeColor="text1" w:themeTint="BF"/>
    </w:rPr>
  </w:style>
  <w:style w:type="paragraph" w:styleId="ListParagraph">
    <w:name w:val="List Paragraph"/>
    <w:basedOn w:val="Normal"/>
    <w:uiPriority w:val="34"/>
    <w:qFormat/>
    <w:rsid w:val="0013411D"/>
    <w:pPr>
      <w:ind w:left="720"/>
      <w:contextualSpacing/>
    </w:pPr>
  </w:style>
  <w:style w:type="character" w:styleId="IntenseEmphasis">
    <w:name w:val="Intense Emphasis"/>
    <w:basedOn w:val="DefaultParagraphFont"/>
    <w:uiPriority w:val="21"/>
    <w:qFormat/>
    <w:rsid w:val="0013411D"/>
    <w:rPr>
      <w:i/>
      <w:iCs/>
      <w:color w:val="0F4761" w:themeColor="accent1" w:themeShade="BF"/>
    </w:rPr>
  </w:style>
  <w:style w:type="paragraph" w:styleId="IntenseQuote">
    <w:name w:val="Intense Quote"/>
    <w:basedOn w:val="Normal"/>
    <w:next w:val="Normal"/>
    <w:link w:val="IntenseQuoteChar"/>
    <w:uiPriority w:val="30"/>
    <w:qFormat/>
    <w:rsid w:val="00134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11D"/>
    <w:rPr>
      <w:i/>
      <w:iCs/>
      <w:color w:val="0F4761" w:themeColor="accent1" w:themeShade="BF"/>
    </w:rPr>
  </w:style>
  <w:style w:type="character" w:styleId="IntenseReference">
    <w:name w:val="Intense Reference"/>
    <w:basedOn w:val="DefaultParagraphFont"/>
    <w:uiPriority w:val="32"/>
    <w:qFormat/>
    <w:rsid w:val="001341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8</Pages>
  <Words>2552</Words>
  <Characters>14553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Saleemi</dc:creator>
  <cp:keywords/>
  <dc:description/>
  <cp:lastModifiedBy>Zaib Un Nissa (2511761)</cp:lastModifiedBy>
  <cp:revision>7</cp:revision>
  <dcterms:created xsi:type="dcterms:W3CDTF">2026-10-10T09:00:00Z</dcterms:created>
  <dcterms:modified xsi:type="dcterms:W3CDTF">2026-10-22T11:00:00Z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84332ee1-648a-428e-9a03-53da5141c476</vt:lpwstr>
  </property>
</Properties>
</file>