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3A5D7" w14:textId="77777777" w:rsidR="00D42F76" w:rsidRDefault="00D42F76" w:rsidP="00D42F76"/>
    <w:p w14:paraId="4B7E10A8" w14:textId="77777777" w:rsidR="00D42F76" w:rsidRPr="00896678" w:rsidRDefault="00D42F76" w:rsidP="00D42F76">
      <w:pPr>
        <w:jc w:val="center"/>
        <w:rPr>
          <w:sz w:val="44"/>
          <w:szCs w:val="44"/>
        </w:rPr>
      </w:pPr>
      <w:r w:rsidRPr="00896678">
        <w:rPr>
          <w:sz w:val="44"/>
          <w:szCs w:val="44"/>
        </w:rPr>
        <w:t>University of Wales Trinity Saint David</w:t>
      </w:r>
    </w:p>
    <w:p w14:paraId="3E51D812" w14:textId="77777777" w:rsidR="00D42F76" w:rsidRDefault="00D42F76" w:rsidP="00D42F76"/>
    <w:p w14:paraId="64DAF89D" w14:textId="77777777" w:rsidR="00D42F76" w:rsidRDefault="00D42F76" w:rsidP="00D42F76"/>
    <w:p w14:paraId="3F808337" w14:textId="77777777" w:rsidR="00D42F76" w:rsidRDefault="00D42F76" w:rsidP="00D42F76"/>
    <w:p w14:paraId="4036A933" w14:textId="77777777" w:rsidR="00D42F76" w:rsidRDefault="00D42F76" w:rsidP="00D42F76"/>
    <w:p w14:paraId="0C05E9AA" w14:textId="77777777" w:rsidR="00D42F76" w:rsidRDefault="00D42F76" w:rsidP="00D42F76"/>
    <w:p w14:paraId="59E1D3F5" w14:textId="77777777" w:rsidR="00D42F76" w:rsidRDefault="00D42F76" w:rsidP="00D42F76"/>
    <w:p w14:paraId="478D367E" w14:textId="77777777" w:rsidR="00D42F76" w:rsidRDefault="00D42F76" w:rsidP="00D42F76"/>
    <w:p w14:paraId="3E3AE3BC" w14:textId="77777777" w:rsidR="00D42F76" w:rsidRPr="00D42F76" w:rsidRDefault="00D42F76" w:rsidP="00D42F76">
      <w:pPr>
        <w:rPr>
          <w:b/>
          <w:bCs/>
          <w:sz w:val="36"/>
          <w:szCs w:val="36"/>
        </w:rPr>
      </w:pPr>
      <w:r w:rsidRPr="00D42F76">
        <w:rPr>
          <w:b/>
          <w:bCs/>
          <w:sz w:val="36"/>
          <w:szCs w:val="36"/>
        </w:rPr>
        <w:t>Synthesize a solution to a potential real-life scenario</w:t>
      </w:r>
    </w:p>
    <w:p w14:paraId="67246B6F" w14:textId="4712FB2E" w:rsidR="00D42F76" w:rsidRPr="00D42F76" w:rsidRDefault="00D42F76" w:rsidP="00D42F76">
      <w:pPr>
        <w:rPr>
          <w:b/>
          <w:bCs/>
        </w:rPr>
      </w:pPr>
      <w:r w:rsidRPr="00D42F76">
        <w:rPr>
          <w:b/>
          <w:bCs/>
        </w:rPr>
        <w:t>Module: Networks and Cyber Security Essentials (ACCA4024)</w:t>
      </w:r>
    </w:p>
    <w:p w14:paraId="7B3A6F2A" w14:textId="77777777" w:rsidR="00D42F76" w:rsidRDefault="00D42F76" w:rsidP="00D42F76"/>
    <w:p w14:paraId="0BC7A967" w14:textId="77777777" w:rsidR="00D42F76" w:rsidRDefault="00D42F76" w:rsidP="00D42F76"/>
    <w:p w14:paraId="05BA93BC" w14:textId="77777777" w:rsidR="00D42F76" w:rsidRDefault="00D42F76" w:rsidP="00D42F76">
      <w:pPr>
        <w:jc w:val="right"/>
      </w:pPr>
      <w:r>
        <w:t>Student: Gheorghe Daniel Razoare</w:t>
      </w:r>
    </w:p>
    <w:p w14:paraId="61C2596E" w14:textId="77777777" w:rsidR="00D42F76" w:rsidRDefault="00D42F76" w:rsidP="00D42F76">
      <w:pPr>
        <w:jc w:val="right"/>
      </w:pPr>
      <w:r>
        <w:t>Student no: 1810652</w:t>
      </w:r>
    </w:p>
    <w:p w14:paraId="77EDAB65" w14:textId="77777777" w:rsidR="00D42F76" w:rsidRDefault="00D42F76" w:rsidP="00D42F76"/>
    <w:p w14:paraId="73D54B1B" w14:textId="77777777" w:rsidR="00D42F76" w:rsidRDefault="00D42F76" w:rsidP="00D42F76"/>
    <w:p w14:paraId="58AF501B" w14:textId="77777777" w:rsidR="00D42F76" w:rsidRDefault="00D42F76" w:rsidP="00D42F76"/>
    <w:p w14:paraId="58A0FB0B" w14:textId="77777777" w:rsidR="00D42F76" w:rsidRDefault="00D42F76" w:rsidP="00D42F76"/>
    <w:p w14:paraId="32CBA9AB" w14:textId="77777777" w:rsidR="00D42F76" w:rsidRDefault="00D42F76" w:rsidP="00D42F76"/>
    <w:p w14:paraId="4A38C256" w14:textId="77777777" w:rsidR="00D42F76" w:rsidRDefault="00D42F76" w:rsidP="00D42F76"/>
    <w:p w14:paraId="7E844670" w14:textId="77777777" w:rsidR="00D42F76" w:rsidRDefault="00D42F76" w:rsidP="00D42F76"/>
    <w:p w14:paraId="338F37CA" w14:textId="77777777" w:rsidR="00D42F76" w:rsidRDefault="00D42F76" w:rsidP="00D42F76"/>
    <w:p w14:paraId="185C1907" w14:textId="77777777" w:rsidR="00D42F76" w:rsidRDefault="00D42F76" w:rsidP="00D42F76"/>
    <w:p w14:paraId="2038D073" w14:textId="521B1C50" w:rsidR="00D42F76" w:rsidRDefault="00D42F76" w:rsidP="00D42F76">
      <w:pPr>
        <w:jc w:val="center"/>
      </w:pPr>
      <w:r>
        <w:t>15.05.2026</w:t>
      </w:r>
    </w:p>
    <w:p w14:paraId="6AA31283" w14:textId="77777777" w:rsidR="00B43616" w:rsidRDefault="00B43616"/>
    <w:p w14:paraId="23A1E875" w14:textId="155F882E" w:rsidR="00D42F76" w:rsidRDefault="00D42F76">
      <w:r>
        <w:br w:type="page"/>
      </w:r>
    </w:p>
    <w:p w14:paraId="0CF7FE9E" w14:textId="37CB56FE" w:rsidR="00D42F76" w:rsidRDefault="00D42F76" w:rsidP="000E6614">
      <w:pPr>
        <w:pStyle w:val="Heading1"/>
        <w:ind w:left="720"/>
        <w:jc w:val="center"/>
      </w:pPr>
      <w:bookmarkStart w:id="0" w:name="_Toc229737982"/>
      <w:r>
        <w:lastRenderedPageBreak/>
        <w:t>Table of Contents</w:t>
      </w:r>
      <w:bookmarkEnd w:id="0"/>
    </w:p>
    <w:p w14:paraId="7F7DE26D" w14:textId="77777777" w:rsidR="00D42F76" w:rsidRDefault="00D42F76"/>
    <w:sdt>
      <w:sdtPr>
        <w:rPr>
          <w:rFonts w:asciiTheme="minorHAnsi" w:eastAsiaTheme="minorHAnsi" w:hAnsiTheme="minorHAnsi" w:cstheme="minorBidi"/>
          <w:color w:val="auto"/>
          <w:kern w:val="2"/>
          <w:sz w:val="24"/>
          <w:szCs w:val="24"/>
          <w:lang w:val="en-GB"/>
          <w14:ligatures w14:val="standardContextual"/>
        </w:rPr>
        <w:id w:val="-610439241"/>
        <w:docPartObj>
          <w:docPartGallery w:val="Table of Contents"/>
          <w:docPartUnique/>
        </w:docPartObj>
      </w:sdtPr>
      <w:sdtEndPr>
        <w:rPr>
          <w:b/>
          <w:bCs/>
          <w:noProof/>
        </w:rPr>
      </w:sdtEndPr>
      <w:sdtContent>
        <w:p w14:paraId="1208FD36" w14:textId="75E6F9DF" w:rsidR="00D42F76" w:rsidRDefault="00D42F76">
          <w:pPr>
            <w:pStyle w:val="TOCHeading"/>
          </w:pPr>
        </w:p>
        <w:p w14:paraId="34EE1518" w14:textId="78F7ECD1" w:rsidR="00A63607" w:rsidRDefault="00D42F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737982" w:history="1">
            <w:r w:rsidR="00A63607" w:rsidRPr="00AD4A73">
              <w:rPr>
                <w:rStyle w:val="Hyperlink"/>
                <w:noProof/>
              </w:rPr>
              <w:t>Table of Contents</w:t>
            </w:r>
            <w:r w:rsidR="00A63607">
              <w:rPr>
                <w:noProof/>
                <w:webHidden/>
              </w:rPr>
              <w:tab/>
            </w:r>
            <w:r w:rsidR="00A63607">
              <w:rPr>
                <w:noProof/>
                <w:webHidden/>
              </w:rPr>
              <w:fldChar w:fldCharType="begin"/>
            </w:r>
            <w:r w:rsidR="00A63607">
              <w:rPr>
                <w:noProof/>
                <w:webHidden/>
              </w:rPr>
              <w:instrText xml:space="preserve"> PAGEREF _Toc229737982 \h </w:instrText>
            </w:r>
            <w:r w:rsidR="00A63607">
              <w:rPr>
                <w:noProof/>
                <w:webHidden/>
              </w:rPr>
            </w:r>
            <w:r w:rsidR="00A63607">
              <w:rPr>
                <w:noProof/>
                <w:webHidden/>
              </w:rPr>
              <w:fldChar w:fldCharType="separate"/>
            </w:r>
            <w:r w:rsidR="00A63607">
              <w:rPr>
                <w:noProof/>
                <w:webHidden/>
              </w:rPr>
              <w:t>2</w:t>
            </w:r>
            <w:r w:rsidR="00A63607">
              <w:rPr>
                <w:noProof/>
                <w:webHidden/>
              </w:rPr>
              <w:fldChar w:fldCharType="end"/>
            </w:r>
          </w:hyperlink>
        </w:p>
        <w:p w14:paraId="2CAC1B0D" w14:textId="22D7C0CB" w:rsidR="00A63607" w:rsidRDefault="00A63607">
          <w:pPr>
            <w:pStyle w:val="TOC1"/>
            <w:tabs>
              <w:tab w:val="left" w:pos="480"/>
              <w:tab w:val="right" w:leader="dot" w:pos="9016"/>
            </w:tabs>
            <w:rPr>
              <w:rFonts w:eastAsiaTheme="minorEastAsia"/>
              <w:noProof/>
              <w:lang w:eastAsia="en-GB"/>
            </w:rPr>
          </w:pPr>
          <w:hyperlink w:anchor="_Toc229737983" w:history="1">
            <w:r w:rsidRPr="00AD4A73">
              <w:rPr>
                <w:rStyle w:val="Hyperlink"/>
                <w:noProof/>
              </w:rPr>
              <w:t>1.</w:t>
            </w:r>
            <w:r>
              <w:rPr>
                <w:rFonts w:eastAsiaTheme="minorEastAsia"/>
                <w:noProof/>
                <w:lang w:eastAsia="en-GB"/>
              </w:rPr>
              <w:tab/>
            </w:r>
            <w:r w:rsidRPr="00AD4A73">
              <w:rPr>
                <w:rStyle w:val="Hyperlink"/>
                <w:noProof/>
              </w:rPr>
              <w:t>Introduction</w:t>
            </w:r>
            <w:r>
              <w:rPr>
                <w:noProof/>
                <w:webHidden/>
              </w:rPr>
              <w:tab/>
            </w:r>
            <w:r>
              <w:rPr>
                <w:noProof/>
                <w:webHidden/>
              </w:rPr>
              <w:fldChar w:fldCharType="begin"/>
            </w:r>
            <w:r>
              <w:rPr>
                <w:noProof/>
                <w:webHidden/>
              </w:rPr>
              <w:instrText xml:space="preserve"> PAGEREF _Toc229737983 \h </w:instrText>
            </w:r>
            <w:r>
              <w:rPr>
                <w:noProof/>
                <w:webHidden/>
              </w:rPr>
            </w:r>
            <w:r>
              <w:rPr>
                <w:noProof/>
                <w:webHidden/>
              </w:rPr>
              <w:fldChar w:fldCharType="separate"/>
            </w:r>
            <w:r>
              <w:rPr>
                <w:noProof/>
                <w:webHidden/>
              </w:rPr>
              <w:t>3</w:t>
            </w:r>
            <w:r>
              <w:rPr>
                <w:noProof/>
                <w:webHidden/>
              </w:rPr>
              <w:fldChar w:fldCharType="end"/>
            </w:r>
          </w:hyperlink>
        </w:p>
        <w:p w14:paraId="619699B0" w14:textId="480316E6" w:rsidR="00A63607" w:rsidRDefault="00A63607">
          <w:pPr>
            <w:pStyle w:val="TOC1"/>
            <w:tabs>
              <w:tab w:val="left" w:pos="480"/>
              <w:tab w:val="right" w:leader="dot" w:pos="9016"/>
            </w:tabs>
            <w:rPr>
              <w:rFonts w:eastAsiaTheme="minorEastAsia"/>
              <w:noProof/>
              <w:lang w:eastAsia="en-GB"/>
            </w:rPr>
          </w:pPr>
          <w:hyperlink w:anchor="_Toc229737984" w:history="1">
            <w:r w:rsidRPr="00AD4A73">
              <w:rPr>
                <w:rStyle w:val="Hyperlink"/>
                <w:noProof/>
              </w:rPr>
              <w:t>2.</w:t>
            </w:r>
            <w:r>
              <w:rPr>
                <w:rFonts w:eastAsiaTheme="minorEastAsia"/>
                <w:noProof/>
                <w:lang w:eastAsia="en-GB"/>
              </w:rPr>
              <w:tab/>
            </w:r>
            <w:r w:rsidRPr="00AD4A73">
              <w:rPr>
                <w:rStyle w:val="Hyperlink"/>
                <w:noProof/>
              </w:rPr>
              <w:t>Identification of Modern Threats</w:t>
            </w:r>
            <w:r>
              <w:rPr>
                <w:noProof/>
                <w:webHidden/>
              </w:rPr>
              <w:tab/>
            </w:r>
            <w:r>
              <w:rPr>
                <w:noProof/>
                <w:webHidden/>
              </w:rPr>
              <w:fldChar w:fldCharType="begin"/>
            </w:r>
            <w:r>
              <w:rPr>
                <w:noProof/>
                <w:webHidden/>
              </w:rPr>
              <w:instrText xml:space="preserve"> PAGEREF _Toc229737984 \h </w:instrText>
            </w:r>
            <w:r>
              <w:rPr>
                <w:noProof/>
                <w:webHidden/>
              </w:rPr>
            </w:r>
            <w:r>
              <w:rPr>
                <w:noProof/>
                <w:webHidden/>
              </w:rPr>
              <w:fldChar w:fldCharType="separate"/>
            </w:r>
            <w:r>
              <w:rPr>
                <w:noProof/>
                <w:webHidden/>
              </w:rPr>
              <w:t>4</w:t>
            </w:r>
            <w:r>
              <w:rPr>
                <w:noProof/>
                <w:webHidden/>
              </w:rPr>
              <w:fldChar w:fldCharType="end"/>
            </w:r>
          </w:hyperlink>
        </w:p>
        <w:p w14:paraId="6992D837" w14:textId="3F162F2E" w:rsidR="00A63607" w:rsidRDefault="00A63607">
          <w:pPr>
            <w:pStyle w:val="TOC1"/>
            <w:tabs>
              <w:tab w:val="left" w:pos="480"/>
              <w:tab w:val="right" w:leader="dot" w:pos="9016"/>
            </w:tabs>
            <w:rPr>
              <w:rFonts w:eastAsiaTheme="minorEastAsia"/>
              <w:noProof/>
              <w:lang w:eastAsia="en-GB"/>
            </w:rPr>
          </w:pPr>
          <w:hyperlink w:anchor="_Toc229737985" w:history="1">
            <w:r w:rsidRPr="00AD4A73">
              <w:rPr>
                <w:rStyle w:val="Hyperlink"/>
                <w:noProof/>
              </w:rPr>
              <w:t>3.</w:t>
            </w:r>
            <w:r>
              <w:rPr>
                <w:rFonts w:eastAsiaTheme="minorEastAsia"/>
                <w:noProof/>
                <w:lang w:eastAsia="en-GB"/>
              </w:rPr>
              <w:tab/>
            </w:r>
            <w:r w:rsidRPr="00AD4A73">
              <w:rPr>
                <w:rStyle w:val="Hyperlink"/>
                <w:noProof/>
              </w:rPr>
              <w:t>Security Policies Required</w:t>
            </w:r>
            <w:r>
              <w:rPr>
                <w:noProof/>
                <w:webHidden/>
              </w:rPr>
              <w:tab/>
            </w:r>
            <w:r>
              <w:rPr>
                <w:noProof/>
                <w:webHidden/>
              </w:rPr>
              <w:fldChar w:fldCharType="begin"/>
            </w:r>
            <w:r>
              <w:rPr>
                <w:noProof/>
                <w:webHidden/>
              </w:rPr>
              <w:instrText xml:space="preserve"> PAGEREF _Toc229737985 \h </w:instrText>
            </w:r>
            <w:r>
              <w:rPr>
                <w:noProof/>
                <w:webHidden/>
              </w:rPr>
            </w:r>
            <w:r>
              <w:rPr>
                <w:noProof/>
                <w:webHidden/>
              </w:rPr>
              <w:fldChar w:fldCharType="separate"/>
            </w:r>
            <w:r>
              <w:rPr>
                <w:noProof/>
                <w:webHidden/>
              </w:rPr>
              <w:t>5</w:t>
            </w:r>
            <w:r>
              <w:rPr>
                <w:noProof/>
                <w:webHidden/>
              </w:rPr>
              <w:fldChar w:fldCharType="end"/>
            </w:r>
          </w:hyperlink>
        </w:p>
        <w:p w14:paraId="417DA9AC" w14:textId="590D467D" w:rsidR="00A63607" w:rsidRDefault="00A63607">
          <w:pPr>
            <w:pStyle w:val="TOC1"/>
            <w:tabs>
              <w:tab w:val="left" w:pos="480"/>
              <w:tab w:val="right" w:leader="dot" w:pos="9016"/>
            </w:tabs>
            <w:rPr>
              <w:rFonts w:eastAsiaTheme="minorEastAsia"/>
              <w:noProof/>
              <w:lang w:eastAsia="en-GB"/>
            </w:rPr>
          </w:pPr>
          <w:hyperlink w:anchor="_Toc229737986" w:history="1">
            <w:r w:rsidRPr="00AD4A73">
              <w:rPr>
                <w:rStyle w:val="Hyperlink"/>
                <w:noProof/>
              </w:rPr>
              <w:t>4.</w:t>
            </w:r>
            <w:r>
              <w:rPr>
                <w:rFonts w:eastAsiaTheme="minorEastAsia"/>
                <w:noProof/>
                <w:lang w:eastAsia="en-GB"/>
              </w:rPr>
              <w:tab/>
            </w:r>
            <w:r w:rsidRPr="00AD4A73">
              <w:rPr>
                <w:rStyle w:val="Hyperlink"/>
                <w:noProof/>
              </w:rPr>
              <w:t>Proposed Zero Trust Architecture</w:t>
            </w:r>
            <w:r>
              <w:rPr>
                <w:noProof/>
                <w:webHidden/>
              </w:rPr>
              <w:tab/>
            </w:r>
            <w:r>
              <w:rPr>
                <w:noProof/>
                <w:webHidden/>
              </w:rPr>
              <w:fldChar w:fldCharType="begin"/>
            </w:r>
            <w:r>
              <w:rPr>
                <w:noProof/>
                <w:webHidden/>
              </w:rPr>
              <w:instrText xml:space="preserve"> PAGEREF _Toc229737986 \h </w:instrText>
            </w:r>
            <w:r>
              <w:rPr>
                <w:noProof/>
                <w:webHidden/>
              </w:rPr>
            </w:r>
            <w:r>
              <w:rPr>
                <w:noProof/>
                <w:webHidden/>
              </w:rPr>
              <w:fldChar w:fldCharType="separate"/>
            </w:r>
            <w:r>
              <w:rPr>
                <w:noProof/>
                <w:webHidden/>
              </w:rPr>
              <w:t>6</w:t>
            </w:r>
            <w:r>
              <w:rPr>
                <w:noProof/>
                <w:webHidden/>
              </w:rPr>
              <w:fldChar w:fldCharType="end"/>
            </w:r>
          </w:hyperlink>
        </w:p>
        <w:p w14:paraId="0CE2F059" w14:textId="1A768104" w:rsidR="00A63607" w:rsidRDefault="00A63607">
          <w:pPr>
            <w:pStyle w:val="TOC1"/>
            <w:tabs>
              <w:tab w:val="left" w:pos="480"/>
              <w:tab w:val="right" w:leader="dot" w:pos="9016"/>
            </w:tabs>
            <w:rPr>
              <w:rFonts w:eastAsiaTheme="minorEastAsia"/>
              <w:noProof/>
              <w:lang w:eastAsia="en-GB"/>
            </w:rPr>
          </w:pPr>
          <w:hyperlink w:anchor="_Toc229737987" w:history="1">
            <w:r w:rsidRPr="00AD4A73">
              <w:rPr>
                <w:rStyle w:val="Hyperlink"/>
                <w:noProof/>
              </w:rPr>
              <w:t>5.</w:t>
            </w:r>
            <w:r>
              <w:rPr>
                <w:rFonts w:eastAsiaTheme="minorEastAsia"/>
                <w:noProof/>
                <w:lang w:eastAsia="en-GB"/>
              </w:rPr>
              <w:tab/>
            </w:r>
            <w:r w:rsidRPr="00AD4A73">
              <w:rPr>
                <w:rStyle w:val="Hyperlink"/>
                <w:noProof/>
              </w:rPr>
              <w:t>Technical and Administrative Mitigations</w:t>
            </w:r>
            <w:r>
              <w:rPr>
                <w:noProof/>
                <w:webHidden/>
              </w:rPr>
              <w:tab/>
            </w:r>
            <w:r>
              <w:rPr>
                <w:noProof/>
                <w:webHidden/>
              </w:rPr>
              <w:fldChar w:fldCharType="begin"/>
            </w:r>
            <w:r>
              <w:rPr>
                <w:noProof/>
                <w:webHidden/>
              </w:rPr>
              <w:instrText xml:space="preserve"> PAGEREF _Toc229737987 \h </w:instrText>
            </w:r>
            <w:r>
              <w:rPr>
                <w:noProof/>
                <w:webHidden/>
              </w:rPr>
            </w:r>
            <w:r>
              <w:rPr>
                <w:noProof/>
                <w:webHidden/>
              </w:rPr>
              <w:fldChar w:fldCharType="separate"/>
            </w:r>
            <w:r>
              <w:rPr>
                <w:noProof/>
                <w:webHidden/>
              </w:rPr>
              <w:t>7</w:t>
            </w:r>
            <w:r>
              <w:rPr>
                <w:noProof/>
                <w:webHidden/>
              </w:rPr>
              <w:fldChar w:fldCharType="end"/>
            </w:r>
          </w:hyperlink>
        </w:p>
        <w:p w14:paraId="792B3708" w14:textId="6D670C2E" w:rsidR="00A63607" w:rsidRDefault="00A63607">
          <w:pPr>
            <w:pStyle w:val="TOC1"/>
            <w:tabs>
              <w:tab w:val="left" w:pos="480"/>
              <w:tab w:val="right" w:leader="dot" w:pos="9016"/>
            </w:tabs>
            <w:rPr>
              <w:rFonts w:eastAsiaTheme="minorEastAsia"/>
              <w:noProof/>
              <w:lang w:eastAsia="en-GB"/>
            </w:rPr>
          </w:pPr>
          <w:hyperlink w:anchor="_Toc229737988" w:history="1">
            <w:r w:rsidRPr="00AD4A73">
              <w:rPr>
                <w:rStyle w:val="Hyperlink"/>
                <w:noProof/>
              </w:rPr>
              <w:t>6.</w:t>
            </w:r>
            <w:r>
              <w:rPr>
                <w:rFonts w:eastAsiaTheme="minorEastAsia"/>
                <w:noProof/>
                <w:lang w:eastAsia="en-GB"/>
              </w:rPr>
              <w:tab/>
            </w:r>
            <w:r w:rsidRPr="00AD4A73">
              <w:rPr>
                <w:rStyle w:val="Hyperlink"/>
                <w:noProof/>
              </w:rPr>
              <w:t>Monitoring and Incident Response</w:t>
            </w:r>
            <w:r>
              <w:rPr>
                <w:noProof/>
                <w:webHidden/>
              </w:rPr>
              <w:tab/>
            </w:r>
            <w:r>
              <w:rPr>
                <w:noProof/>
                <w:webHidden/>
              </w:rPr>
              <w:fldChar w:fldCharType="begin"/>
            </w:r>
            <w:r>
              <w:rPr>
                <w:noProof/>
                <w:webHidden/>
              </w:rPr>
              <w:instrText xml:space="preserve"> PAGEREF _Toc229737988 \h </w:instrText>
            </w:r>
            <w:r>
              <w:rPr>
                <w:noProof/>
                <w:webHidden/>
              </w:rPr>
            </w:r>
            <w:r>
              <w:rPr>
                <w:noProof/>
                <w:webHidden/>
              </w:rPr>
              <w:fldChar w:fldCharType="separate"/>
            </w:r>
            <w:r>
              <w:rPr>
                <w:noProof/>
                <w:webHidden/>
              </w:rPr>
              <w:t>8</w:t>
            </w:r>
            <w:r>
              <w:rPr>
                <w:noProof/>
                <w:webHidden/>
              </w:rPr>
              <w:fldChar w:fldCharType="end"/>
            </w:r>
          </w:hyperlink>
        </w:p>
        <w:p w14:paraId="09EB30A9" w14:textId="50A4BE2C" w:rsidR="00A63607" w:rsidRDefault="00A63607">
          <w:pPr>
            <w:pStyle w:val="TOC1"/>
            <w:tabs>
              <w:tab w:val="left" w:pos="480"/>
              <w:tab w:val="right" w:leader="dot" w:pos="9016"/>
            </w:tabs>
            <w:rPr>
              <w:rFonts w:eastAsiaTheme="minorEastAsia"/>
              <w:noProof/>
              <w:lang w:eastAsia="en-GB"/>
            </w:rPr>
          </w:pPr>
          <w:hyperlink w:anchor="_Toc229737989" w:history="1">
            <w:r w:rsidRPr="00AD4A73">
              <w:rPr>
                <w:rStyle w:val="Hyperlink"/>
                <w:noProof/>
              </w:rPr>
              <w:t>7.</w:t>
            </w:r>
            <w:r>
              <w:rPr>
                <w:rFonts w:eastAsiaTheme="minorEastAsia"/>
                <w:noProof/>
                <w:lang w:eastAsia="en-GB"/>
              </w:rPr>
              <w:tab/>
            </w:r>
            <w:r w:rsidRPr="00AD4A73">
              <w:rPr>
                <w:rStyle w:val="Hyperlink"/>
                <w:noProof/>
              </w:rPr>
              <w:t>Training and Security Culture</w:t>
            </w:r>
            <w:r>
              <w:rPr>
                <w:noProof/>
                <w:webHidden/>
              </w:rPr>
              <w:tab/>
            </w:r>
            <w:r>
              <w:rPr>
                <w:noProof/>
                <w:webHidden/>
              </w:rPr>
              <w:fldChar w:fldCharType="begin"/>
            </w:r>
            <w:r>
              <w:rPr>
                <w:noProof/>
                <w:webHidden/>
              </w:rPr>
              <w:instrText xml:space="preserve"> PAGEREF _Toc229737989 \h </w:instrText>
            </w:r>
            <w:r>
              <w:rPr>
                <w:noProof/>
                <w:webHidden/>
              </w:rPr>
            </w:r>
            <w:r>
              <w:rPr>
                <w:noProof/>
                <w:webHidden/>
              </w:rPr>
              <w:fldChar w:fldCharType="separate"/>
            </w:r>
            <w:r>
              <w:rPr>
                <w:noProof/>
                <w:webHidden/>
              </w:rPr>
              <w:t>9</w:t>
            </w:r>
            <w:r>
              <w:rPr>
                <w:noProof/>
                <w:webHidden/>
              </w:rPr>
              <w:fldChar w:fldCharType="end"/>
            </w:r>
          </w:hyperlink>
        </w:p>
        <w:p w14:paraId="1EB67586" w14:textId="074E4F14" w:rsidR="00A63607" w:rsidRDefault="00A63607">
          <w:pPr>
            <w:pStyle w:val="TOC1"/>
            <w:tabs>
              <w:tab w:val="left" w:pos="480"/>
              <w:tab w:val="right" w:leader="dot" w:pos="9016"/>
            </w:tabs>
            <w:rPr>
              <w:rFonts w:eastAsiaTheme="minorEastAsia"/>
              <w:noProof/>
              <w:lang w:eastAsia="en-GB"/>
            </w:rPr>
          </w:pPr>
          <w:hyperlink w:anchor="_Toc229737990" w:history="1">
            <w:r w:rsidRPr="00AD4A73">
              <w:rPr>
                <w:rStyle w:val="Hyperlink"/>
                <w:noProof/>
              </w:rPr>
              <w:t>8.</w:t>
            </w:r>
            <w:r>
              <w:rPr>
                <w:rFonts w:eastAsiaTheme="minorEastAsia"/>
                <w:noProof/>
                <w:lang w:eastAsia="en-GB"/>
              </w:rPr>
              <w:tab/>
            </w:r>
            <w:r w:rsidRPr="00AD4A73">
              <w:rPr>
                <w:rStyle w:val="Hyperlink"/>
                <w:noProof/>
              </w:rPr>
              <w:t>Implementation Roadmap</w:t>
            </w:r>
            <w:r>
              <w:rPr>
                <w:noProof/>
                <w:webHidden/>
              </w:rPr>
              <w:tab/>
            </w:r>
            <w:r>
              <w:rPr>
                <w:noProof/>
                <w:webHidden/>
              </w:rPr>
              <w:fldChar w:fldCharType="begin"/>
            </w:r>
            <w:r>
              <w:rPr>
                <w:noProof/>
                <w:webHidden/>
              </w:rPr>
              <w:instrText xml:space="preserve"> PAGEREF _Toc229737990 \h </w:instrText>
            </w:r>
            <w:r>
              <w:rPr>
                <w:noProof/>
                <w:webHidden/>
              </w:rPr>
            </w:r>
            <w:r>
              <w:rPr>
                <w:noProof/>
                <w:webHidden/>
              </w:rPr>
              <w:fldChar w:fldCharType="separate"/>
            </w:r>
            <w:r>
              <w:rPr>
                <w:noProof/>
                <w:webHidden/>
              </w:rPr>
              <w:t>10</w:t>
            </w:r>
            <w:r>
              <w:rPr>
                <w:noProof/>
                <w:webHidden/>
              </w:rPr>
              <w:fldChar w:fldCharType="end"/>
            </w:r>
          </w:hyperlink>
        </w:p>
        <w:p w14:paraId="58C75D03" w14:textId="42B054D7" w:rsidR="00A63607" w:rsidRDefault="00A63607">
          <w:pPr>
            <w:pStyle w:val="TOC1"/>
            <w:tabs>
              <w:tab w:val="left" w:pos="480"/>
              <w:tab w:val="right" w:leader="dot" w:pos="9016"/>
            </w:tabs>
            <w:rPr>
              <w:rFonts w:eastAsiaTheme="minorEastAsia"/>
              <w:noProof/>
              <w:lang w:eastAsia="en-GB"/>
            </w:rPr>
          </w:pPr>
          <w:hyperlink w:anchor="_Toc229737991" w:history="1">
            <w:r w:rsidRPr="00AD4A73">
              <w:rPr>
                <w:rStyle w:val="Hyperlink"/>
                <w:noProof/>
              </w:rPr>
              <w:t>9.</w:t>
            </w:r>
            <w:r>
              <w:rPr>
                <w:rFonts w:eastAsiaTheme="minorEastAsia"/>
                <w:noProof/>
                <w:lang w:eastAsia="en-GB"/>
              </w:rPr>
              <w:tab/>
            </w:r>
            <w:r w:rsidRPr="00AD4A73">
              <w:rPr>
                <w:rStyle w:val="Hyperlink"/>
                <w:noProof/>
              </w:rPr>
              <w:t>Conclusion</w:t>
            </w:r>
            <w:r>
              <w:rPr>
                <w:noProof/>
                <w:webHidden/>
              </w:rPr>
              <w:tab/>
            </w:r>
            <w:r>
              <w:rPr>
                <w:noProof/>
                <w:webHidden/>
              </w:rPr>
              <w:fldChar w:fldCharType="begin"/>
            </w:r>
            <w:r>
              <w:rPr>
                <w:noProof/>
                <w:webHidden/>
              </w:rPr>
              <w:instrText xml:space="preserve"> PAGEREF _Toc229737991 \h </w:instrText>
            </w:r>
            <w:r>
              <w:rPr>
                <w:noProof/>
                <w:webHidden/>
              </w:rPr>
            </w:r>
            <w:r>
              <w:rPr>
                <w:noProof/>
                <w:webHidden/>
              </w:rPr>
              <w:fldChar w:fldCharType="separate"/>
            </w:r>
            <w:r>
              <w:rPr>
                <w:noProof/>
                <w:webHidden/>
              </w:rPr>
              <w:t>11</w:t>
            </w:r>
            <w:r>
              <w:rPr>
                <w:noProof/>
                <w:webHidden/>
              </w:rPr>
              <w:fldChar w:fldCharType="end"/>
            </w:r>
          </w:hyperlink>
        </w:p>
        <w:p w14:paraId="734812EE" w14:textId="633E430E" w:rsidR="00A63607" w:rsidRDefault="00A63607">
          <w:pPr>
            <w:pStyle w:val="TOC1"/>
            <w:tabs>
              <w:tab w:val="right" w:leader="dot" w:pos="9016"/>
            </w:tabs>
            <w:rPr>
              <w:rFonts w:eastAsiaTheme="minorEastAsia"/>
              <w:noProof/>
              <w:lang w:eastAsia="en-GB"/>
            </w:rPr>
          </w:pPr>
          <w:hyperlink w:anchor="_Toc229737992" w:history="1">
            <w:r w:rsidRPr="00AD4A73">
              <w:rPr>
                <w:rStyle w:val="Hyperlink"/>
                <w:noProof/>
              </w:rPr>
              <w:t>Bibliography</w:t>
            </w:r>
            <w:r>
              <w:rPr>
                <w:noProof/>
                <w:webHidden/>
              </w:rPr>
              <w:tab/>
            </w:r>
            <w:r>
              <w:rPr>
                <w:noProof/>
                <w:webHidden/>
              </w:rPr>
              <w:fldChar w:fldCharType="begin"/>
            </w:r>
            <w:r>
              <w:rPr>
                <w:noProof/>
                <w:webHidden/>
              </w:rPr>
              <w:instrText xml:space="preserve"> PAGEREF _Toc229737992 \h </w:instrText>
            </w:r>
            <w:r>
              <w:rPr>
                <w:noProof/>
                <w:webHidden/>
              </w:rPr>
            </w:r>
            <w:r>
              <w:rPr>
                <w:noProof/>
                <w:webHidden/>
              </w:rPr>
              <w:fldChar w:fldCharType="separate"/>
            </w:r>
            <w:r>
              <w:rPr>
                <w:noProof/>
                <w:webHidden/>
              </w:rPr>
              <w:t>12</w:t>
            </w:r>
            <w:r>
              <w:rPr>
                <w:noProof/>
                <w:webHidden/>
              </w:rPr>
              <w:fldChar w:fldCharType="end"/>
            </w:r>
          </w:hyperlink>
        </w:p>
        <w:p w14:paraId="7DE6C8FF" w14:textId="2F0B224F" w:rsidR="00D42F76" w:rsidRDefault="00D42F76">
          <w:r>
            <w:rPr>
              <w:b/>
              <w:bCs/>
              <w:noProof/>
            </w:rPr>
            <w:fldChar w:fldCharType="end"/>
          </w:r>
        </w:p>
      </w:sdtContent>
    </w:sdt>
    <w:p w14:paraId="78A30BE3" w14:textId="77777777" w:rsidR="00D42F76" w:rsidRDefault="00D42F76"/>
    <w:p w14:paraId="40AAF7AA" w14:textId="77777777" w:rsidR="00D42F76" w:rsidRDefault="00D42F76"/>
    <w:p w14:paraId="71EFDE9E" w14:textId="1C44E323" w:rsidR="00B426D6" w:rsidRDefault="00B426D6">
      <w:r>
        <w:br w:type="page"/>
      </w:r>
    </w:p>
    <w:p w14:paraId="75F74EA7" w14:textId="25365872" w:rsidR="005007D8" w:rsidRDefault="005007D8" w:rsidP="00132A0E">
      <w:pPr>
        <w:pStyle w:val="Heading1"/>
        <w:numPr>
          <w:ilvl w:val="0"/>
          <w:numId w:val="2"/>
        </w:numPr>
        <w:jc w:val="center"/>
      </w:pPr>
      <w:bookmarkStart w:id="1" w:name="_Toc229737983"/>
      <w:r>
        <w:lastRenderedPageBreak/>
        <w:t>Introduction</w:t>
      </w:r>
      <w:bookmarkEnd w:id="1"/>
    </w:p>
    <w:p w14:paraId="7D242663" w14:textId="77777777" w:rsidR="000E6614" w:rsidRDefault="000E6614" w:rsidP="005007D8"/>
    <w:p w14:paraId="20314732" w14:textId="77777777" w:rsidR="005439BD" w:rsidRDefault="005439BD" w:rsidP="008248FB">
      <w:pPr>
        <w:ind w:firstLine="360"/>
        <w:jc w:val="both"/>
      </w:pPr>
      <w:r>
        <w:t>Vigilant Trust &amp; Asset Management (VTAM) operates in a sector where trust, confidentiality, and service availability are central to the business. As a medium-sized financial services company, VTAM holds client records, account information, investment data, internal financial documents, and communications that would be valuable to criminals. The recent phishing campaign and the attempted ransomware infection show that the organisation is no longer dealing only with basic malware or opportunistic spam. It is facing attackers who understand how employees work, how cloud services are used, and how pressure can be applied to make people act quickly.</w:t>
      </w:r>
    </w:p>
    <w:p w14:paraId="6D2E2699" w14:textId="380F2FD3" w:rsidR="002A0D4A" w:rsidRDefault="005439BD" w:rsidP="008248FB">
      <w:pPr>
        <w:ind w:firstLine="360"/>
        <w:jc w:val="both"/>
      </w:pPr>
      <w:r>
        <w:t xml:space="preserve">This paper recommends a Zero Trust security framework for VTAM. I have treated Zero Trust as a practical risk-management approach, not as a single product to </w:t>
      </w:r>
      <w:r w:rsidR="009F7E5C">
        <w:t>use</w:t>
      </w:r>
      <w:r>
        <w:t>. The main principle is that users, devices, applications, workloads, and network sessions should not be trusted by default. Each request should be checked against identity, device health, data sensitivity, location, behaviour, and current risk. The proposal is aligned with CISA's Zero Trust Maturity Model</w:t>
      </w:r>
      <w:sdt>
        <w:sdtPr>
          <w:id w:val="-525945520"/>
          <w:citation/>
        </w:sdtPr>
        <w:sdtEndPr/>
        <w:sdtContent>
          <w:r w:rsidR="00A459AF">
            <w:fldChar w:fldCharType="begin"/>
          </w:r>
          <w:r w:rsidR="00D74AFA">
            <w:instrText xml:space="preserve">CITATION CIS22 \l 2057 </w:instrText>
          </w:r>
          <w:r w:rsidR="00A459AF">
            <w:fldChar w:fldCharType="separate"/>
          </w:r>
          <w:r w:rsidR="00394AAC">
            <w:rPr>
              <w:noProof/>
            </w:rPr>
            <w:t xml:space="preserve"> </w:t>
          </w:r>
          <w:r w:rsidR="00394AAC" w:rsidRPr="00394AAC">
            <w:rPr>
              <w:noProof/>
            </w:rPr>
            <w:t>[1]</w:t>
          </w:r>
          <w:r w:rsidR="00A459AF">
            <w:fldChar w:fldCharType="end"/>
          </w:r>
        </w:sdtContent>
      </w:sdt>
      <w:r>
        <w:t>, the NIST Cybersecurity Framework (CSF) 2.0</w:t>
      </w:r>
      <w:sdt>
        <w:sdtPr>
          <w:id w:val="-1246038657"/>
          <w:citation/>
        </w:sdtPr>
        <w:sdtEndPr/>
        <w:sdtContent>
          <w:r w:rsidR="00485BD7">
            <w:fldChar w:fldCharType="begin"/>
          </w:r>
          <w:r w:rsidR="00D007D4">
            <w:instrText xml:space="preserve">CITATION NIS26 \l 2057 </w:instrText>
          </w:r>
          <w:r w:rsidR="00485BD7">
            <w:fldChar w:fldCharType="separate"/>
          </w:r>
          <w:r w:rsidR="00394AAC">
            <w:rPr>
              <w:noProof/>
            </w:rPr>
            <w:t xml:space="preserve"> </w:t>
          </w:r>
          <w:r w:rsidR="00394AAC" w:rsidRPr="00394AAC">
            <w:rPr>
              <w:noProof/>
            </w:rPr>
            <w:t>[2]</w:t>
          </w:r>
          <w:r w:rsidR="00485BD7">
            <w:fldChar w:fldCharType="end"/>
          </w:r>
        </w:sdtContent>
      </w:sdt>
      <w:r>
        <w:t xml:space="preserve">, ISO/IEC 27001-style governance, and the CISA Known Exploited Vulnerabilities </w:t>
      </w:r>
      <w:r w:rsidR="00FC7633">
        <w:t>catalogue</w:t>
      </w:r>
      <w:sdt>
        <w:sdtPr>
          <w:id w:val="-106422096"/>
          <w:citation/>
        </w:sdtPr>
        <w:sdtEndPr/>
        <w:sdtContent>
          <w:r w:rsidR="00A61E92">
            <w:fldChar w:fldCharType="begin"/>
          </w:r>
          <w:r w:rsidR="00D74AFA">
            <w:instrText xml:space="preserve">CITATION CIS26 \l 2057 </w:instrText>
          </w:r>
          <w:r w:rsidR="00A61E92">
            <w:fldChar w:fldCharType="separate"/>
          </w:r>
          <w:r w:rsidR="00394AAC">
            <w:rPr>
              <w:noProof/>
            </w:rPr>
            <w:t xml:space="preserve"> </w:t>
          </w:r>
          <w:r w:rsidR="00394AAC" w:rsidRPr="00394AAC">
            <w:rPr>
              <w:noProof/>
            </w:rPr>
            <w:t>[3]</w:t>
          </w:r>
          <w:r w:rsidR="00A61E92">
            <w:fldChar w:fldCharType="end"/>
          </w:r>
        </w:sdtContent>
      </w:sdt>
      <w:r>
        <w:t>.</w:t>
      </w:r>
    </w:p>
    <w:p w14:paraId="70A1ABEC" w14:textId="054D60D8" w:rsidR="002A0D4A" w:rsidRDefault="002A0D4A">
      <w:r>
        <w:br w:type="page"/>
      </w:r>
    </w:p>
    <w:p w14:paraId="7549EFD4" w14:textId="77777777" w:rsidR="00132A0E" w:rsidRDefault="00132A0E" w:rsidP="00132A0E">
      <w:pPr>
        <w:pStyle w:val="Heading1"/>
        <w:numPr>
          <w:ilvl w:val="0"/>
          <w:numId w:val="2"/>
        </w:numPr>
        <w:jc w:val="center"/>
      </w:pPr>
      <w:bookmarkStart w:id="2" w:name="_Toc229737984"/>
      <w:r>
        <w:lastRenderedPageBreak/>
        <w:t>Identification of Modern Threats</w:t>
      </w:r>
      <w:bookmarkEnd w:id="2"/>
    </w:p>
    <w:p w14:paraId="16F5FF30" w14:textId="77777777" w:rsidR="00132A0E" w:rsidRDefault="00132A0E" w:rsidP="00132A0E">
      <w:pPr>
        <w:jc w:val="both"/>
      </w:pPr>
    </w:p>
    <w:p w14:paraId="57D466F1" w14:textId="4B6A0A76" w:rsidR="003321E9" w:rsidRDefault="003321E9" w:rsidP="003321E9">
      <w:pPr>
        <w:ind w:firstLine="360"/>
        <w:jc w:val="both"/>
      </w:pPr>
      <w:r>
        <w:t>The most serious threat to VTAM is ransomware because it can affect confidentiality, integrity, and availability at the same time. Modern ransomware groups often steal data before encrypting systems, creating business disruption, regulatory exposure, client notification costs, and reputational damage even where backups exist</w:t>
      </w:r>
      <w:sdt>
        <w:sdtPr>
          <w:id w:val="-1267763210"/>
          <w:citation/>
        </w:sdtPr>
        <w:sdtEndPr/>
        <w:sdtContent>
          <w:r w:rsidR="00B17828">
            <w:fldChar w:fldCharType="begin"/>
          </w:r>
          <w:r w:rsidR="00B17828">
            <w:instrText xml:space="preserve"> CITATION Ass23 \l 2057 </w:instrText>
          </w:r>
          <w:r w:rsidR="00B17828">
            <w:fldChar w:fldCharType="separate"/>
          </w:r>
          <w:r w:rsidR="00394AAC">
            <w:rPr>
              <w:noProof/>
            </w:rPr>
            <w:t xml:space="preserve"> </w:t>
          </w:r>
          <w:r w:rsidR="00394AAC" w:rsidRPr="00394AAC">
            <w:rPr>
              <w:noProof/>
            </w:rPr>
            <w:t>[4]</w:t>
          </w:r>
          <w:r w:rsidR="00B17828">
            <w:fldChar w:fldCharType="end"/>
          </w:r>
        </w:sdtContent>
      </w:sdt>
      <w:r>
        <w:t>. Ransomware-as-a-Service also increases VTAM’s exposure because less-skilled criminals can rent ransomware tools, phishing kits, leak sites, and payment infrastructure from organised ransomware groups</w:t>
      </w:r>
      <w:sdt>
        <w:sdtPr>
          <w:id w:val="1021895374"/>
          <w:citation/>
        </w:sdtPr>
        <w:sdtContent>
          <w:r w:rsidR="00325F34">
            <w:fldChar w:fldCharType="begin"/>
          </w:r>
          <w:r w:rsidR="00325F34">
            <w:instrText xml:space="preserve"> CITATION Nat241 \l 2057 </w:instrText>
          </w:r>
          <w:r w:rsidR="00325F34">
            <w:fldChar w:fldCharType="separate"/>
          </w:r>
          <w:r w:rsidR="00394AAC">
            <w:rPr>
              <w:noProof/>
            </w:rPr>
            <w:t xml:space="preserve"> </w:t>
          </w:r>
          <w:r w:rsidR="00394AAC" w:rsidRPr="00394AAC">
            <w:rPr>
              <w:noProof/>
            </w:rPr>
            <w:t>[5]</w:t>
          </w:r>
          <w:r w:rsidR="00325F34">
            <w:fldChar w:fldCharType="end"/>
          </w:r>
        </w:sdtContent>
      </w:sdt>
      <w:r>
        <w:t>. Likely entry routes include phishing links, malicious attachments, stolen SaaS credentials, weak remote access controls, unpatched internet-facing services, and compromise of a trusted supplier.</w:t>
      </w:r>
    </w:p>
    <w:p w14:paraId="1EE9A747" w14:textId="1FC5ADCF" w:rsidR="003321E9" w:rsidRDefault="003321E9" w:rsidP="003321E9">
      <w:pPr>
        <w:ind w:firstLine="360"/>
        <w:jc w:val="both"/>
      </w:pPr>
      <w:r>
        <w:t>Credential theft is a closely related threat. If an attacker obtains a valid password and can pass or bypass multi-factor authentication, their activity may appear to be normal user behaviour. This is especially dangerous for email, finance applications, customer relationship management systems, cloud platforms, and administrator accounts. Business email compromise is also a realistic risk, as criminals may attempt to redirect payments, alter client instructions, or impersonate senior executives</w:t>
      </w:r>
      <w:sdt>
        <w:sdtPr>
          <w:id w:val="52284254"/>
          <w:citation/>
        </w:sdtPr>
        <w:sdtContent>
          <w:r w:rsidR="00394AAC">
            <w:fldChar w:fldCharType="begin"/>
          </w:r>
          <w:r w:rsidR="00394AAC">
            <w:instrText xml:space="preserve"> CITATION Fed26 \l 2057 </w:instrText>
          </w:r>
          <w:r w:rsidR="00394AAC">
            <w:fldChar w:fldCharType="separate"/>
          </w:r>
          <w:r w:rsidR="00394AAC">
            <w:rPr>
              <w:noProof/>
            </w:rPr>
            <w:t xml:space="preserve"> </w:t>
          </w:r>
          <w:r w:rsidR="00394AAC" w:rsidRPr="00394AAC">
            <w:rPr>
              <w:noProof/>
            </w:rPr>
            <w:t>[6]</w:t>
          </w:r>
          <w:r w:rsidR="00394AAC">
            <w:fldChar w:fldCharType="end"/>
          </w:r>
        </w:sdtContent>
      </w:sdt>
      <w:r>
        <w:t>.</w:t>
      </w:r>
    </w:p>
    <w:p w14:paraId="4D316993" w14:textId="291193C2" w:rsidR="003321E9" w:rsidRDefault="003321E9" w:rsidP="003321E9">
      <w:pPr>
        <w:ind w:firstLine="360"/>
        <w:jc w:val="both"/>
      </w:pPr>
      <w:r>
        <w:t>AI-enabled social engineering increases the scale, speed, and credibility of these attacks. Criminals can create convincing emails, text messages, voice calls, and fake meeting requests that use the language of finance, compliance, IT support, or senior management</w:t>
      </w:r>
      <w:sdt>
        <w:sdtPr>
          <w:id w:val="1380673952"/>
          <w:citation/>
        </w:sdtPr>
        <w:sdtEndPr/>
        <w:sdtContent>
          <w:r w:rsidR="00B143A2">
            <w:fldChar w:fldCharType="begin"/>
          </w:r>
          <w:r w:rsidR="00B143A2">
            <w:instrText xml:space="preserve"> CITATION Nat24 \l 2057 </w:instrText>
          </w:r>
          <w:r w:rsidR="00B143A2">
            <w:fldChar w:fldCharType="separate"/>
          </w:r>
          <w:r w:rsidR="00394AAC">
            <w:rPr>
              <w:noProof/>
            </w:rPr>
            <w:t xml:space="preserve"> </w:t>
          </w:r>
          <w:r w:rsidR="00394AAC" w:rsidRPr="00394AAC">
            <w:rPr>
              <w:noProof/>
            </w:rPr>
            <w:t>[7]</w:t>
          </w:r>
          <w:r w:rsidR="00B143A2">
            <w:fldChar w:fldCharType="end"/>
          </w:r>
        </w:sdtContent>
      </w:sdt>
      <w:r>
        <w:t>. Deepfake audio and scripted vishing are particularly concerning for VTAM because employees may receive urgent requests from executives, clients, suppliers, or external advisers.</w:t>
      </w:r>
    </w:p>
    <w:p w14:paraId="1463A893" w14:textId="21366DCE" w:rsidR="003321E9" w:rsidRDefault="003321E9" w:rsidP="003321E9">
      <w:pPr>
        <w:ind w:firstLine="360"/>
        <w:jc w:val="both"/>
      </w:pPr>
      <w:r>
        <w:t>Supply chain compromise is another major risk. VTAM depends on SaaS providers, identity services, cloud platforms, external IT support, software vendors, market data suppliers, and professional service firms. A weakness in one of these organisations could expose VTAM through shared credentials, integrations, APIs, remote support access, or inherited vulnerabilities</w:t>
      </w:r>
      <w:sdt>
        <w:sdtPr>
          <w:id w:val="818921607"/>
          <w:citation/>
        </w:sdtPr>
        <w:sdtEndPr/>
        <w:sdtContent>
          <w:r w:rsidR="007819D6">
            <w:fldChar w:fldCharType="begin"/>
          </w:r>
          <w:r w:rsidR="007819D6">
            <w:instrText xml:space="preserve"> CITATION Nat23 \l 2057 </w:instrText>
          </w:r>
          <w:r w:rsidR="007819D6">
            <w:fldChar w:fldCharType="separate"/>
          </w:r>
          <w:r w:rsidR="00394AAC">
            <w:rPr>
              <w:noProof/>
            </w:rPr>
            <w:t xml:space="preserve"> </w:t>
          </w:r>
          <w:r w:rsidR="00394AAC" w:rsidRPr="00394AAC">
            <w:rPr>
              <w:noProof/>
            </w:rPr>
            <w:t>[8]</w:t>
          </w:r>
          <w:r w:rsidR="007819D6">
            <w:fldChar w:fldCharType="end"/>
          </w:r>
        </w:sdtContent>
      </w:sdt>
      <w:r>
        <w:t>.</w:t>
      </w:r>
    </w:p>
    <w:p w14:paraId="2A6B1192" w14:textId="4BE06668" w:rsidR="00B1531A" w:rsidRDefault="003321E9" w:rsidP="003321E9">
      <w:pPr>
        <w:ind w:firstLine="360"/>
        <w:jc w:val="both"/>
      </w:pPr>
      <w:r>
        <w:t>Cloud and endpoint risks further expand the attack surface. Cloud misconfiguration, excessive OAuth permissions, unmanaged mobile devices, and shadow IT can allow data exposure or unauthorised access outside traditional network controls. Internal risks must also be considered, including negligent staff, excessive privileges, accidental data sharing, and the possibility of a disgruntled employee.</w:t>
      </w:r>
      <w:sdt>
        <w:sdtPr>
          <w:id w:val="-1009991498"/>
          <w:citation/>
        </w:sdtPr>
        <w:sdtEndPr/>
        <w:sdtContent>
          <w:r w:rsidR="000B76C1">
            <w:fldChar w:fldCharType="begin"/>
          </w:r>
          <w:r w:rsidR="000B76C1">
            <w:instrText xml:space="preserve"> CITATION Cyb26 \l 2057 </w:instrText>
          </w:r>
          <w:r w:rsidR="000B76C1">
            <w:fldChar w:fldCharType="separate"/>
          </w:r>
          <w:r w:rsidR="00394AAC">
            <w:rPr>
              <w:noProof/>
            </w:rPr>
            <w:t xml:space="preserve"> </w:t>
          </w:r>
          <w:r w:rsidR="00394AAC" w:rsidRPr="00394AAC">
            <w:rPr>
              <w:noProof/>
            </w:rPr>
            <w:t>[9]</w:t>
          </w:r>
          <w:r w:rsidR="000B76C1">
            <w:fldChar w:fldCharType="end"/>
          </w:r>
        </w:sdtContent>
      </w:sdt>
    </w:p>
    <w:p w14:paraId="26225EA1" w14:textId="0F950C2D" w:rsidR="00B1531A" w:rsidRDefault="00B1531A">
      <w:r>
        <w:br w:type="page"/>
      </w:r>
    </w:p>
    <w:p w14:paraId="6400CAF9" w14:textId="6FD1F07E" w:rsidR="00B1531A" w:rsidRDefault="001B3280" w:rsidP="001B3280">
      <w:pPr>
        <w:pStyle w:val="Heading1"/>
        <w:numPr>
          <w:ilvl w:val="0"/>
          <w:numId w:val="2"/>
        </w:numPr>
        <w:jc w:val="center"/>
      </w:pPr>
      <w:bookmarkStart w:id="3" w:name="_Toc229737985"/>
      <w:r w:rsidRPr="001B3280">
        <w:lastRenderedPageBreak/>
        <w:t>Security Policies Required</w:t>
      </w:r>
      <w:bookmarkEnd w:id="3"/>
    </w:p>
    <w:p w14:paraId="07B47DB7" w14:textId="77777777" w:rsidR="001B3280" w:rsidRDefault="001B3280" w:rsidP="008954CB">
      <w:pPr>
        <w:ind w:firstLine="360"/>
        <w:jc w:val="both"/>
      </w:pPr>
    </w:p>
    <w:p w14:paraId="54E0247A" w14:textId="5C698892" w:rsidR="00E84E18" w:rsidRDefault="00E84E18" w:rsidP="008954CB">
      <w:pPr>
        <w:ind w:firstLine="360"/>
        <w:jc w:val="both"/>
      </w:pPr>
      <w:r w:rsidRPr="00E84E18">
        <w:t>VTAM needs policies that are short enough to be understood but strong enough to be enforced. The policies should be approved by leadership, owned by named roles, reviewed at scheduled intervals, and linked to evidence such as logs, access reviews, training records, supplier assessments, and incident reports. The NIST CSF 2.0 functions can be used to keep the policy set balanced: Govern, Identify, Protect, Detect, Respond, and Recover</w:t>
      </w:r>
      <w:sdt>
        <w:sdtPr>
          <w:id w:val="-319416769"/>
          <w:citation/>
        </w:sdtPr>
        <w:sdtEndPr/>
        <w:sdtContent>
          <w:r w:rsidR="00A633BA">
            <w:fldChar w:fldCharType="begin"/>
          </w:r>
          <w:r w:rsidR="00FE239A">
            <w:instrText xml:space="preserve">CITATION NIS26 \p 15-23 \l 2057 </w:instrText>
          </w:r>
          <w:r w:rsidR="00A633BA">
            <w:fldChar w:fldCharType="separate"/>
          </w:r>
          <w:r w:rsidR="00394AAC">
            <w:rPr>
              <w:noProof/>
            </w:rPr>
            <w:t xml:space="preserve"> </w:t>
          </w:r>
          <w:r w:rsidR="00394AAC" w:rsidRPr="00394AAC">
            <w:rPr>
              <w:noProof/>
            </w:rPr>
            <w:t>[2, pp. 15-23]</w:t>
          </w:r>
          <w:r w:rsidR="00A633BA">
            <w:fldChar w:fldCharType="end"/>
          </w:r>
        </w:sdtContent>
      </w:sdt>
      <w:r w:rsidRPr="00E84E18">
        <w:t>.</w:t>
      </w:r>
    </w:p>
    <w:p w14:paraId="29B608AD" w14:textId="77777777" w:rsidR="00137E31" w:rsidRDefault="00137E31" w:rsidP="008954CB">
      <w:pPr>
        <w:ind w:firstLine="360"/>
        <w:jc w:val="both"/>
      </w:pPr>
    </w:p>
    <w:p w14:paraId="51542B74" w14:textId="285BD783" w:rsidR="00AF4DA5" w:rsidRDefault="00AF4DA5" w:rsidP="008954CB">
      <w:pPr>
        <w:ind w:firstLine="360"/>
        <w:jc w:val="both"/>
      </w:pPr>
      <w:r>
        <w:t>Table 1</w:t>
      </w:r>
      <w:r w:rsidR="00137E31">
        <w:t>. Security Policies</w:t>
      </w:r>
    </w:p>
    <w:tbl>
      <w:tblPr>
        <w:tblStyle w:val="GridTable4"/>
        <w:tblW w:w="0" w:type="auto"/>
        <w:tblLook w:val="04A0" w:firstRow="1" w:lastRow="0" w:firstColumn="1" w:lastColumn="0" w:noHBand="0" w:noVBand="1"/>
      </w:tblPr>
      <w:tblGrid>
        <w:gridCol w:w="3005"/>
        <w:gridCol w:w="3005"/>
        <w:gridCol w:w="3006"/>
      </w:tblGrid>
      <w:tr w:rsidR="00610A49" w:rsidRPr="00D64C54" w14:paraId="06AC5254" w14:textId="77777777" w:rsidTr="00D64C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6A5EAA" w14:textId="1C6CC7C5" w:rsidR="00610A49" w:rsidRPr="00D64C54" w:rsidRDefault="0036516A" w:rsidP="00610A49">
            <w:pPr>
              <w:jc w:val="both"/>
              <w:rPr>
                <w:sz w:val="20"/>
                <w:szCs w:val="20"/>
              </w:rPr>
            </w:pPr>
            <w:r w:rsidRPr="00D64C54">
              <w:rPr>
                <w:sz w:val="20"/>
                <w:szCs w:val="20"/>
              </w:rPr>
              <w:t>Policy Area</w:t>
            </w:r>
          </w:p>
        </w:tc>
        <w:tc>
          <w:tcPr>
            <w:tcW w:w="3005" w:type="dxa"/>
          </w:tcPr>
          <w:p w14:paraId="1DBE6AFD" w14:textId="545668FD" w:rsidR="00610A49" w:rsidRPr="00D64C54" w:rsidRDefault="002B6B93" w:rsidP="00610A49">
            <w:pPr>
              <w:jc w:val="both"/>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P</w:t>
            </w:r>
            <w:r w:rsidR="00247447" w:rsidRPr="00D64C54">
              <w:rPr>
                <w:sz w:val="20"/>
                <w:szCs w:val="20"/>
              </w:rPr>
              <w:t>urpose statement</w:t>
            </w:r>
          </w:p>
        </w:tc>
        <w:tc>
          <w:tcPr>
            <w:tcW w:w="3006" w:type="dxa"/>
          </w:tcPr>
          <w:p w14:paraId="2D1B2D79" w14:textId="45A149A4" w:rsidR="00610A49" w:rsidRPr="00D64C54" w:rsidRDefault="004443D8" w:rsidP="00610A49">
            <w:pPr>
              <w:jc w:val="both"/>
              <w:cnfStyle w:val="100000000000" w:firstRow="1" w:lastRow="0" w:firstColumn="0" w:lastColumn="0" w:oddVBand="0" w:evenVBand="0" w:oddHBand="0" w:evenHBand="0" w:firstRowFirstColumn="0" w:firstRowLastColumn="0" w:lastRowFirstColumn="0" w:lastRowLastColumn="0"/>
              <w:rPr>
                <w:sz w:val="20"/>
                <w:szCs w:val="20"/>
              </w:rPr>
            </w:pPr>
            <w:r w:rsidRPr="00D64C54">
              <w:rPr>
                <w:sz w:val="20"/>
                <w:szCs w:val="20"/>
              </w:rPr>
              <w:t>Main control evidence</w:t>
            </w:r>
          </w:p>
        </w:tc>
      </w:tr>
      <w:tr w:rsidR="00610A49" w:rsidRPr="00D64C54" w14:paraId="2C614EAC" w14:textId="77777777" w:rsidTr="00D64C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A85955" w14:textId="338C3BD0" w:rsidR="00610A49" w:rsidRPr="00D64C54" w:rsidRDefault="00610A49" w:rsidP="00610A49">
            <w:pPr>
              <w:jc w:val="both"/>
              <w:rPr>
                <w:sz w:val="20"/>
                <w:szCs w:val="20"/>
              </w:rPr>
            </w:pPr>
            <w:r w:rsidRPr="00D64C54">
              <w:rPr>
                <w:sz w:val="20"/>
                <w:szCs w:val="20"/>
              </w:rPr>
              <w:t>Zero Trust access</w:t>
            </w:r>
          </w:p>
        </w:tc>
        <w:tc>
          <w:tcPr>
            <w:tcW w:w="3005" w:type="dxa"/>
          </w:tcPr>
          <w:p w14:paraId="7577D709" w14:textId="5F4675C1"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Check identity, device condition, role, and risk before access.</w:t>
            </w:r>
          </w:p>
        </w:tc>
        <w:tc>
          <w:tcPr>
            <w:tcW w:w="3006" w:type="dxa"/>
          </w:tcPr>
          <w:p w14:paraId="11816736" w14:textId="5223FFBA"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Conditional access logs</w:t>
            </w:r>
          </w:p>
        </w:tc>
      </w:tr>
      <w:tr w:rsidR="00610A49" w:rsidRPr="00D64C54" w14:paraId="05891153" w14:textId="77777777" w:rsidTr="00D64C54">
        <w:tc>
          <w:tcPr>
            <w:cnfStyle w:val="001000000000" w:firstRow="0" w:lastRow="0" w:firstColumn="1" w:lastColumn="0" w:oddVBand="0" w:evenVBand="0" w:oddHBand="0" w:evenHBand="0" w:firstRowFirstColumn="0" w:firstRowLastColumn="0" w:lastRowFirstColumn="0" w:lastRowLastColumn="0"/>
            <w:tcW w:w="3005" w:type="dxa"/>
          </w:tcPr>
          <w:p w14:paraId="2C13DDF9" w14:textId="25DF5F20" w:rsidR="00610A49" w:rsidRPr="00D64C54" w:rsidRDefault="00610A49" w:rsidP="00610A49">
            <w:pPr>
              <w:jc w:val="both"/>
              <w:rPr>
                <w:sz w:val="20"/>
                <w:szCs w:val="20"/>
              </w:rPr>
            </w:pPr>
            <w:r w:rsidRPr="00D64C54">
              <w:rPr>
                <w:sz w:val="20"/>
                <w:szCs w:val="20"/>
              </w:rPr>
              <w:t>Identity and MFA</w:t>
            </w:r>
          </w:p>
        </w:tc>
        <w:tc>
          <w:tcPr>
            <w:tcW w:w="3005" w:type="dxa"/>
          </w:tcPr>
          <w:p w14:paraId="113769DC" w14:textId="2D205C29" w:rsidR="00610A49" w:rsidRPr="00D64C54" w:rsidRDefault="00610A49" w:rsidP="00610A49">
            <w:pPr>
              <w:jc w:val="both"/>
              <w:cnfStyle w:val="000000000000" w:firstRow="0" w:lastRow="0" w:firstColumn="0" w:lastColumn="0" w:oddVBand="0" w:evenVBand="0" w:oddHBand="0" w:evenHBand="0" w:firstRowFirstColumn="0" w:firstRowLastColumn="0" w:lastRowFirstColumn="0" w:lastRowLastColumn="0"/>
              <w:rPr>
                <w:sz w:val="20"/>
                <w:szCs w:val="20"/>
              </w:rPr>
            </w:pPr>
            <w:r w:rsidRPr="00D64C54">
              <w:rPr>
                <w:sz w:val="20"/>
                <w:szCs w:val="20"/>
              </w:rPr>
              <w:t>Require MFA for all users; use phishing-resistant MFA for high-risk roles.</w:t>
            </w:r>
          </w:p>
        </w:tc>
        <w:tc>
          <w:tcPr>
            <w:tcW w:w="3006" w:type="dxa"/>
          </w:tcPr>
          <w:p w14:paraId="15E4CC94" w14:textId="4A165C2F" w:rsidR="00610A49" w:rsidRPr="00D64C54" w:rsidRDefault="00610A49" w:rsidP="00610A49">
            <w:pPr>
              <w:jc w:val="both"/>
              <w:cnfStyle w:val="000000000000" w:firstRow="0" w:lastRow="0" w:firstColumn="0" w:lastColumn="0" w:oddVBand="0" w:evenVBand="0" w:oddHBand="0" w:evenHBand="0" w:firstRowFirstColumn="0" w:firstRowLastColumn="0" w:lastRowFirstColumn="0" w:lastRowLastColumn="0"/>
              <w:rPr>
                <w:sz w:val="20"/>
                <w:szCs w:val="20"/>
              </w:rPr>
            </w:pPr>
            <w:r w:rsidRPr="00D64C54">
              <w:rPr>
                <w:sz w:val="20"/>
                <w:szCs w:val="20"/>
              </w:rPr>
              <w:t>MFA and PAM reports</w:t>
            </w:r>
          </w:p>
        </w:tc>
      </w:tr>
      <w:tr w:rsidR="00610A49" w:rsidRPr="00D64C54" w14:paraId="4A335714" w14:textId="77777777" w:rsidTr="00D64C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66A6288" w14:textId="055109D2" w:rsidR="00610A49" w:rsidRPr="00D64C54" w:rsidRDefault="00610A49" w:rsidP="00610A49">
            <w:pPr>
              <w:jc w:val="both"/>
              <w:rPr>
                <w:sz w:val="20"/>
                <w:szCs w:val="20"/>
              </w:rPr>
            </w:pPr>
            <w:r w:rsidRPr="00D64C54">
              <w:rPr>
                <w:sz w:val="20"/>
                <w:szCs w:val="20"/>
              </w:rPr>
              <w:t>Endpoint and mobile</w:t>
            </w:r>
          </w:p>
        </w:tc>
        <w:tc>
          <w:tcPr>
            <w:tcW w:w="3005" w:type="dxa"/>
          </w:tcPr>
          <w:p w14:paraId="6A530340" w14:textId="4D7C4BB6"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Allow only encrypted, patched, enrolled, and monitored devices.</w:t>
            </w:r>
          </w:p>
        </w:tc>
        <w:tc>
          <w:tcPr>
            <w:tcW w:w="3006" w:type="dxa"/>
          </w:tcPr>
          <w:p w14:paraId="0DB0943B" w14:textId="56DB5A34"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MDM/EDR compliance</w:t>
            </w:r>
          </w:p>
        </w:tc>
      </w:tr>
      <w:tr w:rsidR="00610A49" w:rsidRPr="00D64C54" w14:paraId="3F83870C" w14:textId="77777777" w:rsidTr="00D64C54">
        <w:tc>
          <w:tcPr>
            <w:cnfStyle w:val="001000000000" w:firstRow="0" w:lastRow="0" w:firstColumn="1" w:lastColumn="0" w:oddVBand="0" w:evenVBand="0" w:oddHBand="0" w:evenHBand="0" w:firstRowFirstColumn="0" w:firstRowLastColumn="0" w:lastRowFirstColumn="0" w:lastRowLastColumn="0"/>
            <w:tcW w:w="3005" w:type="dxa"/>
          </w:tcPr>
          <w:p w14:paraId="2B49764C" w14:textId="10F283CD" w:rsidR="00610A49" w:rsidRPr="00D64C54" w:rsidRDefault="00610A49" w:rsidP="00610A49">
            <w:pPr>
              <w:jc w:val="both"/>
              <w:rPr>
                <w:sz w:val="20"/>
                <w:szCs w:val="20"/>
              </w:rPr>
            </w:pPr>
            <w:r w:rsidRPr="00D64C54">
              <w:rPr>
                <w:sz w:val="20"/>
                <w:szCs w:val="20"/>
              </w:rPr>
              <w:t>Cloud and SaaS</w:t>
            </w:r>
          </w:p>
        </w:tc>
        <w:tc>
          <w:tcPr>
            <w:tcW w:w="3005" w:type="dxa"/>
          </w:tcPr>
          <w:p w14:paraId="3C4C0858" w14:textId="34717583" w:rsidR="00610A49" w:rsidRPr="00D64C54" w:rsidRDefault="00610A49" w:rsidP="00610A49">
            <w:pPr>
              <w:jc w:val="both"/>
              <w:cnfStyle w:val="000000000000" w:firstRow="0" w:lastRow="0" w:firstColumn="0" w:lastColumn="0" w:oddVBand="0" w:evenVBand="0" w:oddHBand="0" w:evenHBand="0" w:firstRowFirstColumn="0" w:firstRowLastColumn="0" w:lastRowFirstColumn="0" w:lastRowLastColumn="0"/>
              <w:rPr>
                <w:sz w:val="20"/>
                <w:szCs w:val="20"/>
              </w:rPr>
            </w:pPr>
            <w:r w:rsidRPr="00D64C54">
              <w:rPr>
                <w:sz w:val="20"/>
                <w:szCs w:val="20"/>
              </w:rPr>
              <w:t>Use secure baselines, logging, encryption, and identity federation.</w:t>
            </w:r>
          </w:p>
        </w:tc>
        <w:tc>
          <w:tcPr>
            <w:tcW w:w="3006" w:type="dxa"/>
          </w:tcPr>
          <w:p w14:paraId="4BE8DD6D" w14:textId="382062A5" w:rsidR="00610A49" w:rsidRPr="00D64C54" w:rsidRDefault="00610A49" w:rsidP="00610A49">
            <w:pPr>
              <w:jc w:val="both"/>
              <w:cnfStyle w:val="000000000000" w:firstRow="0" w:lastRow="0" w:firstColumn="0" w:lastColumn="0" w:oddVBand="0" w:evenVBand="0" w:oddHBand="0" w:evenHBand="0" w:firstRowFirstColumn="0" w:firstRowLastColumn="0" w:lastRowFirstColumn="0" w:lastRowLastColumn="0"/>
              <w:rPr>
                <w:sz w:val="20"/>
                <w:szCs w:val="20"/>
              </w:rPr>
            </w:pPr>
            <w:r w:rsidRPr="00D64C54">
              <w:rPr>
                <w:sz w:val="20"/>
                <w:szCs w:val="20"/>
              </w:rPr>
              <w:t>CSPM/SaaS reports</w:t>
            </w:r>
          </w:p>
        </w:tc>
      </w:tr>
      <w:tr w:rsidR="00610A49" w:rsidRPr="00D64C54" w14:paraId="76D45698" w14:textId="77777777" w:rsidTr="00D64C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A2BF17" w14:textId="42B70007" w:rsidR="00610A49" w:rsidRPr="00D64C54" w:rsidRDefault="00610A49" w:rsidP="00610A49">
            <w:pPr>
              <w:jc w:val="both"/>
              <w:rPr>
                <w:sz w:val="20"/>
                <w:szCs w:val="20"/>
              </w:rPr>
            </w:pPr>
            <w:r w:rsidRPr="00D64C54">
              <w:rPr>
                <w:sz w:val="20"/>
                <w:szCs w:val="20"/>
              </w:rPr>
              <w:t>Vulnerability management</w:t>
            </w:r>
          </w:p>
        </w:tc>
        <w:tc>
          <w:tcPr>
            <w:tcW w:w="3005" w:type="dxa"/>
          </w:tcPr>
          <w:p w14:paraId="2889AB73" w14:textId="7FB5E7BF"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Prioritise internet-facing, critical, and KEV-listed weaknesses.</w:t>
            </w:r>
          </w:p>
        </w:tc>
        <w:tc>
          <w:tcPr>
            <w:tcW w:w="3006" w:type="dxa"/>
          </w:tcPr>
          <w:p w14:paraId="4483294D" w14:textId="4D75210B"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Patch tickets</w:t>
            </w:r>
          </w:p>
        </w:tc>
      </w:tr>
      <w:tr w:rsidR="00610A49" w:rsidRPr="00D64C54" w14:paraId="16542292" w14:textId="77777777" w:rsidTr="00D64C54">
        <w:tc>
          <w:tcPr>
            <w:cnfStyle w:val="001000000000" w:firstRow="0" w:lastRow="0" w:firstColumn="1" w:lastColumn="0" w:oddVBand="0" w:evenVBand="0" w:oddHBand="0" w:evenHBand="0" w:firstRowFirstColumn="0" w:firstRowLastColumn="0" w:lastRowFirstColumn="0" w:lastRowLastColumn="0"/>
            <w:tcW w:w="3005" w:type="dxa"/>
          </w:tcPr>
          <w:p w14:paraId="2F171031" w14:textId="0188DAFF" w:rsidR="00610A49" w:rsidRPr="00D64C54" w:rsidRDefault="00610A49" w:rsidP="00610A49">
            <w:pPr>
              <w:jc w:val="both"/>
              <w:rPr>
                <w:sz w:val="20"/>
                <w:szCs w:val="20"/>
              </w:rPr>
            </w:pPr>
            <w:r w:rsidRPr="00D64C54">
              <w:rPr>
                <w:sz w:val="20"/>
                <w:szCs w:val="20"/>
              </w:rPr>
              <w:t>Supplier security</w:t>
            </w:r>
          </w:p>
        </w:tc>
        <w:tc>
          <w:tcPr>
            <w:tcW w:w="3005" w:type="dxa"/>
          </w:tcPr>
          <w:p w14:paraId="22D4EBC3" w14:textId="00887D55" w:rsidR="00610A49" w:rsidRPr="00D64C54" w:rsidRDefault="00610A49" w:rsidP="00610A49">
            <w:pPr>
              <w:jc w:val="both"/>
              <w:cnfStyle w:val="000000000000" w:firstRow="0" w:lastRow="0" w:firstColumn="0" w:lastColumn="0" w:oddVBand="0" w:evenVBand="0" w:oddHBand="0" w:evenHBand="0" w:firstRowFirstColumn="0" w:firstRowLastColumn="0" w:lastRowFirstColumn="0" w:lastRowLastColumn="0"/>
              <w:rPr>
                <w:sz w:val="20"/>
                <w:szCs w:val="20"/>
              </w:rPr>
            </w:pPr>
            <w:r w:rsidRPr="00D64C54">
              <w:rPr>
                <w:sz w:val="20"/>
                <w:szCs w:val="20"/>
              </w:rPr>
              <w:t>Assess critical suppliers before and during service delivery.</w:t>
            </w:r>
          </w:p>
        </w:tc>
        <w:tc>
          <w:tcPr>
            <w:tcW w:w="3006" w:type="dxa"/>
          </w:tcPr>
          <w:p w14:paraId="5D656803" w14:textId="21817951" w:rsidR="00610A49" w:rsidRPr="00D64C54" w:rsidRDefault="00610A49" w:rsidP="00610A49">
            <w:pPr>
              <w:jc w:val="both"/>
              <w:cnfStyle w:val="000000000000" w:firstRow="0" w:lastRow="0" w:firstColumn="0" w:lastColumn="0" w:oddVBand="0" w:evenVBand="0" w:oddHBand="0" w:evenHBand="0" w:firstRowFirstColumn="0" w:firstRowLastColumn="0" w:lastRowFirstColumn="0" w:lastRowLastColumn="0"/>
              <w:rPr>
                <w:sz w:val="20"/>
                <w:szCs w:val="20"/>
              </w:rPr>
            </w:pPr>
            <w:r w:rsidRPr="00D64C54">
              <w:rPr>
                <w:sz w:val="20"/>
                <w:szCs w:val="20"/>
              </w:rPr>
              <w:t>Supplier risk register</w:t>
            </w:r>
          </w:p>
        </w:tc>
      </w:tr>
      <w:tr w:rsidR="00610A49" w:rsidRPr="00D64C54" w14:paraId="041F8AA3" w14:textId="77777777" w:rsidTr="00D64C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688487" w14:textId="7A4622ED" w:rsidR="00610A49" w:rsidRPr="00D64C54" w:rsidRDefault="00610A49" w:rsidP="00610A49">
            <w:pPr>
              <w:jc w:val="both"/>
              <w:rPr>
                <w:sz w:val="20"/>
                <w:szCs w:val="20"/>
              </w:rPr>
            </w:pPr>
            <w:r w:rsidRPr="00D64C54">
              <w:rPr>
                <w:sz w:val="20"/>
                <w:szCs w:val="20"/>
              </w:rPr>
              <w:t>Data protection</w:t>
            </w:r>
          </w:p>
        </w:tc>
        <w:tc>
          <w:tcPr>
            <w:tcW w:w="3005" w:type="dxa"/>
          </w:tcPr>
          <w:p w14:paraId="23B1122D" w14:textId="0F3CCB92"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Classify, encrypt, retain, and monitor sensitive data.</w:t>
            </w:r>
          </w:p>
        </w:tc>
        <w:tc>
          <w:tcPr>
            <w:tcW w:w="3006" w:type="dxa"/>
          </w:tcPr>
          <w:p w14:paraId="5B1307D0" w14:textId="7F17D57D"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DLP and inventory</w:t>
            </w:r>
          </w:p>
        </w:tc>
      </w:tr>
      <w:tr w:rsidR="00610A49" w:rsidRPr="00D64C54" w14:paraId="0F1B8930" w14:textId="77777777" w:rsidTr="00D64C54">
        <w:tc>
          <w:tcPr>
            <w:cnfStyle w:val="001000000000" w:firstRow="0" w:lastRow="0" w:firstColumn="1" w:lastColumn="0" w:oddVBand="0" w:evenVBand="0" w:oddHBand="0" w:evenHBand="0" w:firstRowFirstColumn="0" w:firstRowLastColumn="0" w:lastRowFirstColumn="0" w:lastRowLastColumn="0"/>
            <w:tcW w:w="3005" w:type="dxa"/>
          </w:tcPr>
          <w:p w14:paraId="66CB2260" w14:textId="6FB6EA70" w:rsidR="00610A49" w:rsidRPr="00D64C54" w:rsidRDefault="00610A49" w:rsidP="00610A49">
            <w:pPr>
              <w:jc w:val="both"/>
              <w:rPr>
                <w:sz w:val="20"/>
                <w:szCs w:val="20"/>
              </w:rPr>
            </w:pPr>
            <w:r w:rsidRPr="00D64C54">
              <w:rPr>
                <w:sz w:val="20"/>
                <w:szCs w:val="20"/>
              </w:rPr>
              <w:t>Incident response</w:t>
            </w:r>
          </w:p>
        </w:tc>
        <w:tc>
          <w:tcPr>
            <w:tcW w:w="3005" w:type="dxa"/>
          </w:tcPr>
          <w:p w14:paraId="19F299B7" w14:textId="2A5A6187" w:rsidR="00610A49" w:rsidRPr="00D64C54" w:rsidRDefault="00610A49" w:rsidP="00610A49">
            <w:pPr>
              <w:jc w:val="both"/>
              <w:cnfStyle w:val="000000000000" w:firstRow="0" w:lastRow="0" w:firstColumn="0" w:lastColumn="0" w:oddVBand="0" w:evenVBand="0" w:oddHBand="0" w:evenHBand="0" w:firstRowFirstColumn="0" w:firstRowLastColumn="0" w:lastRowFirstColumn="0" w:lastRowLastColumn="0"/>
              <w:rPr>
                <w:sz w:val="20"/>
                <w:szCs w:val="20"/>
              </w:rPr>
            </w:pPr>
            <w:r w:rsidRPr="00D64C54">
              <w:rPr>
                <w:sz w:val="20"/>
                <w:szCs w:val="20"/>
              </w:rPr>
              <w:t>Use severity levels, escalation paths, evidence handling, and recovery steps.</w:t>
            </w:r>
          </w:p>
        </w:tc>
        <w:tc>
          <w:tcPr>
            <w:tcW w:w="3006" w:type="dxa"/>
          </w:tcPr>
          <w:p w14:paraId="0AFFB6FC" w14:textId="50661E09" w:rsidR="00610A49" w:rsidRPr="00D64C54" w:rsidRDefault="00610A49" w:rsidP="00610A49">
            <w:pPr>
              <w:jc w:val="both"/>
              <w:cnfStyle w:val="000000000000" w:firstRow="0" w:lastRow="0" w:firstColumn="0" w:lastColumn="0" w:oddVBand="0" w:evenVBand="0" w:oddHBand="0" w:evenHBand="0" w:firstRowFirstColumn="0" w:firstRowLastColumn="0" w:lastRowFirstColumn="0" w:lastRowLastColumn="0"/>
              <w:rPr>
                <w:sz w:val="20"/>
                <w:szCs w:val="20"/>
              </w:rPr>
            </w:pPr>
            <w:r w:rsidRPr="00D64C54">
              <w:rPr>
                <w:sz w:val="20"/>
                <w:szCs w:val="20"/>
              </w:rPr>
              <w:t>IR playbooks</w:t>
            </w:r>
          </w:p>
        </w:tc>
      </w:tr>
      <w:tr w:rsidR="00610A49" w:rsidRPr="00D64C54" w14:paraId="55132D24" w14:textId="77777777" w:rsidTr="00D64C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EA06439" w14:textId="574CB84E" w:rsidR="00610A49" w:rsidRPr="00D64C54" w:rsidRDefault="00610A49" w:rsidP="00610A49">
            <w:pPr>
              <w:jc w:val="both"/>
              <w:rPr>
                <w:sz w:val="20"/>
                <w:szCs w:val="20"/>
              </w:rPr>
            </w:pPr>
            <w:r w:rsidRPr="00D64C54">
              <w:rPr>
                <w:sz w:val="20"/>
                <w:szCs w:val="20"/>
              </w:rPr>
              <w:t>Security awareness</w:t>
            </w:r>
          </w:p>
        </w:tc>
        <w:tc>
          <w:tcPr>
            <w:tcW w:w="3005" w:type="dxa"/>
          </w:tcPr>
          <w:p w14:paraId="5A319CE5" w14:textId="685C53F1"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Run continuous, role-based phishing, vishing, and ransomware exercises.</w:t>
            </w:r>
          </w:p>
        </w:tc>
        <w:tc>
          <w:tcPr>
            <w:tcW w:w="3006" w:type="dxa"/>
          </w:tcPr>
          <w:p w14:paraId="3C5CF441" w14:textId="789B2266" w:rsidR="00610A49" w:rsidRPr="00D64C54" w:rsidRDefault="00610A49" w:rsidP="00610A49">
            <w:pPr>
              <w:jc w:val="both"/>
              <w:cnfStyle w:val="000000100000" w:firstRow="0" w:lastRow="0" w:firstColumn="0" w:lastColumn="0" w:oddVBand="0" w:evenVBand="0" w:oddHBand="1" w:evenHBand="0" w:firstRowFirstColumn="0" w:firstRowLastColumn="0" w:lastRowFirstColumn="0" w:lastRowLastColumn="0"/>
              <w:rPr>
                <w:sz w:val="20"/>
                <w:szCs w:val="20"/>
              </w:rPr>
            </w:pPr>
            <w:r w:rsidRPr="00D64C54">
              <w:rPr>
                <w:sz w:val="20"/>
                <w:szCs w:val="20"/>
              </w:rPr>
              <w:t>Simulation metrics</w:t>
            </w:r>
          </w:p>
        </w:tc>
      </w:tr>
    </w:tbl>
    <w:p w14:paraId="24107A8E" w14:textId="77777777" w:rsidR="001B3280" w:rsidRDefault="001B3280" w:rsidP="008954CB">
      <w:pPr>
        <w:ind w:firstLine="360"/>
        <w:jc w:val="both"/>
      </w:pPr>
    </w:p>
    <w:p w14:paraId="5355C51F" w14:textId="1FC93689" w:rsidR="00242B81" w:rsidRDefault="00242B81">
      <w:r>
        <w:br w:type="page"/>
      </w:r>
    </w:p>
    <w:p w14:paraId="5185BB2E" w14:textId="77777777" w:rsidR="00242B81" w:rsidRDefault="00242B81" w:rsidP="00242B81">
      <w:pPr>
        <w:pStyle w:val="Heading1"/>
        <w:numPr>
          <w:ilvl w:val="0"/>
          <w:numId w:val="2"/>
        </w:numPr>
        <w:jc w:val="center"/>
      </w:pPr>
      <w:bookmarkStart w:id="4" w:name="_Toc229737986"/>
      <w:r>
        <w:lastRenderedPageBreak/>
        <w:t>Proposed Zero Trust Architecture</w:t>
      </w:r>
      <w:bookmarkEnd w:id="4"/>
    </w:p>
    <w:p w14:paraId="07973592" w14:textId="77777777" w:rsidR="00242B81" w:rsidRDefault="00242B81" w:rsidP="00242B81">
      <w:pPr>
        <w:ind w:firstLine="360"/>
        <w:jc w:val="both"/>
      </w:pPr>
    </w:p>
    <w:p w14:paraId="126AB39F" w14:textId="5F631B6D" w:rsidR="00242B81" w:rsidRDefault="00242B81" w:rsidP="00242B81">
      <w:pPr>
        <w:ind w:firstLine="360"/>
        <w:jc w:val="both"/>
      </w:pPr>
      <w:r>
        <w:t>The target architecture should follow CISA's five Zero Trust pillars: identity, devices, networks, applications and workloads, and data</w:t>
      </w:r>
      <w:sdt>
        <w:sdtPr>
          <w:id w:val="-81228922"/>
          <w:citation/>
        </w:sdtPr>
        <w:sdtEndPr/>
        <w:sdtContent>
          <w:r w:rsidR="00214081">
            <w:fldChar w:fldCharType="begin"/>
          </w:r>
          <w:r w:rsidR="00286A94">
            <w:instrText xml:space="preserve">CITATION CIS22 \p 4-11 \l 2057 </w:instrText>
          </w:r>
          <w:r w:rsidR="00214081">
            <w:fldChar w:fldCharType="separate"/>
          </w:r>
          <w:r w:rsidR="00394AAC">
            <w:rPr>
              <w:noProof/>
            </w:rPr>
            <w:t xml:space="preserve"> </w:t>
          </w:r>
          <w:r w:rsidR="00394AAC" w:rsidRPr="00394AAC">
            <w:rPr>
              <w:noProof/>
            </w:rPr>
            <w:t>[1, pp. 4-11]</w:t>
          </w:r>
          <w:r w:rsidR="00214081">
            <w:fldChar w:fldCharType="end"/>
          </w:r>
        </w:sdtContent>
      </w:sdt>
      <w:r>
        <w:t>. These pillars should be supported by visibility and analytics, automation and orchestration, and governance. In simple terms, VTAM should move from a perimeter-based model to a model where every access request is evaluated in context.</w:t>
      </w:r>
    </w:p>
    <w:p w14:paraId="2279A16C" w14:textId="436B8EE8" w:rsidR="00242B81" w:rsidRDefault="00242B81" w:rsidP="00242B81">
      <w:pPr>
        <w:ind w:firstLine="360"/>
        <w:jc w:val="both"/>
      </w:pPr>
      <w:r>
        <w:t xml:space="preserve">Identity is the first control point. VTAM should centralise identity management, require strong MFA, remove shared accounts, and use conditional access for all major services. Devices should be enrolled in management, checked for encryption and patch status, and monitored through EDR or XDR. Network access should move away from broad VPN connectivity towards Zero Trust Network Access (ZTNA), where users reach only the specific </w:t>
      </w:r>
      <w:r w:rsidR="00FC5E0E">
        <w:t>applications,</w:t>
      </w:r>
      <w:r>
        <w:t xml:space="preserve"> they are authorised to use</w:t>
      </w:r>
      <w:r w:rsidR="005D44E2" w:rsidRPr="005D44E2">
        <w:t xml:space="preserve"> </w:t>
      </w:r>
      <w:sdt>
        <w:sdtPr>
          <w:id w:val="970712776"/>
          <w:citation/>
        </w:sdtPr>
        <w:sdtEndPr/>
        <w:sdtContent>
          <w:r w:rsidR="005D44E2">
            <w:fldChar w:fldCharType="begin"/>
          </w:r>
          <w:r w:rsidR="005D44E2">
            <w:instrText xml:space="preserve">CITATION CIS22 \p 13-15 \l 2057 </w:instrText>
          </w:r>
          <w:r w:rsidR="005D44E2">
            <w:fldChar w:fldCharType="separate"/>
          </w:r>
          <w:r w:rsidR="00394AAC" w:rsidRPr="00394AAC">
            <w:rPr>
              <w:noProof/>
            </w:rPr>
            <w:t>[1, pp. 13-15]</w:t>
          </w:r>
          <w:r w:rsidR="005D44E2">
            <w:fldChar w:fldCharType="end"/>
          </w:r>
        </w:sdtContent>
      </w:sdt>
      <w:r>
        <w:t>.</w:t>
      </w:r>
    </w:p>
    <w:p w14:paraId="2F326ABA" w14:textId="2C52611F" w:rsidR="00242B81" w:rsidRDefault="00242B81" w:rsidP="00242B81">
      <w:pPr>
        <w:ind w:firstLine="360"/>
        <w:jc w:val="both"/>
      </w:pPr>
      <w:r>
        <w:t>Applications and workloads should be protected through secure configuration, secure development practices, logging, vulnerability scanning, and least-privilege service accounts. Data controls should include classification, encryption, DLP monitoring, retention rules, and restricted access to high-value client and financial records.</w:t>
      </w:r>
      <w:sdt>
        <w:sdtPr>
          <w:id w:val="-1221818250"/>
          <w:citation/>
        </w:sdtPr>
        <w:sdtEndPr/>
        <w:sdtContent>
          <w:r w:rsidR="00B35097">
            <w:fldChar w:fldCharType="begin"/>
          </w:r>
          <w:r w:rsidR="00B35097">
            <w:instrText xml:space="preserve">CITATION CIS22 \p 26-28 \l 2057 </w:instrText>
          </w:r>
          <w:r w:rsidR="00B35097">
            <w:fldChar w:fldCharType="separate"/>
          </w:r>
          <w:r w:rsidR="00394AAC">
            <w:rPr>
              <w:noProof/>
            </w:rPr>
            <w:t xml:space="preserve"> </w:t>
          </w:r>
          <w:r w:rsidR="00394AAC" w:rsidRPr="00394AAC">
            <w:rPr>
              <w:noProof/>
            </w:rPr>
            <w:t>[1, pp. 26-28]</w:t>
          </w:r>
          <w:r w:rsidR="00B35097">
            <w:fldChar w:fldCharType="end"/>
          </w:r>
        </w:sdtContent>
      </w:sdt>
    </w:p>
    <w:p w14:paraId="6FFC9255" w14:textId="1DD32195" w:rsidR="00706D93" w:rsidRDefault="00DF1C31" w:rsidP="00242B81">
      <w:pPr>
        <w:ind w:firstLine="360"/>
        <w:jc w:val="both"/>
      </w:pPr>
      <w:r>
        <w:rPr>
          <w:noProof/>
        </w:rPr>
        <w:drawing>
          <wp:inline distT="0" distB="0" distL="0" distR="0" wp14:anchorId="47BC0C8C" wp14:editId="7E279B5A">
            <wp:extent cx="5731510" cy="3223895"/>
            <wp:effectExtent l="0" t="0" r="2540" b="0"/>
            <wp:docPr id="5200501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50181" name="Picture 520050181"/>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3DEBE8" w14:textId="6BAD8C82" w:rsidR="00D64C54" w:rsidRDefault="00A9432F" w:rsidP="00242B81">
      <w:pPr>
        <w:ind w:firstLine="360"/>
        <w:jc w:val="both"/>
      </w:pPr>
      <w:r w:rsidRPr="00A9432F">
        <w:t>Figure 1. Zero Trust Security Flow for VTAM</w:t>
      </w:r>
    </w:p>
    <w:p w14:paraId="09D15398" w14:textId="77777777" w:rsidR="002D1786" w:rsidRDefault="002D1786" w:rsidP="00242B81">
      <w:pPr>
        <w:ind w:firstLine="360"/>
        <w:jc w:val="both"/>
      </w:pPr>
    </w:p>
    <w:p w14:paraId="68FE6D5E" w14:textId="03B697D4" w:rsidR="002D1786" w:rsidRDefault="002D1786">
      <w:r>
        <w:br w:type="page"/>
      </w:r>
    </w:p>
    <w:p w14:paraId="307F6348" w14:textId="77777777" w:rsidR="006F2DEF" w:rsidRDefault="006F2DEF" w:rsidP="006F2DEF">
      <w:pPr>
        <w:pStyle w:val="Heading1"/>
        <w:numPr>
          <w:ilvl w:val="0"/>
          <w:numId w:val="2"/>
        </w:numPr>
        <w:jc w:val="center"/>
      </w:pPr>
      <w:bookmarkStart w:id="5" w:name="_Toc229737987"/>
      <w:r>
        <w:lastRenderedPageBreak/>
        <w:t>Technical and Administrative Mitigations</w:t>
      </w:r>
      <w:bookmarkEnd w:id="5"/>
    </w:p>
    <w:p w14:paraId="76E579F8" w14:textId="77777777" w:rsidR="006F2DEF" w:rsidRDefault="006F2DEF" w:rsidP="006F2DEF">
      <w:pPr>
        <w:ind w:firstLine="360"/>
        <w:jc w:val="both"/>
      </w:pPr>
    </w:p>
    <w:p w14:paraId="2210A137" w14:textId="491D82A6" w:rsidR="006F2DEF" w:rsidRDefault="006F2DEF" w:rsidP="006F2DEF">
      <w:pPr>
        <w:ind w:firstLine="360"/>
        <w:jc w:val="both"/>
      </w:pPr>
      <w:r>
        <w:t>VTAM should start with controls that reduce the highest risk quickly</w:t>
      </w:r>
      <w:sdt>
        <w:sdtPr>
          <w:id w:val="-853111046"/>
          <w:citation/>
        </w:sdtPr>
        <w:sdtEndPr/>
        <w:sdtContent>
          <w:r w:rsidR="007170E4">
            <w:fldChar w:fldCharType="begin"/>
          </w:r>
          <w:r w:rsidR="00D150A9">
            <w:instrText xml:space="preserve">CITATION NIS26 \p 1-2 \l 2057 </w:instrText>
          </w:r>
          <w:r w:rsidR="007170E4">
            <w:fldChar w:fldCharType="separate"/>
          </w:r>
          <w:r w:rsidR="00394AAC">
            <w:rPr>
              <w:noProof/>
            </w:rPr>
            <w:t xml:space="preserve"> </w:t>
          </w:r>
          <w:r w:rsidR="00394AAC" w:rsidRPr="00394AAC">
            <w:rPr>
              <w:noProof/>
            </w:rPr>
            <w:t>[2, pp. 1-2]</w:t>
          </w:r>
          <w:r w:rsidR="007170E4">
            <w:fldChar w:fldCharType="end"/>
          </w:r>
        </w:sdtContent>
      </w:sdt>
      <w:r>
        <w:t>. Phishing-resistant MFA should be used for administrators, executives, finance staff, IT support, and any user with access to sensitive client data</w:t>
      </w:r>
      <w:sdt>
        <w:sdtPr>
          <w:id w:val="1675917790"/>
          <w:citation/>
        </w:sdtPr>
        <w:sdtEndPr/>
        <w:sdtContent>
          <w:r w:rsidR="00173E6A">
            <w:fldChar w:fldCharType="begin"/>
          </w:r>
          <w:r w:rsidR="00173E6A">
            <w:instrText xml:space="preserve">CITATION CIS22 \p 13-15 \l 2057 </w:instrText>
          </w:r>
          <w:r w:rsidR="00173E6A">
            <w:fldChar w:fldCharType="separate"/>
          </w:r>
          <w:r w:rsidR="00394AAC">
            <w:rPr>
              <w:noProof/>
            </w:rPr>
            <w:t xml:space="preserve"> </w:t>
          </w:r>
          <w:r w:rsidR="00394AAC" w:rsidRPr="00394AAC">
            <w:rPr>
              <w:noProof/>
            </w:rPr>
            <w:t>[1, pp. 13-15]</w:t>
          </w:r>
          <w:r w:rsidR="00173E6A">
            <w:fldChar w:fldCharType="end"/>
          </w:r>
        </w:sdtContent>
      </w:sdt>
      <w:r>
        <w:t>. Conditional access should detect unusual sign-in locations, impossible travel, new devices, risky sessions, and repeated MFA prompts. Privileged Access Management should remove standing administrator rights and replace them with approved, time-limited access.</w:t>
      </w:r>
    </w:p>
    <w:p w14:paraId="73058F92" w14:textId="6D2CF9D1" w:rsidR="006F2DEF" w:rsidRDefault="006F2DEF" w:rsidP="006F2DEF">
      <w:pPr>
        <w:ind w:firstLine="360"/>
        <w:jc w:val="both"/>
      </w:pPr>
      <w:r>
        <w:t>Endpoint security should include EDR or XDR, full-disk encryption, automated patching, application allow-listing for high-risk systems, USB control, local administrator removal, and mobile device management. Devices that fall out of compliance should be blocked or placed into a restricted network until fixed</w:t>
      </w:r>
      <w:sdt>
        <w:sdtPr>
          <w:id w:val="-1796362786"/>
          <w:citation/>
        </w:sdtPr>
        <w:sdtEndPr/>
        <w:sdtContent>
          <w:r w:rsidR="00E8359E">
            <w:fldChar w:fldCharType="begin"/>
          </w:r>
          <w:r w:rsidR="00E8359E">
            <w:instrText xml:space="preserve"> CITATION Nat231 \l 2057 </w:instrText>
          </w:r>
          <w:r w:rsidR="00E8359E">
            <w:fldChar w:fldCharType="separate"/>
          </w:r>
          <w:r w:rsidR="00394AAC">
            <w:rPr>
              <w:noProof/>
            </w:rPr>
            <w:t xml:space="preserve"> </w:t>
          </w:r>
          <w:r w:rsidR="00394AAC" w:rsidRPr="00394AAC">
            <w:rPr>
              <w:noProof/>
            </w:rPr>
            <w:t>[10]</w:t>
          </w:r>
          <w:r w:rsidR="00E8359E">
            <w:fldChar w:fldCharType="end"/>
          </w:r>
        </w:sdtContent>
      </w:sdt>
      <w:r>
        <w:t>.</w:t>
      </w:r>
    </w:p>
    <w:p w14:paraId="3761D704" w14:textId="67888315" w:rsidR="006F2DEF" w:rsidRDefault="006F2DEF" w:rsidP="006F2DEF">
      <w:pPr>
        <w:ind w:firstLine="360"/>
        <w:jc w:val="both"/>
      </w:pPr>
      <w:r>
        <w:t>For cloud and SaaS, VTAM should use Cloud Security Posture Management and SaaS Security Posture Management to find exposed storage, excessive permissions, disabled audit logs, weak encryption, risky OAuth applications, and insecure administrative settings</w:t>
      </w:r>
      <w:sdt>
        <w:sdtPr>
          <w:id w:val="320554867"/>
          <w:citation/>
        </w:sdtPr>
        <w:sdtEndPr/>
        <w:sdtContent>
          <w:r w:rsidR="00E60443">
            <w:fldChar w:fldCharType="begin"/>
          </w:r>
          <w:r w:rsidR="00A8686B">
            <w:instrText xml:space="preserve">CITATION CIS22 \p 16-19 \l 2057 </w:instrText>
          </w:r>
          <w:r w:rsidR="00E60443">
            <w:fldChar w:fldCharType="separate"/>
          </w:r>
          <w:r w:rsidR="00394AAC">
            <w:rPr>
              <w:noProof/>
            </w:rPr>
            <w:t xml:space="preserve"> </w:t>
          </w:r>
          <w:r w:rsidR="00394AAC" w:rsidRPr="00394AAC">
            <w:rPr>
              <w:noProof/>
            </w:rPr>
            <w:t>[1, pp. 16-19]</w:t>
          </w:r>
          <w:r w:rsidR="00E60443">
            <w:fldChar w:fldCharType="end"/>
          </w:r>
        </w:sdtContent>
      </w:sdt>
      <w:sdt>
        <w:sdtPr>
          <w:id w:val="1507631852"/>
          <w:citation/>
        </w:sdtPr>
        <w:sdtEndPr/>
        <w:sdtContent>
          <w:r w:rsidR="00E13B39">
            <w:fldChar w:fldCharType="begin"/>
          </w:r>
          <w:r w:rsidR="00F30DAE">
            <w:instrText xml:space="preserve">CITATION NIS26 \p 18-21 \l 2057 </w:instrText>
          </w:r>
          <w:r w:rsidR="00E13B39">
            <w:fldChar w:fldCharType="separate"/>
          </w:r>
          <w:r w:rsidR="00394AAC">
            <w:rPr>
              <w:noProof/>
            </w:rPr>
            <w:t xml:space="preserve"> </w:t>
          </w:r>
          <w:r w:rsidR="00394AAC" w:rsidRPr="00394AAC">
            <w:rPr>
              <w:noProof/>
            </w:rPr>
            <w:t>[2, pp. 18-21]</w:t>
          </w:r>
          <w:r w:rsidR="00E13B39">
            <w:fldChar w:fldCharType="end"/>
          </w:r>
        </w:sdtContent>
      </w:sdt>
      <w:r>
        <w:t>. Infrastructure-as-code scanning should be used before changes reach production so that insecure cloud deployments are stopped early.</w:t>
      </w:r>
    </w:p>
    <w:p w14:paraId="0EEB49FB" w14:textId="4308E7E6" w:rsidR="002D1786" w:rsidRDefault="006F2DEF" w:rsidP="006F2DEF">
      <w:pPr>
        <w:ind w:firstLine="360"/>
        <w:jc w:val="both"/>
      </w:pPr>
      <w:r>
        <w:t>Ransomware resilience requires more than antivirus. VTAM should maintain immutable and offline backups, test restoration quarterly, protect backup administration with separate credentials, and segment backup infrastructure from the main environment</w:t>
      </w:r>
      <w:sdt>
        <w:sdtPr>
          <w:id w:val="353931658"/>
          <w:citation/>
        </w:sdtPr>
        <w:sdtEndPr/>
        <w:sdtContent>
          <w:r w:rsidR="00327883">
            <w:fldChar w:fldCharType="begin"/>
          </w:r>
          <w:r w:rsidR="00327883">
            <w:instrText xml:space="preserve"> CITATION Cyb20 \l 2057 </w:instrText>
          </w:r>
          <w:r w:rsidR="00327883">
            <w:fldChar w:fldCharType="separate"/>
          </w:r>
          <w:r w:rsidR="00394AAC">
            <w:rPr>
              <w:noProof/>
            </w:rPr>
            <w:t xml:space="preserve"> </w:t>
          </w:r>
          <w:r w:rsidR="00394AAC" w:rsidRPr="00394AAC">
            <w:rPr>
              <w:noProof/>
            </w:rPr>
            <w:t>[11]</w:t>
          </w:r>
          <w:r w:rsidR="00327883">
            <w:fldChar w:fldCharType="end"/>
          </w:r>
        </w:sdtContent>
      </w:sdt>
      <w:r>
        <w:t>. DLP should monitor bulk exports, client record downloads, payment files, and sensitive email attachments. Administrative controls should include supplier reviews, risk assessments, acceptable-use enforcement, board reporting, and tabletop exercises.</w:t>
      </w:r>
    </w:p>
    <w:p w14:paraId="66D09BE8" w14:textId="30050CB6" w:rsidR="00C66584" w:rsidRDefault="00C36ADA" w:rsidP="006F2DEF">
      <w:pPr>
        <w:ind w:firstLine="360"/>
        <w:jc w:val="both"/>
      </w:pPr>
      <w:r w:rsidRPr="00C36ADA">
        <w:t>These mitigations should be implemented in phases, starting with controls that reduce the highest likelihood and highest impact risks, such as MFA for privileged users, KEV-based patching</w:t>
      </w:r>
      <w:sdt>
        <w:sdtPr>
          <w:id w:val="292880943"/>
          <w:citation/>
        </w:sdtPr>
        <w:sdtEndPr/>
        <w:sdtContent>
          <w:r w:rsidR="009F1B4A">
            <w:fldChar w:fldCharType="begin"/>
          </w:r>
          <w:r w:rsidR="009F1B4A">
            <w:instrText xml:space="preserve"> CITATION CIS26 \l 2057 </w:instrText>
          </w:r>
          <w:r w:rsidR="009F1B4A">
            <w:fldChar w:fldCharType="separate"/>
          </w:r>
          <w:r w:rsidR="00394AAC">
            <w:rPr>
              <w:noProof/>
            </w:rPr>
            <w:t xml:space="preserve"> </w:t>
          </w:r>
          <w:r w:rsidR="00394AAC" w:rsidRPr="00394AAC">
            <w:rPr>
              <w:noProof/>
            </w:rPr>
            <w:t>[3]</w:t>
          </w:r>
          <w:r w:rsidR="009F1B4A">
            <w:fldChar w:fldCharType="end"/>
          </w:r>
        </w:sdtContent>
      </w:sdt>
      <w:r w:rsidRPr="00C36ADA">
        <w:t>, EDR coverage, and tested immutable backups.</w:t>
      </w:r>
    </w:p>
    <w:p w14:paraId="466E4364" w14:textId="77777777" w:rsidR="006F2DEF" w:rsidRDefault="006F2DEF" w:rsidP="006F2DEF">
      <w:pPr>
        <w:ind w:firstLine="360"/>
        <w:jc w:val="both"/>
      </w:pPr>
    </w:p>
    <w:p w14:paraId="47F7B10B" w14:textId="044FBF21" w:rsidR="006F2DEF" w:rsidRDefault="006F2DEF">
      <w:r>
        <w:br w:type="page"/>
      </w:r>
    </w:p>
    <w:p w14:paraId="187B8C43" w14:textId="77777777" w:rsidR="00656EDB" w:rsidRDefault="00656EDB" w:rsidP="00656EDB">
      <w:pPr>
        <w:pStyle w:val="Heading1"/>
        <w:numPr>
          <w:ilvl w:val="0"/>
          <w:numId w:val="2"/>
        </w:numPr>
        <w:jc w:val="center"/>
      </w:pPr>
      <w:bookmarkStart w:id="6" w:name="_Toc229737988"/>
      <w:r>
        <w:lastRenderedPageBreak/>
        <w:t>Monitoring and Incident Response</w:t>
      </w:r>
      <w:bookmarkEnd w:id="6"/>
    </w:p>
    <w:p w14:paraId="137D773B" w14:textId="77777777" w:rsidR="00656EDB" w:rsidRDefault="00656EDB" w:rsidP="00656EDB">
      <w:pPr>
        <w:ind w:firstLine="360"/>
        <w:jc w:val="both"/>
      </w:pPr>
    </w:p>
    <w:p w14:paraId="56C0B816" w14:textId="77777777" w:rsidR="00656EDB" w:rsidRDefault="00656EDB" w:rsidP="00656EDB">
      <w:pPr>
        <w:ind w:firstLine="360"/>
        <w:jc w:val="both"/>
      </w:pPr>
      <w:r>
        <w:t>A medium-sized financial services company may not be able to build a large Security Operations Centre, so a managed detection and response provider would be realistic. Whether internal or outsourced, monitoring should cover identity provider logs, endpoint telemetry, firewall and DNS logs, SaaS audit logs, cloud activity logs, vulnerability scanner results, DLP alerts, and supplier access activity. These sources should feed into a SIEM, with SOAR used for repeatable containment actions.</w:t>
      </w:r>
    </w:p>
    <w:p w14:paraId="3A63045A" w14:textId="77777777" w:rsidR="00656EDB" w:rsidRDefault="00656EDB" w:rsidP="00656EDB">
      <w:pPr>
        <w:ind w:firstLine="360"/>
        <w:jc w:val="both"/>
      </w:pPr>
      <w:r>
        <w:t>Priority detections should include mass file encryption, suspicious inbox rules, unusual administrator creation, repeated MFA prompts, impossible travel, data exfiltration, privilege escalation, exposed cloud storage, malware execution, and use of known exploited vulnerabilities. VTAM should also monitor third-party access because supplier accounts can be attractive to attackers.</w:t>
      </w:r>
    </w:p>
    <w:p w14:paraId="1518A250" w14:textId="33D13B3F" w:rsidR="00057A80" w:rsidRDefault="00656EDB" w:rsidP="00057A80">
      <w:pPr>
        <w:ind w:firstLine="360"/>
        <w:jc w:val="both"/>
      </w:pPr>
      <w:r>
        <w:t>The incident response process should be simple and rehearsed: prepare, detect, triage, contain, eradicate, recover, communicate, and improve</w:t>
      </w:r>
      <w:sdt>
        <w:sdtPr>
          <w:id w:val="-1038195655"/>
          <w:citation/>
        </w:sdtPr>
        <w:sdtEndPr/>
        <w:sdtContent>
          <w:r w:rsidR="003242AF">
            <w:fldChar w:fldCharType="begin"/>
          </w:r>
          <w:r w:rsidR="003242AF">
            <w:instrText xml:space="preserve"> CITATION ANe25 \l 2057 </w:instrText>
          </w:r>
          <w:r w:rsidR="003242AF">
            <w:fldChar w:fldCharType="separate"/>
          </w:r>
          <w:r w:rsidR="00394AAC">
            <w:rPr>
              <w:noProof/>
            </w:rPr>
            <w:t xml:space="preserve"> </w:t>
          </w:r>
          <w:r w:rsidR="00394AAC" w:rsidRPr="00394AAC">
            <w:rPr>
              <w:noProof/>
            </w:rPr>
            <w:t>[12]</w:t>
          </w:r>
          <w:r w:rsidR="003242AF">
            <w:fldChar w:fldCharType="end"/>
          </w:r>
        </w:sdtContent>
      </w:sdt>
      <w:r>
        <w:t xml:space="preserve">. During an incident, evidence must be preserved because the company may need it for regulators, cyber insurance, legal advice, or law enforcement. After the incident, </w:t>
      </w:r>
      <w:r w:rsidR="00057A80" w:rsidRPr="00057A80">
        <w:t>VTAM should immediately isolate affected endpoints, disable compromised accounts, preserve forensic evidence, block malicious indicators, identify the initial access route, check whether data exfiltration occurred, verify backup integrity, restore from clean immutable backups, and communicate with legal, regulatory, insurance, and executive stakeholders before returning systems to</w:t>
      </w:r>
      <w:r w:rsidR="00057A80">
        <w:t xml:space="preserve"> </w:t>
      </w:r>
      <w:r w:rsidR="00057A80" w:rsidRPr="00057A80">
        <w:t>production.</w:t>
      </w:r>
    </w:p>
    <w:p w14:paraId="4C131816" w14:textId="12B717CC" w:rsidR="00DC0194" w:rsidRDefault="00DC0194" w:rsidP="00057A80">
      <w:pPr>
        <w:ind w:firstLine="360"/>
        <w:jc w:val="both"/>
      </w:pPr>
      <w:r>
        <w:rPr>
          <w:noProof/>
        </w:rPr>
        <w:drawing>
          <wp:inline distT="0" distB="0" distL="0" distR="0" wp14:anchorId="3C286596" wp14:editId="2338F901">
            <wp:extent cx="5226050" cy="2939581"/>
            <wp:effectExtent l="0" t="0" r="0" b="0"/>
            <wp:docPr id="1077914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91402" name="Picture 10779140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38458" cy="2946560"/>
                    </a:xfrm>
                    <a:prstGeom prst="rect">
                      <a:avLst/>
                    </a:prstGeom>
                  </pic:spPr>
                </pic:pic>
              </a:graphicData>
            </a:graphic>
          </wp:inline>
        </w:drawing>
      </w:r>
    </w:p>
    <w:p w14:paraId="4C6980AA" w14:textId="3710B6DB" w:rsidR="00075E19" w:rsidRDefault="00656EDB" w:rsidP="001F52E0">
      <w:pPr>
        <w:ind w:firstLine="360"/>
        <w:jc w:val="both"/>
      </w:pPr>
      <w:r>
        <w:t>Figure 2. Incident response flow for VTAM. The process is designed to be rehearsed so that response actions are consistent under pressure.</w:t>
      </w:r>
      <w:r w:rsidR="00075E19">
        <w:br w:type="page"/>
      </w:r>
    </w:p>
    <w:p w14:paraId="1381C93B" w14:textId="77777777" w:rsidR="00075E19" w:rsidRDefault="00075E19" w:rsidP="00075E19">
      <w:pPr>
        <w:pStyle w:val="Heading1"/>
        <w:numPr>
          <w:ilvl w:val="0"/>
          <w:numId w:val="2"/>
        </w:numPr>
        <w:jc w:val="center"/>
      </w:pPr>
      <w:bookmarkStart w:id="7" w:name="_Toc229737989"/>
      <w:r>
        <w:lastRenderedPageBreak/>
        <w:t>Training and Security Culture</w:t>
      </w:r>
      <w:bookmarkEnd w:id="7"/>
    </w:p>
    <w:p w14:paraId="12C7FCF1" w14:textId="77777777" w:rsidR="00075E19" w:rsidRDefault="00075E19" w:rsidP="00075E19">
      <w:pPr>
        <w:ind w:firstLine="360"/>
        <w:jc w:val="both"/>
      </w:pPr>
    </w:p>
    <w:p w14:paraId="75118B43" w14:textId="77777777" w:rsidR="00075E19" w:rsidRDefault="00075E19" w:rsidP="00075E19">
      <w:pPr>
        <w:ind w:firstLine="360"/>
        <w:jc w:val="both"/>
      </w:pPr>
      <w:r>
        <w:t xml:space="preserve">Annual awareness training alone would not be enough for VTAM. Staff need short, regular, practical training that reflects the threats they </w:t>
      </w:r>
      <w:proofErr w:type="gramStart"/>
      <w:r>
        <w:t>actually face</w:t>
      </w:r>
      <w:proofErr w:type="gramEnd"/>
      <w:r>
        <w:t>. Monthly micro-learning, quarterly phishing simulations, vishing drills, executive whaling scenarios, and ransomware tabletop exercises would be more effective. Finance, IT administrators, developers, executives, and client-facing staff should receive role-specific material.</w:t>
      </w:r>
    </w:p>
    <w:p w14:paraId="36A0E0AC" w14:textId="00D9A42F" w:rsidR="0093729B" w:rsidRDefault="00075E19" w:rsidP="00075E19">
      <w:pPr>
        <w:ind w:firstLine="360"/>
        <w:jc w:val="both"/>
      </w:pPr>
      <w:r>
        <w:t>Employees should be trained to verify payment changes using a separate trusted channel, report suspicious calls quickly, challenge unusual urgency, protect MFA prompts, and avoid sending client data through unapproved tools. A positive reporting culture is important because early reporting can stop an incident from becoming a crisis.</w:t>
      </w:r>
    </w:p>
    <w:p w14:paraId="6E6B02CF" w14:textId="77777777" w:rsidR="00D41CEE" w:rsidRDefault="00D41CEE" w:rsidP="00075E19">
      <w:pPr>
        <w:ind w:firstLine="360"/>
        <w:jc w:val="both"/>
      </w:pPr>
    </w:p>
    <w:p w14:paraId="341A1B5F" w14:textId="6898E02E" w:rsidR="00D41CEE" w:rsidRDefault="00D41CEE">
      <w:r>
        <w:br w:type="page"/>
      </w:r>
    </w:p>
    <w:p w14:paraId="27568480" w14:textId="77777777" w:rsidR="0002103D" w:rsidRDefault="0002103D" w:rsidP="0002103D">
      <w:pPr>
        <w:pStyle w:val="Heading1"/>
        <w:numPr>
          <w:ilvl w:val="0"/>
          <w:numId w:val="2"/>
        </w:numPr>
        <w:jc w:val="center"/>
      </w:pPr>
      <w:bookmarkStart w:id="8" w:name="_Toc229737990"/>
      <w:r>
        <w:lastRenderedPageBreak/>
        <w:t>Implementation Roadmap</w:t>
      </w:r>
      <w:bookmarkEnd w:id="8"/>
    </w:p>
    <w:p w14:paraId="122F37AA" w14:textId="77777777" w:rsidR="0002103D" w:rsidRDefault="0002103D" w:rsidP="0002103D">
      <w:pPr>
        <w:ind w:firstLine="360"/>
        <w:jc w:val="both"/>
      </w:pPr>
    </w:p>
    <w:p w14:paraId="3D25E077" w14:textId="63B0F239" w:rsidR="0002103D" w:rsidRDefault="0002103D" w:rsidP="0002103D">
      <w:pPr>
        <w:ind w:firstLine="360"/>
        <w:jc w:val="both"/>
      </w:pPr>
      <w:r>
        <w:t>The first 90 days should focus on stabilising the basics: enforce MFA, identify critical assets, deploy or tune EDR, onboard high-value logs to the SIEM, test backup recovery, review privileged accounts, and scan internet-facing systems against the KEV catalogue. These actions give VTAM immediate risk reduction and better visibility.</w:t>
      </w:r>
    </w:p>
    <w:p w14:paraId="71211762" w14:textId="77777777" w:rsidR="0002103D" w:rsidRDefault="0002103D" w:rsidP="0002103D">
      <w:pPr>
        <w:ind w:firstLine="360"/>
        <w:jc w:val="both"/>
      </w:pPr>
      <w:r>
        <w:t>Within six months, VTAM should implement ZTNA for remote access, deploy CSPM and SaaS posture monitoring, introduce DLP for sensitive data, formalise supplier security reviews, and create SOAR playbooks for common containment tasks. Training should also move to a continuous programme with phishing and vishing exercises.</w:t>
      </w:r>
    </w:p>
    <w:p w14:paraId="4BDD284A" w14:textId="6C8574AF" w:rsidR="00D41CEE" w:rsidRDefault="0002103D" w:rsidP="0002103D">
      <w:pPr>
        <w:ind w:firstLine="360"/>
        <w:jc w:val="both"/>
      </w:pPr>
      <w:r>
        <w:t>Within twelve months, the organisation should mature toward micro-segmentation, automated policy enforcement, continuous control monitoring, board-level cyber risk reporting, and repeatable NIST CSF Profiles and Tiers</w:t>
      </w:r>
      <w:sdt>
        <w:sdtPr>
          <w:id w:val="-1521159201"/>
          <w:citation/>
        </w:sdtPr>
        <w:sdtEndPr/>
        <w:sdtContent>
          <w:r w:rsidR="00D62C82">
            <w:fldChar w:fldCharType="begin"/>
          </w:r>
          <w:r w:rsidR="00A02BCE">
            <w:instrText xml:space="preserve">CITATION NIS26 \p 10-14 \l 2057 </w:instrText>
          </w:r>
          <w:r w:rsidR="00D62C82">
            <w:fldChar w:fldCharType="separate"/>
          </w:r>
          <w:r w:rsidR="00394AAC">
            <w:rPr>
              <w:noProof/>
            </w:rPr>
            <w:t xml:space="preserve"> </w:t>
          </w:r>
          <w:r w:rsidR="00394AAC" w:rsidRPr="00394AAC">
            <w:rPr>
              <w:noProof/>
            </w:rPr>
            <w:t>[2, pp. 10-14]</w:t>
          </w:r>
          <w:r w:rsidR="00D62C82">
            <w:fldChar w:fldCharType="end"/>
          </w:r>
        </w:sdtContent>
      </w:sdt>
      <w:r>
        <w:t>. At that stage, Zero Trust becomes part of normal business risk management rather than a temporary project.</w:t>
      </w:r>
    </w:p>
    <w:p w14:paraId="1696342E" w14:textId="77777777" w:rsidR="0002103D" w:rsidRDefault="0002103D" w:rsidP="0002103D">
      <w:pPr>
        <w:ind w:firstLine="360"/>
        <w:jc w:val="both"/>
      </w:pPr>
    </w:p>
    <w:p w14:paraId="4673EAD7" w14:textId="680524F3" w:rsidR="0002103D" w:rsidRDefault="0002103D">
      <w:r>
        <w:br w:type="page"/>
      </w:r>
    </w:p>
    <w:p w14:paraId="690B05E9" w14:textId="77777777" w:rsidR="0062514D" w:rsidRDefault="0062514D" w:rsidP="0062514D">
      <w:pPr>
        <w:pStyle w:val="Heading1"/>
        <w:numPr>
          <w:ilvl w:val="0"/>
          <w:numId w:val="2"/>
        </w:numPr>
        <w:jc w:val="center"/>
      </w:pPr>
      <w:bookmarkStart w:id="9" w:name="_Toc229737991"/>
      <w:r>
        <w:lastRenderedPageBreak/>
        <w:t>Conclusion</w:t>
      </w:r>
      <w:bookmarkEnd w:id="9"/>
    </w:p>
    <w:p w14:paraId="49FE1E1A" w14:textId="77777777" w:rsidR="0062514D" w:rsidRDefault="0062514D" w:rsidP="0062514D">
      <w:pPr>
        <w:ind w:firstLine="360"/>
        <w:jc w:val="both"/>
      </w:pPr>
    </w:p>
    <w:p w14:paraId="66EEB51A" w14:textId="77777777" w:rsidR="0062514D" w:rsidRDefault="0062514D" w:rsidP="0062514D">
      <w:pPr>
        <w:ind w:firstLine="360"/>
        <w:jc w:val="both"/>
      </w:pPr>
      <w:r>
        <w:t>VTAM should adopt Zero Trust because its current risk environment cannot be managed by perimeter defences alone. The company needs to assume that credentials can be stolen, devices can become compromised, suppliers can be breached, and cloud settings can drift from secure baselines. A Zero Trust framework gives VTAM a structured way to reduce these risks through continuous verification, least privilege, strong device control, protected data, monitoring, and rehearsed response.</w:t>
      </w:r>
    </w:p>
    <w:p w14:paraId="28677F3B" w14:textId="6EA69124" w:rsidR="0002103D" w:rsidRDefault="0062514D" w:rsidP="0062514D">
      <w:pPr>
        <w:ind w:firstLine="360"/>
        <w:jc w:val="both"/>
      </w:pPr>
      <w:r>
        <w:t>The recommended approach is realistic for a medium-sized financial services firm because it starts with high-value controls and then matures over time. By combining CISA's Zero Trust pillars with NIST CSF 2.0 governance and incident-management outcomes, VTAM can improve resilience against ransomware, social engineering, supply chain compromise, cloud misconfiguration, and insider risk while maintaining a professional level of assurance for clients and the board.</w:t>
      </w:r>
    </w:p>
    <w:p w14:paraId="5D9CFB9A" w14:textId="77777777" w:rsidR="00CB32F9" w:rsidRDefault="00CB32F9" w:rsidP="0062514D">
      <w:pPr>
        <w:ind w:firstLine="360"/>
        <w:jc w:val="both"/>
      </w:pPr>
    </w:p>
    <w:p w14:paraId="78FB8569" w14:textId="643A0002" w:rsidR="00CB32F9" w:rsidRDefault="00CB32F9">
      <w:r>
        <w:br w:type="page"/>
      </w:r>
    </w:p>
    <w:p w14:paraId="13AAC955" w14:textId="77777777" w:rsidR="00CB32F9" w:rsidRDefault="00CB32F9" w:rsidP="0062514D">
      <w:pPr>
        <w:ind w:firstLine="360"/>
        <w:jc w:val="both"/>
      </w:pPr>
    </w:p>
    <w:bookmarkStart w:id="10" w:name="_Toc229737992" w:displacedByCustomXml="next"/>
    <w:sdt>
      <w:sdtPr>
        <w:rPr>
          <w:rFonts w:asciiTheme="minorHAnsi" w:eastAsiaTheme="minorHAnsi" w:hAnsiTheme="minorHAnsi" w:cstheme="minorBidi"/>
          <w:color w:val="auto"/>
          <w:sz w:val="24"/>
          <w:szCs w:val="24"/>
        </w:rPr>
        <w:id w:val="-1162694076"/>
        <w:docPartObj>
          <w:docPartGallery w:val="Bibliographies"/>
          <w:docPartUnique/>
        </w:docPartObj>
      </w:sdtPr>
      <w:sdtEndPr/>
      <w:sdtContent>
        <w:p w14:paraId="5E991421" w14:textId="2CEB63A0" w:rsidR="00CB32F9" w:rsidRDefault="00CB32F9" w:rsidP="008248FB">
          <w:pPr>
            <w:pStyle w:val="Heading1"/>
            <w:jc w:val="center"/>
          </w:pPr>
          <w:r>
            <w:t>Bibliography</w:t>
          </w:r>
          <w:bookmarkEnd w:id="10"/>
        </w:p>
        <w:sdt>
          <w:sdtPr>
            <w:id w:val="111145805"/>
            <w:bibliography/>
          </w:sdtPr>
          <w:sdtEndPr/>
          <w:sdtContent>
            <w:p w14:paraId="5CE8E46B" w14:textId="77777777" w:rsidR="00394AAC" w:rsidRDefault="00CB32F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394AAC" w14:paraId="26A271F7" w14:textId="77777777">
                <w:trPr>
                  <w:divId w:val="1801993921"/>
                  <w:tblCellSpacing w:w="15" w:type="dxa"/>
                </w:trPr>
                <w:tc>
                  <w:tcPr>
                    <w:tcW w:w="50" w:type="pct"/>
                    <w:hideMark/>
                  </w:tcPr>
                  <w:p w14:paraId="1811F780" w14:textId="3EA50CCD" w:rsidR="00394AAC" w:rsidRDefault="00394AAC">
                    <w:pPr>
                      <w:pStyle w:val="Bibliography"/>
                      <w:rPr>
                        <w:noProof/>
                        <w:kern w:val="0"/>
                        <w14:ligatures w14:val="none"/>
                      </w:rPr>
                    </w:pPr>
                    <w:r>
                      <w:rPr>
                        <w:noProof/>
                      </w:rPr>
                      <w:t xml:space="preserve">[1] </w:t>
                    </w:r>
                  </w:p>
                </w:tc>
                <w:tc>
                  <w:tcPr>
                    <w:tcW w:w="0" w:type="auto"/>
                    <w:hideMark/>
                  </w:tcPr>
                  <w:p w14:paraId="0450B0FC" w14:textId="77777777" w:rsidR="00394AAC" w:rsidRDefault="00394AAC">
                    <w:pPr>
                      <w:pStyle w:val="Bibliography"/>
                      <w:rPr>
                        <w:noProof/>
                      </w:rPr>
                    </w:pPr>
                    <w:r>
                      <w:rPr>
                        <w:noProof/>
                      </w:rPr>
                      <w:t>Cybersecurity and Infrastructure Security Agency, “Zero Trust Maturity Model,” January 2022. [Online]. Available: https://www.cisa.gov/sites/default/files/2023-04/zero_trust_maturity_model_v2_508.pdf. [Accessed April 2026].</w:t>
                    </w:r>
                  </w:p>
                </w:tc>
              </w:tr>
              <w:tr w:rsidR="00394AAC" w14:paraId="0B4DAC53" w14:textId="77777777">
                <w:trPr>
                  <w:divId w:val="1801993921"/>
                  <w:tblCellSpacing w:w="15" w:type="dxa"/>
                </w:trPr>
                <w:tc>
                  <w:tcPr>
                    <w:tcW w:w="50" w:type="pct"/>
                    <w:hideMark/>
                  </w:tcPr>
                  <w:p w14:paraId="40FACFF8" w14:textId="77777777" w:rsidR="00394AAC" w:rsidRDefault="00394AAC">
                    <w:pPr>
                      <w:pStyle w:val="Bibliography"/>
                      <w:rPr>
                        <w:noProof/>
                      </w:rPr>
                    </w:pPr>
                    <w:r>
                      <w:rPr>
                        <w:noProof/>
                      </w:rPr>
                      <w:t xml:space="preserve">[2] </w:t>
                    </w:r>
                  </w:p>
                </w:tc>
                <w:tc>
                  <w:tcPr>
                    <w:tcW w:w="0" w:type="auto"/>
                    <w:hideMark/>
                  </w:tcPr>
                  <w:p w14:paraId="7109429E" w14:textId="77777777" w:rsidR="00394AAC" w:rsidRDefault="00394AAC">
                    <w:pPr>
                      <w:pStyle w:val="Bibliography"/>
                      <w:rPr>
                        <w:noProof/>
                      </w:rPr>
                    </w:pPr>
                    <w:r>
                      <w:rPr>
                        <w:noProof/>
                      </w:rPr>
                      <w:t>National Institute of Standards and Technology, “Cybersecurity Framework,” 26 February 2026. [Online]. Available: https://nvlpubs.nist.gov/nistpubs/CSWP/NIST.CSWP.29.pdf. [Accessed April 2026].</w:t>
                    </w:r>
                  </w:p>
                </w:tc>
              </w:tr>
              <w:tr w:rsidR="00394AAC" w14:paraId="41E4622A" w14:textId="77777777">
                <w:trPr>
                  <w:divId w:val="1801993921"/>
                  <w:tblCellSpacing w:w="15" w:type="dxa"/>
                </w:trPr>
                <w:tc>
                  <w:tcPr>
                    <w:tcW w:w="50" w:type="pct"/>
                    <w:hideMark/>
                  </w:tcPr>
                  <w:p w14:paraId="3DD8A89F" w14:textId="77777777" w:rsidR="00394AAC" w:rsidRDefault="00394AAC">
                    <w:pPr>
                      <w:pStyle w:val="Bibliography"/>
                      <w:rPr>
                        <w:noProof/>
                      </w:rPr>
                    </w:pPr>
                    <w:r>
                      <w:rPr>
                        <w:noProof/>
                      </w:rPr>
                      <w:t xml:space="preserve">[3] </w:t>
                    </w:r>
                  </w:p>
                </w:tc>
                <w:tc>
                  <w:tcPr>
                    <w:tcW w:w="0" w:type="auto"/>
                    <w:hideMark/>
                  </w:tcPr>
                  <w:p w14:paraId="3BC9A5A4" w14:textId="77777777" w:rsidR="00394AAC" w:rsidRDefault="00394AAC">
                    <w:pPr>
                      <w:pStyle w:val="Bibliography"/>
                      <w:rPr>
                        <w:noProof/>
                      </w:rPr>
                    </w:pPr>
                    <w:r>
                      <w:rPr>
                        <w:noProof/>
                      </w:rPr>
                      <w:t>Cybersecurity and Infrastructure Security Agency, “Known Exploited Vulnerabilities Catalog,” 2026. [Online]. Available: https://www.cisa.gov/known-exploited-vulnerabilities-catalog. [Accessed April 2026].</w:t>
                    </w:r>
                  </w:p>
                </w:tc>
              </w:tr>
              <w:tr w:rsidR="00394AAC" w14:paraId="047F55E8" w14:textId="77777777">
                <w:trPr>
                  <w:divId w:val="1801993921"/>
                  <w:tblCellSpacing w:w="15" w:type="dxa"/>
                </w:trPr>
                <w:tc>
                  <w:tcPr>
                    <w:tcW w:w="50" w:type="pct"/>
                    <w:hideMark/>
                  </w:tcPr>
                  <w:p w14:paraId="7196BA13" w14:textId="77777777" w:rsidR="00394AAC" w:rsidRDefault="00394AAC">
                    <w:pPr>
                      <w:pStyle w:val="Bibliography"/>
                      <w:rPr>
                        <w:noProof/>
                      </w:rPr>
                    </w:pPr>
                    <w:r>
                      <w:rPr>
                        <w:noProof/>
                      </w:rPr>
                      <w:t xml:space="preserve">[4] </w:t>
                    </w:r>
                  </w:p>
                </w:tc>
                <w:tc>
                  <w:tcPr>
                    <w:tcW w:w="0" w:type="auto"/>
                    <w:hideMark/>
                  </w:tcPr>
                  <w:p w14:paraId="3E6D5C6B" w14:textId="77777777" w:rsidR="00394AAC" w:rsidRDefault="00394AAC">
                    <w:pPr>
                      <w:pStyle w:val="Bibliography"/>
                      <w:rPr>
                        <w:noProof/>
                      </w:rPr>
                    </w:pPr>
                    <w:r>
                      <w:rPr>
                        <w:noProof/>
                      </w:rPr>
                      <w:t>Associated Press, “Data breach at MGM Resorts expected to cost casino giant $100 million,” 7 October 2023. [Online]. Available: https://apnews.com/article/mgm-cyberattack-las-vegas-100-million-clorox-087726961b5366065b6231d1d223b4eb. [Accessed May 2026].</w:t>
                    </w:r>
                  </w:p>
                </w:tc>
              </w:tr>
              <w:tr w:rsidR="00394AAC" w14:paraId="06C808A0" w14:textId="77777777">
                <w:trPr>
                  <w:divId w:val="1801993921"/>
                  <w:tblCellSpacing w:w="15" w:type="dxa"/>
                </w:trPr>
                <w:tc>
                  <w:tcPr>
                    <w:tcW w:w="50" w:type="pct"/>
                    <w:hideMark/>
                  </w:tcPr>
                  <w:p w14:paraId="240F6160" w14:textId="77777777" w:rsidR="00394AAC" w:rsidRDefault="00394AAC">
                    <w:pPr>
                      <w:pStyle w:val="Bibliography"/>
                      <w:rPr>
                        <w:noProof/>
                      </w:rPr>
                    </w:pPr>
                    <w:r>
                      <w:rPr>
                        <w:noProof/>
                      </w:rPr>
                      <w:t xml:space="preserve">[5] </w:t>
                    </w:r>
                  </w:p>
                </w:tc>
                <w:tc>
                  <w:tcPr>
                    <w:tcW w:w="0" w:type="auto"/>
                    <w:hideMark/>
                  </w:tcPr>
                  <w:p w14:paraId="7D176D46" w14:textId="77777777" w:rsidR="00394AAC" w:rsidRDefault="00394AAC">
                    <w:pPr>
                      <w:pStyle w:val="Bibliography"/>
                      <w:rPr>
                        <w:noProof/>
                      </w:rPr>
                    </w:pPr>
                    <w:r>
                      <w:rPr>
                        <w:noProof/>
                      </w:rPr>
                      <w:t>National Crime Agency, “The NCA announces the disruption of LockBit with Operation Cronos,” National Crime Agency, February 2024. [Online]. Available: https://www.nationalcrimeagency.gov.uk/the-nca-announces-the-disruption-of-lockbit-with-operation-cronos. [Accessed May 2026].</w:t>
                    </w:r>
                  </w:p>
                </w:tc>
              </w:tr>
              <w:tr w:rsidR="00394AAC" w14:paraId="208BA6D9" w14:textId="77777777">
                <w:trPr>
                  <w:divId w:val="1801993921"/>
                  <w:tblCellSpacing w:w="15" w:type="dxa"/>
                </w:trPr>
                <w:tc>
                  <w:tcPr>
                    <w:tcW w:w="50" w:type="pct"/>
                    <w:hideMark/>
                  </w:tcPr>
                  <w:p w14:paraId="42FF8EB5" w14:textId="77777777" w:rsidR="00394AAC" w:rsidRDefault="00394AAC">
                    <w:pPr>
                      <w:pStyle w:val="Bibliography"/>
                      <w:rPr>
                        <w:noProof/>
                      </w:rPr>
                    </w:pPr>
                    <w:r>
                      <w:rPr>
                        <w:noProof/>
                      </w:rPr>
                      <w:t xml:space="preserve">[6] </w:t>
                    </w:r>
                  </w:p>
                </w:tc>
                <w:tc>
                  <w:tcPr>
                    <w:tcW w:w="0" w:type="auto"/>
                    <w:hideMark/>
                  </w:tcPr>
                  <w:p w14:paraId="61129283" w14:textId="77777777" w:rsidR="00394AAC" w:rsidRDefault="00394AAC">
                    <w:pPr>
                      <w:pStyle w:val="Bibliography"/>
                      <w:rPr>
                        <w:noProof/>
                      </w:rPr>
                    </w:pPr>
                    <w:r>
                      <w:rPr>
                        <w:noProof/>
                      </w:rPr>
                      <w:t>Federal Bureau of Investigation, “Business Email Compromise,” Federal Bureau of Investigation, [Online]. Available: https://www.fbi.gov/how-we-can-help-you/scams-and-safety/common-frauds-and-scams/business-email-compromise. [Accessed April 2026].</w:t>
                    </w:r>
                  </w:p>
                </w:tc>
              </w:tr>
              <w:tr w:rsidR="00394AAC" w14:paraId="59C2812E" w14:textId="77777777">
                <w:trPr>
                  <w:divId w:val="1801993921"/>
                  <w:tblCellSpacing w:w="15" w:type="dxa"/>
                </w:trPr>
                <w:tc>
                  <w:tcPr>
                    <w:tcW w:w="50" w:type="pct"/>
                    <w:hideMark/>
                  </w:tcPr>
                  <w:p w14:paraId="288CA4F5" w14:textId="77777777" w:rsidR="00394AAC" w:rsidRDefault="00394AAC">
                    <w:pPr>
                      <w:pStyle w:val="Bibliography"/>
                      <w:rPr>
                        <w:noProof/>
                      </w:rPr>
                    </w:pPr>
                    <w:r>
                      <w:rPr>
                        <w:noProof/>
                      </w:rPr>
                      <w:t xml:space="preserve">[7] </w:t>
                    </w:r>
                  </w:p>
                </w:tc>
                <w:tc>
                  <w:tcPr>
                    <w:tcW w:w="0" w:type="auto"/>
                    <w:hideMark/>
                  </w:tcPr>
                  <w:p w14:paraId="36A1017A" w14:textId="77777777" w:rsidR="00394AAC" w:rsidRDefault="00394AAC">
                    <w:pPr>
                      <w:pStyle w:val="Bibliography"/>
                      <w:rPr>
                        <w:noProof/>
                      </w:rPr>
                    </w:pPr>
                    <w:r>
                      <w:rPr>
                        <w:noProof/>
                      </w:rPr>
                      <w:t>National Cyber Security Centre, “The near-term impact of AI on the cyber threat,” 24 January 2024. [Online]. Available: https://www.ncsc.gov.uk/report/impact-of-ai-on-cyber-threat. [Accessed April 2026].</w:t>
                    </w:r>
                  </w:p>
                </w:tc>
              </w:tr>
              <w:tr w:rsidR="00394AAC" w14:paraId="1E2934E1" w14:textId="77777777">
                <w:trPr>
                  <w:divId w:val="1801993921"/>
                  <w:tblCellSpacing w:w="15" w:type="dxa"/>
                </w:trPr>
                <w:tc>
                  <w:tcPr>
                    <w:tcW w:w="50" w:type="pct"/>
                    <w:hideMark/>
                  </w:tcPr>
                  <w:p w14:paraId="15E2B614" w14:textId="77777777" w:rsidR="00394AAC" w:rsidRDefault="00394AAC">
                    <w:pPr>
                      <w:pStyle w:val="Bibliography"/>
                      <w:rPr>
                        <w:noProof/>
                      </w:rPr>
                    </w:pPr>
                    <w:r>
                      <w:rPr>
                        <w:noProof/>
                      </w:rPr>
                      <w:t xml:space="preserve">[8] </w:t>
                    </w:r>
                  </w:p>
                </w:tc>
                <w:tc>
                  <w:tcPr>
                    <w:tcW w:w="0" w:type="auto"/>
                    <w:hideMark/>
                  </w:tcPr>
                  <w:p w14:paraId="356FD41D" w14:textId="77777777" w:rsidR="00394AAC" w:rsidRDefault="00394AAC">
                    <w:pPr>
                      <w:pStyle w:val="Bibliography"/>
                      <w:rPr>
                        <w:noProof/>
                      </w:rPr>
                    </w:pPr>
                    <w:r>
                      <w:rPr>
                        <w:noProof/>
                      </w:rPr>
                      <w:t>National Cyber Security Centre, “Supply Chain Cyber Security,” 12 October 2023. [Online]. Available: https://www.ncsc.gov.uk/collection/supply-chain. [Accessed April 2026].</w:t>
                    </w:r>
                  </w:p>
                </w:tc>
              </w:tr>
              <w:tr w:rsidR="00394AAC" w14:paraId="2EA0076C" w14:textId="77777777">
                <w:trPr>
                  <w:divId w:val="1801993921"/>
                  <w:tblCellSpacing w:w="15" w:type="dxa"/>
                </w:trPr>
                <w:tc>
                  <w:tcPr>
                    <w:tcW w:w="50" w:type="pct"/>
                    <w:hideMark/>
                  </w:tcPr>
                  <w:p w14:paraId="2DDE5523" w14:textId="77777777" w:rsidR="00394AAC" w:rsidRDefault="00394AAC">
                    <w:pPr>
                      <w:pStyle w:val="Bibliography"/>
                      <w:rPr>
                        <w:noProof/>
                      </w:rPr>
                    </w:pPr>
                    <w:r>
                      <w:rPr>
                        <w:noProof/>
                      </w:rPr>
                      <w:lastRenderedPageBreak/>
                      <w:t xml:space="preserve">[9] </w:t>
                    </w:r>
                  </w:p>
                </w:tc>
                <w:tc>
                  <w:tcPr>
                    <w:tcW w:w="0" w:type="auto"/>
                    <w:hideMark/>
                  </w:tcPr>
                  <w:p w14:paraId="4574D870" w14:textId="77777777" w:rsidR="00394AAC" w:rsidRDefault="00394AAC">
                    <w:pPr>
                      <w:pStyle w:val="Bibliography"/>
                      <w:rPr>
                        <w:noProof/>
                      </w:rPr>
                    </w:pPr>
                    <w:r>
                      <w:rPr>
                        <w:noProof/>
                      </w:rPr>
                      <w:t>Cybersecurity and Infrastructure Security Agency, “Defining Insider Threats,” [Online]. Available: https://www.cisa.gov/topics/physical-security/insider-threat-mitigation/defining-insider-threats. [Accessed Apr. 2026].</w:t>
                    </w:r>
                  </w:p>
                </w:tc>
              </w:tr>
              <w:tr w:rsidR="00394AAC" w14:paraId="3C485488" w14:textId="77777777">
                <w:trPr>
                  <w:divId w:val="1801993921"/>
                  <w:tblCellSpacing w:w="15" w:type="dxa"/>
                </w:trPr>
                <w:tc>
                  <w:tcPr>
                    <w:tcW w:w="50" w:type="pct"/>
                    <w:hideMark/>
                  </w:tcPr>
                  <w:p w14:paraId="4C497FB1" w14:textId="77777777" w:rsidR="00394AAC" w:rsidRDefault="00394AAC">
                    <w:pPr>
                      <w:pStyle w:val="Bibliography"/>
                      <w:rPr>
                        <w:noProof/>
                      </w:rPr>
                    </w:pPr>
                    <w:r>
                      <w:rPr>
                        <w:noProof/>
                      </w:rPr>
                      <w:t xml:space="preserve">[10] </w:t>
                    </w:r>
                  </w:p>
                </w:tc>
                <w:tc>
                  <w:tcPr>
                    <w:tcW w:w="0" w:type="auto"/>
                    <w:hideMark/>
                  </w:tcPr>
                  <w:p w14:paraId="3AB491C0" w14:textId="77777777" w:rsidR="00394AAC" w:rsidRDefault="00394AAC">
                    <w:pPr>
                      <w:pStyle w:val="Bibliography"/>
                      <w:rPr>
                        <w:noProof/>
                      </w:rPr>
                    </w:pPr>
                    <w:r>
                      <w:rPr>
                        <w:noProof/>
                      </w:rPr>
                      <w:t>National Institute of Standards and Technology, “Guidelines for Managing the Security of Mobile Devices in the Enterprise,” May 2023. [Online]. Available: https://nvlpubs.nist.gov/nistpubs/SpecialPublications/NIST.SP.800-124r2.pdf. [Accessed May 2026].</w:t>
                    </w:r>
                  </w:p>
                </w:tc>
              </w:tr>
              <w:tr w:rsidR="00394AAC" w14:paraId="117AE80C" w14:textId="77777777">
                <w:trPr>
                  <w:divId w:val="1801993921"/>
                  <w:tblCellSpacing w:w="15" w:type="dxa"/>
                </w:trPr>
                <w:tc>
                  <w:tcPr>
                    <w:tcW w:w="50" w:type="pct"/>
                    <w:hideMark/>
                  </w:tcPr>
                  <w:p w14:paraId="3DDFC0D2" w14:textId="77777777" w:rsidR="00394AAC" w:rsidRDefault="00394AAC">
                    <w:pPr>
                      <w:pStyle w:val="Bibliography"/>
                      <w:rPr>
                        <w:noProof/>
                      </w:rPr>
                    </w:pPr>
                    <w:r>
                      <w:rPr>
                        <w:noProof/>
                      </w:rPr>
                      <w:t xml:space="preserve">[11] </w:t>
                    </w:r>
                  </w:p>
                </w:tc>
                <w:tc>
                  <w:tcPr>
                    <w:tcW w:w="0" w:type="auto"/>
                    <w:hideMark/>
                  </w:tcPr>
                  <w:p w14:paraId="4BF502D8" w14:textId="77777777" w:rsidR="00394AAC" w:rsidRDefault="00394AAC">
                    <w:pPr>
                      <w:pStyle w:val="Bibliography"/>
                      <w:rPr>
                        <w:noProof/>
                      </w:rPr>
                    </w:pPr>
                    <w:r>
                      <w:rPr>
                        <w:noProof/>
                      </w:rPr>
                      <w:t>Cybersecurity and Infrastructure Security Agency and Multi-State Information Sharing and Analysis Center, “Ransomware Guide,” 2020. [Online]. Available: https://www.cisa.gov/sites/default/files/publications/CISA_MS-ISAC_Ransomware%20Guide_S508C.pdf. [Accessed April 2026].</w:t>
                    </w:r>
                  </w:p>
                </w:tc>
              </w:tr>
              <w:tr w:rsidR="00394AAC" w14:paraId="6227C35D" w14:textId="77777777">
                <w:trPr>
                  <w:divId w:val="1801993921"/>
                  <w:tblCellSpacing w:w="15" w:type="dxa"/>
                </w:trPr>
                <w:tc>
                  <w:tcPr>
                    <w:tcW w:w="50" w:type="pct"/>
                    <w:hideMark/>
                  </w:tcPr>
                  <w:p w14:paraId="3324C417" w14:textId="77777777" w:rsidR="00394AAC" w:rsidRDefault="00394AAC">
                    <w:pPr>
                      <w:pStyle w:val="Bibliography"/>
                      <w:rPr>
                        <w:noProof/>
                      </w:rPr>
                    </w:pPr>
                    <w:r>
                      <w:rPr>
                        <w:noProof/>
                      </w:rPr>
                      <w:t xml:space="preserve">[12] </w:t>
                    </w:r>
                  </w:p>
                </w:tc>
                <w:tc>
                  <w:tcPr>
                    <w:tcW w:w="0" w:type="auto"/>
                    <w:hideMark/>
                  </w:tcPr>
                  <w:p w14:paraId="248374E2" w14:textId="77777777" w:rsidR="00394AAC" w:rsidRDefault="00394AAC">
                    <w:pPr>
                      <w:pStyle w:val="Bibliography"/>
                      <w:rPr>
                        <w:noProof/>
                      </w:rPr>
                    </w:pPr>
                    <w:r>
                      <w:rPr>
                        <w:noProof/>
                      </w:rPr>
                      <w:t>S. R. M. S. a. K. S. A. Nelson, “Incident Response Recommendations and Considerations for Cybersecurity Risk Management: A CSF 2.0 Community Profile,” National Institute of Standards and Technology, April 2025. [Online]. Available: https://csrc.nist.gov/pubs/sp/800/61/r3/final.</w:t>
                    </w:r>
                  </w:p>
                </w:tc>
              </w:tr>
            </w:tbl>
            <w:p w14:paraId="2A7EA8A5" w14:textId="77777777" w:rsidR="00394AAC" w:rsidRDefault="00394AAC">
              <w:pPr>
                <w:divId w:val="1801993921"/>
                <w:rPr>
                  <w:rFonts w:eastAsia="Times New Roman"/>
                  <w:noProof/>
                </w:rPr>
              </w:pPr>
            </w:p>
            <w:p w14:paraId="31A61094" w14:textId="449D148B" w:rsidR="00CB32F9" w:rsidRDefault="00CB32F9">
              <w:r>
                <w:rPr>
                  <w:b/>
                  <w:bCs/>
                  <w:noProof/>
                </w:rPr>
                <w:fldChar w:fldCharType="end"/>
              </w:r>
            </w:p>
          </w:sdtContent>
        </w:sdt>
      </w:sdtContent>
    </w:sdt>
    <w:p w14:paraId="394C8C08" w14:textId="77777777" w:rsidR="00CB32F9" w:rsidRDefault="00CB32F9" w:rsidP="0062514D">
      <w:pPr>
        <w:ind w:firstLine="360"/>
        <w:jc w:val="both"/>
      </w:pPr>
    </w:p>
    <w:sectPr w:rsidR="00CB32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5300C" w14:textId="77777777" w:rsidR="007B5863" w:rsidRDefault="007B5863" w:rsidP="00FF2FB4">
      <w:pPr>
        <w:spacing w:after="0" w:line="240" w:lineRule="auto"/>
      </w:pPr>
      <w:r>
        <w:separator/>
      </w:r>
    </w:p>
  </w:endnote>
  <w:endnote w:type="continuationSeparator" w:id="0">
    <w:p w14:paraId="4F7C7B71" w14:textId="77777777" w:rsidR="007B5863" w:rsidRDefault="007B5863" w:rsidP="00FF2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4A0FF" w14:textId="77777777" w:rsidR="007B5863" w:rsidRDefault="007B5863" w:rsidP="00FF2FB4">
      <w:pPr>
        <w:spacing w:after="0" w:line="240" w:lineRule="auto"/>
      </w:pPr>
      <w:r>
        <w:separator/>
      </w:r>
    </w:p>
  </w:footnote>
  <w:footnote w:type="continuationSeparator" w:id="0">
    <w:p w14:paraId="42F16485" w14:textId="77777777" w:rsidR="007B5863" w:rsidRDefault="007B5863" w:rsidP="00FF2F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52264"/>
    <w:multiLevelType w:val="hybridMultilevel"/>
    <w:tmpl w:val="ABF0C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E421C3"/>
    <w:multiLevelType w:val="hybridMultilevel"/>
    <w:tmpl w:val="3984F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0176068">
    <w:abstractNumId w:val="0"/>
  </w:num>
  <w:num w:numId="2" w16cid:durableId="19862027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F76"/>
    <w:rsid w:val="00015C5C"/>
    <w:rsid w:val="0002103D"/>
    <w:rsid w:val="00057A80"/>
    <w:rsid w:val="0006627A"/>
    <w:rsid w:val="0007104F"/>
    <w:rsid w:val="00075E19"/>
    <w:rsid w:val="000B76C1"/>
    <w:rsid w:val="000E6614"/>
    <w:rsid w:val="00102F41"/>
    <w:rsid w:val="00132A0E"/>
    <w:rsid w:val="00137E31"/>
    <w:rsid w:val="001574B5"/>
    <w:rsid w:val="00173E6A"/>
    <w:rsid w:val="001B3280"/>
    <w:rsid w:val="001C0C9F"/>
    <w:rsid w:val="001C64D4"/>
    <w:rsid w:val="001F52E0"/>
    <w:rsid w:val="00214081"/>
    <w:rsid w:val="00242B81"/>
    <w:rsid w:val="00247447"/>
    <w:rsid w:val="00286A94"/>
    <w:rsid w:val="00291D42"/>
    <w:rsid w:val="002A0D4A"/>
    <w:rsid w:val="002B6B93"/>
    <w:rsid w:val="002C6440"/>
    <w:rsid w:val="002D1786"/>
    <w:rsid w:val="003242AF"/>
    <w:rsid w:val="00325F34"/>
    <w:rsid w:val="00327883"/>
    <w:rsid w:val="003321E9"/>
    <w:rsid w:val="0036516A"/>
    <w:rsid w:val="00394AAC"/>
    <w:rsid w:val="003E18A5"/>
    <w:rsid w:val="004443D8"/>
    <w:rsid w:val="00447706"/>
    <w:rsid w:val="0047711A"/>
    <w:rsid w:val="00485BD7"/>
    <w:rsid w:val="0049173F"/>
    <w:rsid w:val="004C1489"/>
    <w:rsid w:val="004D09C3"/>
    <w:rsid w:val="004F1EB1"/>
    <w:rsid w:val="004F3235"/>
    <w:rsid w:val="005007D8"/>
    <w:rsid w:val="00514195"/>
    <w:rsid w:val="005249CA"/>
    <w:rsid w:val="005439BD"/>
    <w:rsid w:val="005C31A3"/>
    <w:rsid w:val="005D44E2"/>
    <w:rsid w:val="005E1357"/>
    <w:rsid w:val="00610A49"/>
    <w:rsid w:val="0062514D"/>
    <w:rsid w:val="006532CA"/>
    <w:rsid w:val="00656EDB"/>
    <w:rsid w:val="00676ADF"/>
    <w:rsid w:val="006B0EF9"/>
    <w:rsid w:val="006B42B1"/>
    <w:rsid w:val="006D35E7"/>
    <w:rsid w:val="006F2DEF"/>
    <w:rsid w:val="00706D93"/>
    <w:rsid w:val="007170E4"/>
    <w:rsid w:val="0072772D"/>
    <w:rsid w:val="007626EA"/>
    <w:rsid w:val="007819D6"/>
    <w:rsid w:val="007A56AB"/>
    <w:rsid w:val="007B5863"/>
    <w:rsid w:val="007D28A7"/>
    <w:rsid w:val="007E140E"/>
    <w:rsid w:val="0080726C"/>
    <w:rsid w:val="008105FA"/>
    <w:rsid w:val="008248FB"/>
    <w:rsid w:val="00844661"/>
    <w:rsid w:val="008453DE"/>
    <w:rsid w:val="00862709"/>
    <w:rsid w:val="008772E2"/>
    <w:rsid w:val="008954CB"/>
    <w:rsid w:val="008C60F4"/>
    <w:rsid w:val="008D7389"/>
    <w:rsid w:val="0093729B"/>
    <w:rsid w:val="00976048"/>
    <w:rsid w:val="009925C0"/>
    <w:rsid w:val="009A0003"/>
    <w:rsid w:val="009F1B4A"/>
    <w:rsid w:val="009F7E5C"/>
    <w:rsid w:val="00A02BCE"/>
    <w:rsid w:val="00A459AF"/>
    <w:rsid w:val="00A61E92"/>
    <w:rsid w:val="00A633BA"/>
    <w:rsid w:val="00A63607"/>
    <w:rsid w:val="00A8686B"/>
    <w:rsid w:val="00A9432F"/>
    <w:rsid w:val="00AA51E2"/>
    <w:rsid w:val="00AB11A1"/>
    <w:rsid w:val="00AB7B13"/>
    <w:rsid w:val="00AF4DA5"/>
    <w:rsid w:val="00B143A2"/>
    <w:rsid w:val="00B1531A"/>
    <w:rsid w:val="00B17828"/>
    <w:rsid w:val="00B35097"/>
    <w:rsid w:val="00B426D6"/>
    <w:rsid w:val="00B43616"/>
    <w:rsid w:val="00B604BD"/>
    <w:rsid w:val="00BC5417"/>
    <w:rsid w:val="00BF46A8"/>
    <w:rsid w:val="00C02432"/>
    <w:rsid w:val="00C36ADA"/>
    <w:rsid w:val="00C66584"/>
    <w:rsid w:val="00C86630"/>
    <w:rsid w:val="00CB32F9"/>
    <w:rsid w:val="00CD579F"/>
    <w:rsid w:val="00D007D4"/>
    <w:rsid w:val="00D150A9"/>
    <w:rsid w:val="00D41CEE"/>
    <w:rsid w:val="00D42F76"/>
    <w:rsid w:val="00D62C82"/>
    <w:rsid w:val="00D64C54"/>
    <w:rsid w:val="00D71220"/>
    <w:rsid w:val="00D74AFA"/>
    <w:rsid w:val="00D91AB1"/>
    <w:rsid w:val="00DC0194"/>
    <w:rsid w:val="00DF1C31"/>
    <w:rsid w:val="00E12346"/>
    <w:rsid w:val="00E13B39"/>
    <w:rsid w:val="00E4774D"/>
    <w:rsid w:val="00E60443"/>
    <w:rsid w:val="00E72C37"/>
    <w:rsid w:val="00E8359E"/>
    <w:rsid w:val="00E84E18"/>
    <w:rsid w:val="00EA55FE"/>
    <w:rsid w:val="00F06D66"/>
    <w:rsid w:val="00F25374"/>
    <w:rsid w:val="00F30DAE"/>
    <w:rsid w:val="00F424F0"/>
    <w:rsid w:val="00F5627E"/>
    <w:rsid w:val="00F92577"/>
    <w:rsid w:val="00FA4400"/>
    <w:rsid w:val="00FC5E0E"/>
    <w:rsid w:val="00FC7633"/>
    <w:rsid w:val="00FE239A"/>
    <w:rsid w:val="00FF2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40743F"/>
  <w15:chartTrackingRefBased/>
  <w15:docId w15:val="{24944339-4255-4E65-BB84-3D0CA5911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F76"/>
  </w:style>
  <w:style w:type="paragraph" w:styleId="Heading1">
    <w:name w:val="heading 1"/>
    <w:basedOn w:val="Normal"/>
    <w:next w:val="Normal"/>
    <w:link w:val="Heading1Char"/>
    <w:uiPriority w:val="9"/>
    <w:qFormat/>
    <w:rsid w:val="00D42F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2F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2F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2F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2F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2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2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2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2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F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2F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2F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2F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2F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2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2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2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2F76"/>
    <w:rPr>
      <w:rFonts w:eastAsiaTheme="majorEastAsia" w:cstheme="majorBidi"/>
      <w:color w:val="272727" w:themeColor="text1" w:themeTint="D8"/>
    </w:rPr>
  </w:style>
  <w:style w:type="paragraph" w:styleId="Title">
    <w:name w:val="Title"/>
    <w:basedOn w:val="Normal"/>
    <w:next w:val="Normal"/>
    <w:link w:val="TitleChar"/>
    <w:uiPriority w:val="10"/>
    <w:qFormat/>
    <w:rsid w:val="00D42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2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2F76"/>
    <w:pPr>
      <w:spacing w:before="160"/>
      <w:jc w:val="center"/>
    </w:pPr>
    <w:rPr>
      <w:i/>
      <w:iCs/>
      <w:color w:val="404040" w:themeColor="text1" w:themeTint="BF"/>
    </w:rPr>
  </w:style>
  <w:style w:type="character" w:customStyle="1" w:styleId="QuoteChar">
    <w:name w:val="Quote Char"/>
    <w:basedOn w:val="DefaultParagraphFont"/>
    <w:link w:val="Quote"/>
    <w:uiPriority w:val="29"/>
    <w:rsid w:val="00D42F76"/>
    <w:rPr>
      <w:i/>
      <w:iCs/>
      <w:color w:val="404040" w:themeColor="text1" w:themeTint="BF"/>
    </w:rPr>
  </w:style>
  <w:style w:type="paragraph" w:styleId="ListParagraph">
    <w:name w:val="List Paragraph"/>
    <w:basedOn w:val="Normal"/>
    <w:uiPriority w:val="34"/>
    <w:qFormat/>
    <w:rsid w:val="00D42F76"/>
    <w:pPr>
      <w:ind w:left="720"/>
      <w:contextualSpacing/>
    </w:pPr>
  </w:style>
  <w:style w:type="character" w:styleId="IntenseEmphasis">
    <w:name w:val="Intense Emphasis"/>
    <w:basedOn w:val="DefaultParagraphFont"/>
    <w:uiPriority w:val="21"/>
    <w:qFormat/>
    <w:rsid w:val="00D42F76"/>
    <w:rPr>
      <w:i/>
      <w:iCs/>
      <w:color w:val="0F4761" w:themeColor="accent1" w:themeShade="BF"/>
    </w:rPr>
  </w:style>
  <w:style w:type="paragraph" w:styleId="IntenseQuote">
    <w:name w:val="Intense Quote"/>
    <w:basedOn w:val="Normal"/>
    <w:next w:val="Normal"/>
    <w:link w:val="IntenseQuoteChar"/>
    <w:uiPriority w:val="30"/>
    <w:qFormat/>
    <w:rsid w:val="00D42F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2F76"/>
    <w:rPr>
      <w:i/>
      <w:iCs/>
      <w:color w:val="0F4761" w:themeColor="accent1" w:themeShade="BF"/>
    </w:rPr>
  </w:style>
  <w:style w:type="character" w:styleId="IntenseReference">
    <w:name w:val="Intense Reference"/>
    <w:basedOn w:val="DefaultParagraphFont"/>
    <w:uiPriority w:val="32"/>
    <w:qFormat/>
    <w:rsid w:val="00D42F76"/>
    <w:rPr>
      <w:b/>
      <w:bCs/>
      <w:smallCaps/>
      <w:color w:val="0F4761" w:themeColor="accent1" w:themeShade="BF"/>
      <w:spacing w:val="5"/>
    </w:rPr>
  </w:style>
  <w:style w:type="paragraph" w:styleId="TOCHeading">
    <w:name w:val="TOC Heading"/>
    <w:basedOn w:val="Heading1"/>
    <w:next w:val="Normal"/>
    <w:uiPriority w:val="39"/>
    <w:unhideWhenUsed/>
    <w:qFormat/>
    <w:rsid w:val="00D42F7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42F76"/>
    <w:pPr>
      <w:spacing w:after="100"/>
    </w:pPr>
  </w:style>
  <w:style w:type="character" w:styleId="Hyperlink">
    <w:name w:val="Hyperlink"/>
    <w:basedOn w:val="DefaultParagraphFont"/>
    <w:uiPriority w:val="99"/>
    <w:unhideWhenUsed/>
    <w:rsid w:val="00D42F76"/>
    <w:rPr>
      <w:color w:val="467886" w:themeColor="hyperlink"/>
      <w:u w:val="single"/>
    </w:rPr>
  </w:style>
  <w:style w:type="table" w:styleId="TableGrid">
    <w:name w:val="Table Grid"/>
    <w:basedOn w:val="TableNormal"/>
    <w:uiPriority w:val="39"/>
    <w:rsid w:val="00AA51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D64C5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07104F"/>
  </w:style>
  <w:style w:type="paragraph" w:styleId="Header">
    <w:name w:val="header"/>
    <w:basedOn w:val="Normal"/>
    <w:link w:val="HeaderChar"/>
    <w:uiPriority w:val="99"/>
    <w:unhideWhenUsed/>
    <w:rsid w:val="00FF2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FB4"/>
  </w:style>
  <w:style w:type="paragraph" w:styleId="Footer">
    <w:name w:val="footer"/>
    <w:basedOn w:val="Normal"/>
    <w:link w:val="FooterChar"/>
    <w:uiPriority w:val="99"/>
    <w:unhideWhenUsed/>
    <w:rsid w:val="00FF2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F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38022">
      <w:bodyDiv w:val="1"/>
      <w:marLeft w:val="0"/>
      <w:marRight w:val="0"/>
      <w:marTop w:val="0"/>
      <w:marBottom w:val="0"/>
      <w:divBdr>
        <w:top w:val="none" w:sz="0" w:space="0" w:color="auto"/>
        <w:left w:val="none" w:sz="0" w:space="0" w:color="auto"/>
        <w:bottom w:val="none" w:sz="0" w:space="0" w:color="auto"/>
        <w:right w:val="none" w:sz="0" w:space="0" w:color="auto"/>
      </w:divBdr>
    </w:div>
    <w:div w:id="51776203">
      <w:bodyDiv w:val="1"/>
      <w:marLeft w:val="0"/>
      <w:marRight w:val="0"/>
      <w:marTop w:val="0"/>
      <w:marBottom w:val="0"/>
      <w:divBdr>
        <w:top w:val="none" w:sz="0" w:space="0" w:color="auto"/>
        <w:left w:val="none" w:sz="0" w:space="0" w:color="auto"/>
        <w:bottom w:val="none" w:sz="0" w:space="0" w:color="auto"/>
        <w:right w:val="none" w:sz="0" w:space="0" w:color="auto"/>
      </w:divBdr>
    </w:div>
    <w:div w:id="112479638">
      <w:bodyDiv w:val="1"/>
      <w:marLeft w:val="0"/>
      <w:marRight w:val="0"/>
      <w:marTop w:val="0"/>
      <w:marBottom w:val="0"/>
      <w:divBdr>
        <w:top w:val="none" w:sz="0" w:space="0" w:color="auto"/>
        <w:left w:val="none" w:sz="0" w:space="0" w:color="auto"/>
        <w:bottom w:val="none" w:sz="0" w:space="0" w:color="auto"/>
        <w:right w:val="none" w:sz="0" w:space="0" w:color="auto"/>
      </w:divBdr>
    </w:div>
    <w:div w:id="124129303">
      <w:bodyDiv w:val="1"/>
      <w:marLeft w:val="0"/>
      <w:marRight w:val="0"/>
      <w:marTop w:val="0"/>
      <w:marBottom w:val="0"/>
      <w:divBdr>
        <w:top w:val="none" w:sz="0" w:space="0" w:color="auto"/>
        <w:left w:val="none" w:sz="0" w:space="0" w:color="auto"/>
        <w:bottom w:val="none" w:sz="0" w:space="0" w:color="auto"/>
        <w:right w:val="none" w:sz="0" w:space="0" w:color="auto"/>
      </w:divBdr>
    </w:div>
    <w:div w:id="138114173">
      <w:bodyDiv w:val="1"/>
      <w:marLeft w:val="0"/>
      <w:marRight w:val="0"/>
      <w:marTop w:val="0"/>
      <w:marBottom w:val="0"/>
      <w:divBdr>
        <w:top w:val="none" w:sz="0" w:space="0" w:color="auto"/>
        <w:left w:val="none" w:sz="0" w:space="0" w:color="auto"/>
        <w:bottom w:val="none" w:sz="0" w:space="0" w:color="auto"/>
        <w:right w:val="none" w:sz="0" w:space="0" w:color="auto"/>
      </w:divBdr>
    </w:div>
    <w:div w:id="139346999">
      <w:bodyDiv w:val="1"/>
      <w:marLeft w:val="0"/>
      <w:marRight w:val="0"/>
      <w:marTop w:val="0"/>
      <w:marBottom w:val="0"/>
      <w:divBdr>
        <w:top w:val="none" w:sz="0" w:space="0" w:color="auto"/>
        <w:left w:val="none" w:sz="0" w:space="0" w:color="auto"/>
        <w:bottom w:val="none" w:sz="0" w:space="0" w:color="auto"/>
        <w:right w:val="none" w:sz="0" w:space="0" w:color="auto"/>
      </w:divBdr>
    </w:div>
    <w:div w:id="154304306">
      <w:bodyDiv w:val="1"/>
      <w:marLeft w:val="0"/>
      <w:marRight w:val="0"/>
      <w:marTop w:val="0"/>
      <w:marBottom w:val="0"/>
      <w:divBdr>
        <w:top w:val="none" w:sz="0" w:space="0" w:color="auto"/>
        <w:left w:val="none" w:sz="0" w:space="0" w:color="auto"/>
        <w:bottom w:val="none" w:sz="0" w:space="0" w:color="auto"/>
        <w:right w:val="none" w:sz="0" w:space="0" w:color="auto"/>
      </w:divBdr>
    </w:div>
    <w:div w:id="154882388">
      <w:bodyDiv w:val="1"/>
      <w:marLeft w:val="0"/>
      <w:marRight w:val="0"/>
      <w:marTop w:val="0"/>
      <w:marBottom w:val="0"/>
      <w:divBdr>
        <w:top w:val="none" w:sz="0" w:space="0" w:color="auto"/>
        <w:left w:val="none" w:sz="0" w:space="0" w:color="auto"/>
        <w:bottom w:val="none" w:sz="0" w:space="0" w:color="auto"/>
        <w:right w:val="none" w:sz="0" w:space="0" w:color="auto"/>
      </w:divBdr>
    </w:div>
    <w:div w:id="210658135">
      <w:bodyDiv w:val="1"/>
      <w:marLeft w:val="0"/>
      <w:marRight w:val="0"/>
      <w:marTop w:val="0"/>
      <w:marBottom w:val="0"/>
      <w:divBdr>
        <w:top w:val="none" w:sz="0" w:space="0" w:color="auto"/>
        <w:left w:val="none" w:sz="0" w:space="0" w:color="auto"/>
        <w:bottom w:val="none" w:sz="0" w:space="0" w:color="auto"/>
        <w:right w:val="none" w:sz="0" w:space="0" w:color="auto"/>
      </w:divBdr>
    </w:div>
    <w:div w:id="215430693">
      <w:bodyDiv w:val="1"/>
      <w:marLeft w:val="0"/>
      <w:marRight w:val="0"/>
      <w:marTop w:val="0"/>
      <w:marBottom w:val="0"/>
      <w:divBdr>
        <w:top w:val="none" w:sz="0" w:space="0" w:color="auto"/>
        <w:left w:val="none" w:sz="0" w:space="0" w:color="auto"/>
        <w:bottom w:val="none" w:sz="0" w:space="0" w:color="auto"/>
        <w:right w:val="none" w:sz="0" w:space="0" w:color="auto"/>
      </w:divBdr>
    </w:div>
    <w:div w:id="238248299">
      <w:bodyDiv w:val="1"/>
      <w:marLeft w:val="0"/>
      <w:marRight w:val="0"/>
      <w:marTop w:val="0"/>
      <w:marBottom w:val="0"/>
      <w:divBdr>
        <w:top w:val="none" w:sz="0" w:space="0" w:color="auto"/>
        <w:left w:val="none" w:sz="0" w:space="0" w:color="auto"/>
        <w:bottom w:val="none" w:sz="0" w:space="0" w:color="auto"/>
        <w:right w:val="none" w:sz="0" w:space="0" w:color="auto"/>
      </w:divBdr>
    </w:div>
    <w:div w:id="248348513">
      <w:bodyDiv w:val="1"/>
      <w:marLeft w:val="0"/>
      <w:marRight w:val="0"/>
      <w:marTop w:val="0"/>
      <w:marBottom w:val="0"/>
      <w:divBdr>
        <w:top w:val="none" w:sz="0" w:space="0" w:color="auto"/>
        <w:left w:val="none" w:sz="0" w:space="0" w:color="auto"/>
        <w:bottom w:val="none" w:sz="0" w:space="0" w:color="auto"/>
        <w:right w:val="none" w:sz="0" w:space="0" w:color="auto"/>
      </w:divBdr>
    </w:div>
    <w:div w:id="256596024">
      <w:bodyDiv w:val="1"/>
      <w:marLeft w:val="0"/>
      <w:marRight w:val="0"/>
      <w:marTop w:val="0"/>
      <w:marBottom w:val="0"/>
      <w:divBdr>
        <w:top w:val="none" w:sz="0" w:space="0" w:color="auto"/>
        <w:left w:val="none" w:sz="0" w:space="0" w:color="auto"/>
        <w:bottom w:val="none" w:sz="0" w:space="0" w:color="auto"/>
        <w:right w:val="none" w:sz="0" w:space="0" w:color="auto"/>
      </w:divBdr>
    </w:div>
    <w:div w:id="269944306">
      <w:bodyDiv w:val="1"/>
      <w:marLeft w:val="0"/>
      <w:marRight w:val="0"/>
      <w:marTop w:val="0"/>
      <w:marBottom w:val="0"/>
      <w:divBdr>
        <w:top w:val="none" w:sz="0" w:space="0" w:color="auto"/>
        <w:left w:val="none" w:sz="0" w:space="0" w:color="auto"/>
        <w:bottom w:val="none" w:sz="0" w:space="0" w:color="auto"/>
        <w:right w:val="none" w:sz="0" w:space="0" w:color="auto"/>
      </w:divBdr>
    </w:div>
    <w:div w:id="304311680">
      <w:bodyDiv w:val="1"/>
      <w:marLeft w:val="0"/>
      <w:marRight w:val="0"/>
      <w:marTop w:val="0"/>
      <w:marBottom w:val="0"/>
      <w:divBdr>
        <w:top w:val="none" w:sz="0" w:space="0" w:color="auto"/>
        <w:left w:val="none" w:sz="0" w:space="0" w:color="auto"/>
        <w:bottom w:val="none" w:sz="0" w:space="0" w:color="auto"/>
        <w:right w:val="none" w:sz="0" w:space="0" w:color="auto"/>
      </w:divBdr>
    </w:div>
    <w:div w:id="375934264">
      <w:bodyDiv w:val="1"/>
      <w:marLeft w:val="0"/>
      <w:marRight w:val="0"/>
      <w:marTop w:val="0"/>
      <w:marBottom w:val="0"/>
      <w:divBdr>
        <w:top w:val="none" w:sz="0" w:space="0" w:color="auto"/>
        <w:left w:val="none" w:sz="0" w:space="0" w:color="auto"/>
        <w:bottom w:val="none" w:sz="0" w:space="0" w:color="auto"/>
        <w:right w:val="none" w:sz="0" w:space="0" w:color="auto"/>
      </w:divBdr>
    </w:div>
    <w:div w:id="405499477">
      <w:bodyDiv w:val="1"/>
      <w:marLeft w:val="0"/>
      <w:marRight w:val="0"/>
      <w:marTop w:val="0"/>
      <w:marBottom w:val="0"/>
      <w:divBdr>
        <w:top w:val="none" w:sz="0" w:space="0" w:color="auto"/>
        <w:left w:val="none" w:sz="0" w:space="0" w:color="auto"/>
        <w:bottom w:val="none" w:sz="0" w:space="0" w:color="auto"/>
        <w:right w:val="none" w:sz="0" w:space="0" w:color="auto"/>
      </w:divBdr>
    </w:div>
    <w:div w:id="406659631">
      <w:bodyDiv w:val="1"/>
      <w:marLeft w:val="0"/>
      <w:marRight w:val="0"/>
      <w:marTop w:val="0"/>
      <w:marBottom w:val="0"/>
      <w:divBdr>
        <w:top w:val="none" w:sz="0" w:space="0" w:color="auto"/>
        <w:left w:val="none" w:sz="0" w:space="0" w:color="auto"/>
        <w:bottom w:val="none" w:sz="0" w:space="0" w:color="auto"/>
        <w:right w:val="none" w:sz="0" w:space="0" w:color="auto"/>
      </w:divBdr>
    </w:div>
    <w:div w:id="453183304">
      <w:bodyDiv w:val="1"/>
      <w:marLeft w:val="0"/>
      <w:marRight w:val="0"/>
      <w:marTop w:val="0"/>
      <w:marBottom w:val="0"/>
      <w:divBdr>
        <w:top w:val="none" w:sz="0" w:space="0" w:color="auto"/>
        <w:left w:val="none" w:sz="0" w:space="0" w:color="auto"/>
        <w:bottom w:val="none" w:sz="0" w:space="0" w:color="auto"/>
        <w:right w:val="none" w:sz="0" w:space="0" w:color="auto"/>
      </w:divBdr>
    </w:div>
    <w:div w:id="478688048">
      <w:bodyDiv w:val="1"/>
      <w:marLeft w:val="0"/>
      <w:marRight w:val="0"/>
      <w:marTop w:val="0"/>
      <w:marBottom w:val="0"/>
      <w:divBdr>
        <w:top w:val="none" w:sz="0" w:space="0" w:color="auto"/>
        <w:left w:val="none" w:sz="0" w:space="0" w:color="auto"/>
        <w:bottom w:val="none" w:sz="0" w:space="0" w:color="auto"/>
        <w:right w:val="none" w:sz="0" w:space="0" w:color="auto"/>
      </w:divBdr>
    </w:div>
    <w:div w:id="507452365">
      <w:bodyDiv w:val="1"/>
      <w:marLeft w:val="0"/>
      <w:marRight w:val="0"/>
      <w:marTop w:val="0"/>
      <w:marBottom w:val="0"/>
      <w:divBdr>
        <w:top w:val="none" w:sz="0" w:space="0" w:color="auto"/>
        <w:left w:val="none" w:sz="0" w:space="0" w:color="auto"/>
        <w:bottom w:val="none" w:sz="0" w:space="0" w:color="auto"/>
        <w:right w:val="none" w:sz="0" w:space="0" w:color="auto"/>
      </w:divBdr>
    </w:div>
    <w:div w:id="531068146">
      <w:bodyDiv w:val="1"/>
      <w:marLeft w:val="0"/>
      <w:marRight w:val="0"/>
      <w:marTop w:val="0"/>
      <w:marBottom w:val="0"/>
      <w:divBdr>
        <w:top w:val="none" w:sz="0" w:space="0" w:color="auto"/>
        <w:left w:val="none" w:sz="0" w:space="0" w:color="auto"/>
        <w:bottom w:val="none" w:sz="0" w:space="0" w:color="auto"/>
        <w:right w:val="none" w:sz="0" w:space="0" w:color="auto"/>
      </w:divBdr>
    </w:div>
    <w:div w:id="565259402">
      <w:bodyDiv w:val="1"/>
      <w:marLeft w:val="0"/>
      <w:marRight w:val="0"/>
      <w:marTop w:val="0"/>
      <w:marBottom w:val="0"/>
      <w:divBdr>
        <w:top w:val="none" w:sz="0" w:space="0" w:color="auto"/>
        <w:left w:val="none" w:sz="0" w:space="0" w:color="auto"/>
        <w:bottom w:val="none" w:sz="0" w:space="0" w:color="auto"/>
        <w:right w:val="none" w:sz="0" w:space="0" w:color="auto"/>
      </w:divBdr>
    </w:div>
    <w:div w:id="582450651">
      <w:bodyDiv w:val="1"/>
      <w:marLeft w:val="0"/>
      <w:marRight w:val="0"/>
      <w:marTop w:val="0"/>
      <w:marBottom w:val="0"/>
      <w:divBdr>
        <w:top w:val="none" w:sz="0" w:space="0" w:color="auto"/>
        <w:left w:val="none" w:sz="0" w:space="0" w:color="auto"/>
        <w:bottom w:val="none" w:sz="0" w:space="0" w:color="auto"/>
        <w:right w:val="none" w:sz="0" w:space="0" w:color="auto"/>
      </w:divBdr>
    </w:div>
    <w:div w:id="634259780">
      <w:bodyDiv w:val="1"/>
      <w:marLeft w:val="0"/>
      <w:marRight w:val="0"/>
      <w:marTop w:val="0"/>
      <w:marBottom w:val="0"/>
      <w:divBdr>
        <w:top w:val="none" w:sz="0" w:space="0" w:color="auto"/>
        <w:left w:val="none" w:sz="0" w:space="0" w:color="auto"/>
        <w:bottom w:val="none" w:sz="0" w:space="0" w:color="auto"/>
        <w:right w:val="none" w:sz="0" w:space="0" w:color="auto"/>
      </w:divBdr>
    </w:div>
    <w:div w:id="636834642">
      <w:bodyDiv w:val="1"/>
      <w:marLeft w:val="0"/>
      <w:marRight w:val="0"/>
      <w:marTop w:val="0"/>
      <w:marBottom w:val="0"/>
      <w:divBdr>
        <w:top w:val="none" w:sz="0" w:space="0" w:color="auto"/>
        <w:left w:val="none" w:sz="0" w:space="0" w:color="auto"/>
        <w:bottom w:val="none" w:sz="0" w:space="0" w:color="auto"/>
        <w:right w:val="none" w:sz="0" w:space="0" w:color="auto"/>
      </w:divBdr>
    </w:div>
    <w:div w:id="674264808">
      <w:bodyDiv w:val="1"/>
      <w:marLeft w:val="0"/>
      <w:marRight w:val="0"/>
      <w:marTop w:val="0"/>
      <w:marBottom w:val="0"/>
      <w:divBdr>
        <w:top w:val="none" w:sz="0" w:space="0" w:color="auto"/>
        <w:left w:val="none" w:sz="0" w:space="0" w:color="auto"/>
        <w:bottom w:val="none" w:sz="0" w:space="0" w:color="auto"/>
        <w:right w:val="none" w:sz="0" w:space="0" w:color="auto"/>
      </w:divBdr>
    </w:div>
    <w:div w:id="683022088">
      <w:bodyDiv w:val="1"/>
      <w:marLeft w:val="0"/>
      <w:marRight w:val="0"/>
      <w:marTop w:val="0"/>
      <w:marBottom w:val="0"/>
      <w:divBdr>
        <w:top w:val="none" w:sz="0" w:space="0" w:color="auto"/>
        <w:left w:val="none" w:sz="0" w:space="0" w:color="auto"/>
        <w:bottom w:val="none" w:sz="0" w:space="0" w:color="auto"/>
        <w:right w:val="none" w:sz="0" w:space="0" w:color="auto"/>
      </w:divBdr>
    </w:div>
    <w:div w:id="714357519">
      <w:bodyDiv w:val="1"/>
      <w:marLeft w:val="0"/>
      <w:marRight w:val="0"/>
      <w:marTop w:val="0"/>
      <w:marBottom w:val="0"/>
      <w:divBdr>
        <w:top w:val="none" w:sz="0" w:space="0" w:color="auto"/>
        <w:left w:val="none" w:sz="0" w:space="0" w:color="auto"/>
        <w:bottom w:val="none" w:sz="0" w:space="0" w:color="auto"/>
        <w:right w:val="none" w:sz="0" w:space="0" w:color="auto"/>
      </w:divBdr>
    </w:div>
    <w:div w:id="766000600">
      <w:bodyDiv w:val="1"/>
      <w:marLeft w:val="0"/>
      <w:marRight w:val="0"/>
      <w:marTop w:val="0"/>
      <w:marBottom w:val="0"/>
      <w:divBdr>
        <w:top w:val="none" w:sz="0" w:space="0" w:color="auto"/>
        <w:left w:val="none" w:sz="0" w:space="0" w:color="auto"/>
        <w:bottom w:val="none" w:sz="0" w:space="0" w:color="auto"/>
        <w:right w:val="none" w:sz="0" w:space="0" w:color="auto"/>
      </w:divBdr>
    </w:div>
    <w:div w:id="810709233">
      <w:bodyDiv w:val="1"/>
      <w:marLeft w:val="0"/>
      <w:marRight w:val="0"/>
      <w:marTop w:val="0"/>
      <w:marBottom w:val="0"/>
      <w:divBdr>
        <w:top w:val="none" w:sz="0" w:space="0" w:color="auto"/>
        <w:left w:val="none" w:sz="0" w:space="0" w:color="auto"/>
        <w:bottom w:val="none" w:sz="0" w:space="0" w:color="auto"/>
        <w:right w:val="none" w:sz="0" w:space="0" w:color="auto"/>
      </w:divBdr>
    </w:div>
    <w:div w:id="834035501">
      <w:bodyDiv w:val="1"/>
      <w:marLeft w:val="0"/>
      <w:marRight w:val="0"/>
      <w:marTop w:val="0"/>
      <w:marBottom w:val="0"/>
      <w:divBdr>
        <w:top w:val="none" w:sz="0" w:space="0" w:color="auto"/>
        <w:left w:val="none" w:sz="0" w:space="0" w:color="auto"/>
        <w:bottom w:val="none" w:sz="0" w:space="0" w:color="auto"/>
        <w:right w:val="none" w:sz="0" w:space="0" w:color="auto"/>
      </w:divBdr>
    </w:div>
    <w:div w:id="849486386">
      <w:bodyDiv w:val="1"/>
      <w:marLeft w:val="0"/>
      <w:marRight w:val="0"/>
      <w:marTop w:val="0"/>
      <w:marBottom w:val="0"/>
      <w:divBdr>
        <w:top w:val="none" w:sz="0" w:space="0" w:color="auto"/>
        <w:left w:val="none" w:sz="0" w:space="0" w:color="auto"/>
        <w:bottom w:val="none" w:sz="0" w:space="0" w:color="auto"/>
        <w:right w:val="none" w:sz="0" w:space="0" w:color="auto"/>
      </w:divBdr>
    </w:div>
    <w:div w:id="853879365">
      <w:bodyDiv w:val="1"/>
      <w:marLeft w:val="0"/>
      <w:marRight w:val="0"/>
      <w:marTop w:val="0"/>
      <w:marBottom w:val="0"/>
      <w:divBdr>
        <w:top w:val="none" w:sz="0" w:space="0" w:color="auto"/>
        <w:left w:val="none" w:sz="0" w:space="0" w:color="auto"/>
        <w:bottom w:val="none" w:sz="0" w:space="0" w:color="auto"/>
        <w:right w:val="none" w:sz="0" w:space="0" w:color="auto"/>
      </w:divBdr>
    </w:div>
    <w:div w:id="877158937">
      <w:bodyDiv w:val="1"/>
      <w:marLeft w:val="0"/>
      <w:marRight w:val="0"/>
      <w:marTop w:val="0"/>
      <w:marBottom w:val="0"/>
      <w:divBdr>
        <w:top w:val="none" w:sz="0" w:space="0" w:color="auto"/>
        <w:left w:val="none" w:sz="0" w:space="0" w:color="auto"/>
        <w:bottom w:val="none" w:sz="0" w:space="0" w:color="auto"/>
        <w:right w:val="none" w:sz="0" w:space="0" w:color="auto"/>
      </w:divBdr>
    </w:div>
    <w:div w:id="880674500">
      <w:bodyDiv w:val="1"/>
      <w:marLeft w:val="0"/>
      <w:marRight w:val="0"/>
      <w:marTop w:val="0"/>
      <w:marBottom w:val="0"/>
      <w:divBdr>
        <w:top w:val="none" w:sz="0" w:space="0" w:color="auto"/>
        <w:left w:val="none" w:sz="0" w:space="0" w:color="auto"/>
        <w:bottom w:val="none" w:sz="0" w:space="0" w:color="auto"/>
        <w:right w:val="none" w:sz="0" w:space="0" w:color="auto"/>
      </w:divBdr>
    </w:div>
    <w:div w:id="897208725">
      <w:bodyDiv w:val="1"/>
      <w:marLeft w:val="0"/>
      <w:marRight w:val="0"/>
      <w:marTop w:val="0"/>
      <w:marBottom w:val="0"/>
      <w:divBdr>
        <w:top w:val="none" w:sz="0" w:space="0" w:color="auto"/>
        <w:left w:val="none" w:sz="0" w:space="0" w:color="auto"/>
        <w:bottom w:val="none" w:sz="0" w:space="0" w:color="auto"/>
        <w:right w:val="none" w:sz="0" w:space="0" w:color="auto"/>
      </w:divBdr>
    </w:div>
    <w:div w:id="967246669">
      <w:bodyDiv w:val="1"/>
      <w:marLeft w:val="0"/>
      <w:marRight w:val="0"/>
      <w:marTop w:val="0"/>
      <w:marBottom w:val="0"/>
      <w:divBdr>
        <w:top w:val="none" w:sz="0" w:space="0" w:color="auto"/>
        <w:left w:val="none" w:sz="0" w:space="0" w:color="auto"/>
        <w:bottom w:val="none" w:sz="0" w:space="0" w:color="auto"/>
        <w:right w:val="none" w:sz="0" w:space="0" w:color="auto"/>
      </w:divBdr>
    </w:div>
    <w:div w:id="979118234">
      <w:bodyDiv w:val="1"/>
      <w:marLeft w:val="0"/>
      <w:marRight w:val="0"/>
      <w:marTop w:val="0"/>
      <w:marBottom w:val="0"/>
      <w:divBdr>
        <w:top w:val="none" w:sz="0" w:space="0" w:color="auto"/>
        <w:left w:val="none" w:sz="0" w:space="0" w:color="auto"/>
        <w:bottom w:val="none" w:sz="0" w:space="0" w:color="auto"/>
        <w:right w:val="none" w:sz="0" w:space="0" w:color="auto"/>
      </w:divBdr>
    </w:div>
    <w:div w:id="1003170223">
      <w:bodyDiv w:val="1"/>
      <w:marLeft w:val="0"/>
      <w:marRight w:val="0"/>
      <w:marTop w:val="0"/>
      <w:marBottom w:val="0"/>
      <w:divBdr>
        <w:top w:val="none" w:sz="0" w:space="0" w:color="auto"/>
        <w:left w:val="none" w:sz="0" w:space="0" w:color="auto"/>
        <w:bottom w:val="none" w:sz="0" w:space="0" w:color="auto"/>
        <w:right w:val="none" w:sz="0" w:space="0" w:color="auto"/>
      </w:divBdr>
    </w:div>
    <w:div w:id="1024986037">
      <w:bodyDiv w:val="1"/>
      <w:marLeft w:val="0"/>
      <w:marRight w:val="0"/>
      <w:marTop w:val="0"/>
      <w:marBottom w:val="0"/>
      <w:divBdr>
        <w:top w:val="none" w:sz="0" w:space="0" w:color="auto"/>
        <w:left w:val="none" w:sz="0" w:space="0" w:color="auto"/>
        <w:bottom w:val="none" w:sz="0" w:space="0" w:color="auto"/>
        <w:right w:val="none" w:sz="0" w:space="0" w:color="auto"/>
      </w:divBdr>
    </w:div>
    <w:div w:id="1037580835">
      <w:bodyDiv w:val="1"/>
      <w:marLeft w:val="0"/>
      <w:marRight w:val="0"/>
      <w:marTop w:val="0"/>
      <w:marBottom w:val="0"/>
      <w:divBdr>
        <w:top w:val="none" w:sz="0" w:space="0" w:color="auto"/>
        <w:left w:val="none" w:sz="0" w:space="0" w:color="auto"/>
        <w:bottom w:val="none" w:sz="0" w:space="0" w:color="auto"/>
        <w:right w:val="none" w:sz="0" w:space="0" w:color="auto"/>
      </w:divBdr>
    </w:div>
    <w:div w:id="1037587155">
      <w:bodyDiv w:val="1"/>
      <w:marLeft w:val="0"/>
      <w:marRight w:val="0"/>
      <w:marTop w:val="0"/>
      <w:marBottom w:val="0"/>
      <w:divBdr>
        <w:top w:val="none" w:sz="0" w:space="0" w:color="auto"/>
        <w:left w:val="none" w:sz="0" w:space="0" w:color="auto"/>
        <w:bottom w:val="none" w:sz="0" w:space="0" w:color="auto"/>
        <w:right w:val="none" w:sz="0" w:space="0" w:color="auto"/>
      </w:divBdr>
    </w:div>
    <w:div w:id="1082068443">
      <w:bodyDiv w:val="1"/>
      <w:marLeft w:val="0"/>
      <w:marRight w:val="0"/>
      <w:marTop w:val="0"/>
      <w:marBottom w:val="0"/>
      <w:divBdr>
        <w:top w:val="none" w:sz="0" w:space="0" w:color="auto"/>
        <w:left w:val="none" w:sz="0" w:space="0" w:color="auto"/>
        <w:bottom w:val="none" w:sz="0" w:space="0" w:color="auto"/>
        <w:right w:val="none" w:sz="0" w:space="0" w:color="auto"/>
      </w:divBdr>
    </w:div>
    <w:div w:id="1082678807">
      <w:bodyDiv w:val="1"/>
      <w:marLeft w:val="0"/>
      <w:marRight w:val="0"/>
      <w:marTop w:val="0"/>
      <w:marBottom w:val="0"/>
      <w:divBdr>
        <w:top w:val="none" w:sz="0" w:space="0" w:color="auto"/>
        <w:left w:val="none" w:sz="0" w:space="0" w:color="auto"/>
        <w:bottom w:val="none" w:sz="0" w:space="0" w:color="auto"/>
        <w:right w:val="none" w:sz="0" w:space="0" w:color="auto"/>
      </w:divBdr>
    </w:div>
    <w:div w:id="1106076550">
      <w:bodyDiv w:val="1"/>
      <w:marLeft w:val="0"/>
      <w:marRight w:val="0"/>
      <w:marTop w:val="0"/>
      <w:marBottom w:val="0"/>
      <w:divBdr>
        <w:top w:val="none" w:sz="0" w:space="0" w:color="auto"/>
        <w:left w:val="none" w:sz="0" w:space="0" w:color="auto"/>
        <w:bottom w:val="none" w:sz="0" w:space="0" w:color="auto"/>
        <w:right w:val="none" w:sz="0" w:space="0" w:color="auto"/>
      </w:divBdr>
    </w:div>
    <w:div w:id="1119451324">
      <w:bodyDiv w:val="1"/>
      <w:marLeft w:val="0"/>
      <w:marRight w:val="0"/>
      <w:marTop w:val="0"/>
      <w:marBottom w:val="0"/>
      <w:divBdr>
        <w:top w:val="none" w:sz="0" w:space="0" w:color="auto"/>
        <w:left w:val="none" w:sz="0" w:space="0" w:color="auto"/>
        <w:bottom w:val="none" w:sz="0" w:space="0" w:color="auto"/>
        <w:right w:val="none" w:sz="0" w:space="0" w:color="auto"/>
      </w:divBdr>
    </w:div>
    <w:div w:id="1119761949">
      <w:bodyDiv w:val="1"/>
      <w:marLeft w:val="0"/>
      <w:marRight w:val="0"/>
      <w:marTop w:val="0"/>
      <w:marBottom w:val="0"/>
      <w:divBdr>
        <w:top w:val="none" w:sz="0" w:space="0" w:color="auto"/>
        <w:left w:val="none" w:sz="0" w:space="0" w:color="auto"/>
        <w:bottom w:val="none" w:sz="0" w:space="0" w:color="auto"/>
        <w:right w:val="none" w:sz="0" w:space="0" w:color="auto"/>
      </w:divBdr>
    </w:div>
    <w:div w:id="1149663603">
      <w:bodyDiv w:val="1"/>
      <w:marLeft w:val="0"/>
      <w:marRight w:val="0"/>
      <w:marTop w:val="0"/>
      <w:marBottom w:val="0"/>
      <w:divBdr>
        <w:top w:val="none" w:sz="0" w:space="0" w:color="auto"/>
        <w:left w:val="none" w:sz="0" w:space="0" w:color="auto"/>
        <w:bottom w:val="none" w:sz="0" w:space="0" w:color="auto"/>
        <w:right w:val="none" w:sz="0" w:space="0" w:color="auto"/>
      </w:divBdr>
    </w:div>
    <w:div w:id="1149856882">
      <w:bodyDiv w:val="1"/>
      <w:marLeft w:val="0"/>
      <w:marRight w:val="0"/>
      <w:marTop w:val="0"/>
      <w:marBottom w:val="0"/>
      <w:divBdr>
        <w:top w:val="none" w:sz="0" w:space="0" w:color="auto"/>
        <w:left w:val="none" w:sz="0" w:space="0" w:color="auto"/>
        <w:bottom w:val="none" w:sz="0" w:space="0" w:color="auto"/>
        <w:right w:val="none" w:sz="0" w:space="0" w:color="auto"/>
      </w:divBdr>
    </w:div>
    <w:div w:id="1167671197">
      <w:bodyDiv w:val="1"/>
      <w:marLeft w:val="0"/>
      <w:marRight w:val="0"/>
      <w:marTop w:val="0"/>
      <w:marBottom w:val="0"/>
      <w:divBdr>
        <w:top w:val="none" w:sz="0" w:space="0" w:color="auto"/>
        <w:left w:val="none" w:sz="0" w:space="0" w:color="auto"/>
        <w:bottom w:val="none" w:sz="0" w:space="0" w:color="auto"/>
        <w:right w:val="none" w:sz="0" w:space="0" w:color="auto"/>
      </w:divBdr>
    </w:div>
    <w:div w:id="1202286271">
      <w:bodyDiv w:val="1"/>
      <w:marLeft w:val="0"/>
      <w:marRight w:val="0"/>
      <w:marTop w:val="0"/>
      <w:marBottom w:val="0"/>
      <w:divBdr>
        <w:top w:val="none" w:sz="0" w:space="0" w:color="auto"/>
        <w:left w:val="none" w:sz="0" w:space="0" w:color="auto"/>
        <w:bottom w:val="none" w:sz="0" w:space="0" w:color="auto"/>
        <w:right w:val="none" w:sz="0" w:space="0" w:color="auto"/>
      </w:divBdr>
    </w:div>
    <w:div w:id="1237478956">
      <w:bodyDiv w:val="1"/>
      <w:marLeft w:val="0"/>
      <w:marRight w:val="0"/>
      <w:marTop w:val="0"/>
      <w:marBottom w:val="0"/>
      <w:divBdr>
        <w:top w:val="none" w:sz="0" w:space="0" w:color="auto"/>
        <w:left w:val="none" w:sz="0" w:space="0" w:color="auto"/>
        <w:bottom w:val="none" w:sz="0" w:space="0" w:color="auto"/>
        <w:right w:val="none" w:sz="0" w:space="0" w:color="auto"/>
      </w:divBdr>
    </w:div>
    <w:div w:id="1253513668">
      <w:bodyDiv w:val="1"/>
      <w:marLeft w:val="0"/>
      <w:marRight w:val="0"/>
      <w:marTop w:val="0"/>
      <w:marBottom w:val="0"/>
      <w:divBdr>
        <w:top w:val="none" w:sz="0" w:space="0" w:color="auto"/>
        <w:left w:val="none" w:sz="0" w:space="0" w:color="auto"/>
        <w:bottom w:val="none" w:sz="0" w:space="0" w:color="auto"/>
        <w:right w:val="none" w:sz="0" w:space="0" w:color="auto"/>
      </w:divBdr>
    </w:div>
    <w:div w:id="1261840512">
      <w:bodyDiv w:val="1"/>
      <w:marLeft w:val="0"/>
      <w:marRight w:val="0"/>
      <w:marTop w:val="0"/>
      <w:marBottom w:val="0"/>
      <w:divBdr>
        <w:top w:val="none" w:sz="0" w:space="0" w:color="auto"/>
        <w:left w:val="none" w:sz="0" w:space="0" w:color="auto"/>
        <w:bottom w:val="none" w:sz="0" w:space="0" w:color="auto"/>
        <w:right w:val="none" w:sz="0" w:space="0" w:color="auto"/>
      </w:divBdr>
    </w:div>
    <w:div w:id="1294826668">
      <w:bodyDiv w:val="1"/>
      <w:marLeft w:val="0"/>
      <w:marRight w:val="0"/>
      <w:marTop w:val="0"/>
      <w:marBottom w:val="0"/>
      <w:divBdr>
        <w:top w:val="none" w:sz="0" w:space="0" w:color="auto"/>
        <w:left w:val="none" w:sz="0" w:space="0" w:color="auto"/>
        <w:bottom w:val="none" w:sz="0" w:space="0" w:color="auto"/>
        <w:right w:val="none" w:sz="0" w:space="0" w:color="auto"/>
      </w:divBdr>
    </w:div>
    <w:div w:id="1309019549">
      <w:bodyDiv w:val="1"/>
      <w:marLeft w:val="0"/>
      <w:marRight w:val="0"/>
      <w:marTop w:val="0"/>
      <w:marBottom w:val="0"/>
      <w:divBdr>
        <w:top w:val="none" w:sz="0" w:space="0" w:color="auto"/>
        <w:left w:val="none" w:sz="0" w:space="0" w:color="auto"/>
        <w:bottom w:val="none" w:sz="0" w:space="0" w:color="auto"/>
        <w:right w:val="none" w:sz="0" w:space="0" w:color="auto"/>
      </w:divBdr>
    </w:div>
    <w:div w:id="1338002742">
      <w:bodyDiv w:val="1"/>
      <w:marLeft w:val="0"/>
      <w:marRight w:val="0"/>
      <w:marTop w:val="0"/>
      <w:marBottom w:val="0"/>
      <w:divBdr>
        <w:top w:val="none" w:sz="0" w:space="0" w:color="auto"/>
        <w:left w:val="none" w:sz="0" w:space="0" w:color="auto"/>
        <w:bottom w:val="none" w:sz="0" w:space="0" w:color="auto"/>
        <w:right w:val="none" w:sz="0" w:space="0" w:color="auto"/>
      </w:divBdr>
    </w:div>
    <w:div w:id="1388602326">
      <w:bodyDiv w:val="1"/>
      <w:marLeft w:val="0"/>
      <w:marRight w:val="0"/>
      <w:marTop w:val="0"/>
      <w:marBottom w:val="0"/>
      <w:divBdr>
        <w:top w:val="none" w:sz="0" w:space="0" w:color="auto"/>
        <w:left w:val="none" w:sz="0" w:space="0" w:color="auto"/>
        <w:bottom w:val="none" w:sz="0" w:space="0" w:color="auto"/>
        <w:right w:val="none" w:sz="0" w:space="0" w:color="auto"/>
      </w:divBdr>
    </w:div>
    <w:div w:id="1414550799">
      <w:bodyDiv w:val="1"/>
      <w:marLeft w:val="0"/>
      <w:marRight w:val="0"/>
      <w:marTop w:val="0"/>
      <w:marBottom w:val="0"/>
      <w:divBdr>
        <w:top w:val="none" w:sz="0" w:space="0" w:color="auto"/>
        <w:left w:val="none" w:sz="0" w:space="0" w:color="auto"/>
        <w:bottom w:val="none" w:sz="0" w:space="0" w:color="auto"/>
        <w:right w:val="none" w:sz="0" w:space="0" w:color="auto"/>
      </w:divBdr>
    </w:div>
    <w:div w:id="1415468817">
      <w:bodyDiv w:val="1"/>
      <w:marLeft w:val="0"/>
      <w:marRight w:val="0"/>
      <w:marTop w:val="0"/>
      <w:marBottom w:val="0"/>
      <w:divBdr>
        <w:top w:val="none" w:sz="0" w:space="0" w:color="auto"/>
        <w:left w:val="none" w:sz="0" w:space="0" w:color="auto"/>
        <w:bottom w:val="none" w:sz="0" w:space="0" w:color="auto"/>
        <w:right w:val="none" w:sz="0" w:space="0" w:color="auto"/>
      </w:divBdr>
    </w:div>
    <w:div w:id="1465469532">
      <w:bodyDiv w:val="1"/>
      <w:marLeft w:val="0"/>
      <w:marRight w:val="0"/>
      <w:marTop w:val="0"/>
      <w:marBottom w:val="0"/>
      <w:divBdr>
        <w:top w:val="none" w:sz="0" w:space="0" w:color="auto"/>
        <w:left w:val="none" w:sz="0" w:space="0" w:color="auto"/>
        <w:bottom w:val="none" w:sz="0" w:space="0" w:color="auto"/>
        <w:right w:val="none" w:sz="0" w:space="0" w:color="auto"/>
      </w:divBdr>
    </w:div>
    <w:div w:id="1484469894">
      <w:bodyDiv w:val="1"/>
      <w:marLeft w:val="0"/>
      <w:marRight w:val="0"/>
      <w:marTop w:val="0"/>
      <w:marBottom w:val="0"/>
      <w:divBdr>
        <w:top w:val="none" w:sz="0" w:space="0" w:color="auto"/>
        <w:left w:val="none" w:sz="0" w:space="0" w:color="auto"/>
        <w:bottom w:val="none" w:sz="0" w:space="0" w:color="auto"/>
        <w:right w:val="none" w:sz="0" w:space="0" w:color="auto"/>
      </w:divBdr>
    </w:div>
    <w:div w:id="1485970300">
      <w:bodyDiv w:val="1"/>
      <w:marLeft w:val="0"/>
      <w:marRight w:val="0"/>
      <w:marTop w:val="0"/>
      <w:marBottom w:val="0"/>
      <w:divBdr>
        <w:top w:val="none" w:sz="0" w:space="0" w:color="auto"/>
        <w:left w:val="none" w:sz="0" w:space="0" w:color="auto"/>
        <w:bottom w:val="none" w:sz="0" w:space="0" w:color="auto"/>
        <w:right w:val="none" w:sz="0" w:space="0" w:color="auto"/>
      </w:divBdr>
    </w:div>
    <w:div w:id="1491435403">
      <w:bodyDiv w:val="1"/>
      <w:marLeft w:val="0"/>
      <w:marRight w:val="0"/>
      <w:marTop w:val="0"/>
      <w:marBottom w:val="0"/>
      <w:divBdr>
        <w:top w:val="none" w:sz="0" w:space="0" w:color="auto"/>
        <w:left w:val="none" w:sz="0" w:space="0" w:color="auto"/>
        <w:bottom w:val="none" w:sz="0" w:space="0" w:color="auto"/>
        <w:right w:val="none" w:sz="0" w:space="0" w:color="auto"/>
      </w:divBdr>
    </w:div>
    <w:div w:id="1572304100">
      <w:bodyDiv w:val="1"/>
      <w:marLeft w:val="0"/>
      <w:marRight w:val="0"/>
      <w:marTop w:val="0"/>
      <w:marBottom w:val="0"/>
      <w:divBdr>
        <w:top w:val="none" w:sz="0" w:space="0" w:color="auto"/>
        <w:left w:val="none" w:sz="0" w:space="0" w:color="auto"/>
        <w:bottom w:val="none" w:sz="0" w:space="0" w:color="auto"/>
        <w:right w:val="none" w:sz="0" w:space="0" w:color="auto"/>
      </w:divBdr>
    </w:div>
    <w:div w:id="1589382200">
      <w:bodyDiv w:val="1"/>
      <w:marLeft w:val="0"/>
      <w:marRight w:val="0"/>
      <w:marTop w:val="0"/>
      <w:marBottom w:val="0"/>
      <w:divBdr>
        <w:top w:val="none" w:sz="0" w:space="0" w:color="auto"/>
        <w:left w:val="none" w:sz="0" w:space="0" w:color="auto"/>
        <w:bottom w:val="none" w:sz="0" w:space="0" w:color="auto"/>
        <w:right w:val="none" w:sz="0" w:space="0" w:color="auto"/>
      </w:divBdr>
    </w:div>
    <w:div w:id="1594895916">
      <w:bodyDiv w:val="1"/>
      <w:marLeft w:val="0"/>
      <w:marRight w:val="0"/>
      <w:marTop w:val="0"/>
      <w:marBottom w:val="0"/>
      <w:divBdr>
        <w:top w:val="none" w:sz="0" w:space="0" w:color="auto"/>
        <w:left w:val="none" w:sz="0" w:space="0" w:color="auto"/>
        <w:bottom w:val="none" w:sz="0" w:space="0" w:color="auto"/>
        <w:right w:val="none" w:sz="0" w:space="0" w:color="auto"/>
      </w:divBdr>
    </w:div>
    <w:div w:id="1603224403">
      <w:bodyDiv w:val="1"/>
      <w:marLeft w:val="0"/>
      <w:marRight w:val="0"/>
      <w:marTop w:val="0"/>
      <w:marBottom w:val="0"/>
      <w:divBdr>
        <w:top w:val="none" w:sz="0" w:space="0" w:color="auto"/>
        <w:left w:val="none" w:sz="0" w:space="0" w:color="auto"/>
        <w:bottom w:val="none" w:sz="0" w:space="0" w:color="auto"/>
        <w:right w:val="none" w:sz="0" w:space="0" w:color="auto"/>
      </w:divBdr>
    </w:div>
    <w:div w:id="1633948040">
      <w:bodyDiv w:val="1"/>
      <w:marLeft w:val="0"/>
      <w:marRight w:val="0"/>
      <w:marTop w:val="0"/>
      <w:marBottom w:val="0"/>
      <w:divBdr>
        <w:top w:val="none" w:sz="0" w:space="0" w:color="auto"/>
        <w:left w:val="none" w:sz="0" w:space="0" w:color="auto"/>
        <w:bottom w:val="none" w:sz="0" w:space="0" w:color="auto"/>
        <w:right w:val="none" w:sz="0" w:space="0" w:color="auto"/>
      </w:divBdr>
    </w:div>
    <w:div w:id="1645550598">
      <w:bodyDiv w:val="1"/>
      <w:marLeft w:val="0"/>
      <w:marRight w:val="0"/>
      <w:marTop w:val="0"/>
      <w:marBottom w:val="0"/>
      <w:divBdr>
        <w:top w:val="none" w:sz="0" w:space="0" w:color="auto"/>
        <w:left w:val="none" w:sz="0" w:space="0" w:color="auto"/>
        <w:bottom w:val="none" w:sz="0" w:space="0" w:color="auto"/>
        <w:right w:val="none" w:sz="0" w:space="0" w:color="auto"/>
      </w:divBdr>
    </w:div>
    <w:div w:id="1649743085">
      <w:bodyDiv w:val="1"/>
      <w:marLeft w:val="0"/>
      <w:marRight w:val="0"/>
      <w:marTop w:val="0"/>
      <w:marBottom w:val="0"/>
      <w:divBdr>
        <w:top w:val="none" w:sz="0" w:space="0" w:color="auto"/>
        <w:left w:val="none" w:sz="0" w:space="0" w:color="auto"/>
        <w:bottom w:val="none" w:sz="0" w:space="0" w:color="auto"/>
        <w:right w:val="none" w:sz="0" w:space="0" w:color="auto"/>
      </w:divBdr>
    </w:div>
    <w:div w:id="1650742850">
      <w:bodyDiv w:val="1"/>
      <w:marLeft w:val="0"/>
      <w:marRight w:val="0"/>
      <w:marTop w:val="0"/>
      <w:marBottom w:val="0"/>
      <w:divBdr>
        <w:top w:val="none" w:sz="0" w:space="0" w:color="auto"/>
        <w:left w:val="none" w:sz="0" w:space="0" w:color="auto"/>
        <w:bottom w:val="none" w:sz="0" w:space="0" w:color="auto"/>
        <w:right w:val="none" w:sz="0" w:space="0" w:color="auto"/>
      </w:divBdr>
    </w:div>
    <w:div w:id="1675571663">
      <w:bodyDiv w:val="1"/>
      <w:marLeft w:val="0"/>
      <w:marRight w:val="0"/>
      <w:marTop w:val="0"/>
      <w:marBottom w:val="0"/>
      <w:divBdr>
        <w:top w:val="none" w:sz="0" w:space="0" w:color="auto"/>
        <w:left w:val="none" w:sz="0" w:space="0" w:color="auto"/>
        <w:bottom w:val="none" w:sz="0" w:space="0" w:color="auto"/>
        <w:right w:val="none" w:sz="0" w:space="0" w:color="auto"/>
      </w:divBdr>
    </w:div>
    <w:div w:id="1689404469">
      <w:bodyDiv w:val="1"/>
      <w:marLeft w:val="0"/>
      <w:marRight w:val="0"/>
      <w:marTop w:val="0"/>
      <w:marBottom w:val="0"/>
      <w:divBdr>
        <w:top w:val="none" w:sz="0" w:space="0" w:color="auto"/>
        <w:left w:val="none" w:sz="0" w:space="0" w:color="auto"/>
        <w:bottom w:val="none" w:sz="0" w:space="0" w:color="auto"/>
        <w:right w:val="none" w:sz="0" w:space="0" w:color="auto"/>
      </w:divBdr>
    </w:div>
    <w:div w:id="1777285583">
      <w:bodyDiv w:val="1"/>
      <w:marLeft w:val="0"/>
      <w:marRight w:val="0"/>
      <w:marTop w:val="0"/>
      <w:marBottom w:val="0"/>
      <w:divBdr>
        <w:top w:val="none" w:sz="0" w:space="0" w:color="auto"/>
        <w:left w:val="none" w:sz="0" w:space="0" w:color="auto"/>
        <w:bottom w:val="none" w:sz="0" w:space="0" w:color="auto"/>
        <w:right w:val="none" w:sz="0" w:space="0" w:color="auto"/>
      </w:divBdr>
    </w:div>
    <w:div w:id="1787574336">
      <w:bodyDiv w:val="1"/>
      <w:marLeft w:val="0"/>
      <w:marRight w:val="0"/>
      <w:marTop w:val="0"/>
      <w:marBottom w:val="0"/>
      <w:divBdr>
        <w:top w:val="none" w:sz="0" w:space="0" w:color="auto"/>
        <w:left w:val="none" w:sz="0" w:space="0" w:color="auto"/>
        <w:bottom w:val="none" w:sz="0" w:space="0" w:color="auto"/>
        <w:right w:val="none" w:sz="0" w:space="0" w:color="auto"/>
      </w:divBdr>
    </w:div>
    <w:div w:id="1789354091">
      <w:bodyDiv w:val="1"/>
      <w:marLeft w:val="0"/>
      <w:marRight w:val="0"/>
      <w:marTop w:val="0"/>
      <w:marBottom w:val="0"/>
      <w:divBdr>
        <w:top w:val="none" w:sz="0" w:space="0" w:color="auto"/>
        <w:left w:val="none" w:sz="0" w:space="0" w:color="auto"/>
        <w:bottom w:val="none" w:sz="0" w:space="0" w:color="auto"/>
        <w:right w:val="none" w:sz="0" w:space="0" w:color="auto"/>
      </w:divBdr>
    </w:div>
    <w:div w:id="1790008551">
      <w:bodyDiv w:val="1"/>
      <w:marLeft w:val="0"/>
      <w:marRight w:val="0"/>
      <w:marTop w:val="0"/>
      <w:marBottom w:val="0"/>
      <w:divBdr>
        <w:top w:val="none" w:sz="0" w:space="0" w:color="auto"/>
        <w:left w:val="none" w:sz="0" w:space="0" w:color="auto"/>
        <w:bottom w:val="none" w:sz="0" w:space="0" w:color="auto"/>
        <w:right w:val="none" w:sz="0" w:space="0" w:color="auto"/>
      </w:divBdr>
    </w:div>
    <w:div w:id="1797874846">
      <w:bodyDiv w:val="1"/>
      <w:marLeft w:val="0"/>
      <w:marRight w:val="0"/>
      <w:marTop w:val="0"/>
      <w:marBottom w:val="0"/>
      <w:divBdr>
        <w:top w:val="none" w:sz="0" w:space="0" w:color="auto"/>
        <w:left w:val="none" w:sz="0" w:space="0" w:color="auto"/>
        <w:bottom w:val="none" w:sz="0" w:space="0" w:color="auto"/>
        <w:right w:val="none" w:sz="0" w:space="0" w:color="auto"/>
      </w:divBdr>
    </w:div>
    <w:div w:id="1801993921">
      <w:bodyDiv w:val="1"/>
      <w:marLeft w:val="0"/>
      <w:marRight w:val="0"/>
      <w:marTop w:val="0"/>
      <w:marBottom w:val="0"/>
      <w:divBdr>
        <w:top w:val="none" w:sz="0" w:space="0" w:color="auto"/>
        <w:left w:val="none" w:sz="0" w:space="0" w:color="auto"/>
        <w:bottom w:val="none" w:sz="0" w:space="0" w:color="auto"/>
        <w:right w:val="none" w:sz="0" w:space="0" w:color="auto"/>
      </w:divBdr>
    </w:div>
    <w:div w:id="1813063859">
      <w:bodyDiv w:val="1"/>
      <w:marLeft w:val="0"/>
      <w:marRight w:val="0"/>
      <w:marTop w:val="0"/>
      <w:marBottom w:val="0"/>
      <w:divBdr>
        <w:top w:val="none" w:sz="0" w:space="0" w:color="auto"/>
        <w:left w:val="none" w:sz="0" w:space="0" w:color="auto"/>
        <w:bottom w:val="none" w:sz="0" w:space="0" w:color="auto"/>
        <w:right w:val="none" w:sz="0" w:space="0" w:color="auto"/>
      </w:divBdr>
    </w:div>
    <w:div w:id="1830827937">
      <w:bodyDiv w:val="1"/>
      <w:marLeft w:val="0"/>
      <w:marRight w:val="0"/>
      <w:marTop w:val="0"/>
      <w:marBottom w:val="0"/>
      <w:divBdr>
        <w:top w:val="none" w:sz="0" w:space="0" w:color="auto"/>
        <w:left w:val="none" w:sz="0" w:space="0" w:color="auto"/>
        <w:bottom w:val="none" w:sz="0" w:space="0" w:color="auto"/>
        <w:right w:val="none" w:sz="0" w:space="0" w:color="auto"/>
      </w:divBdr>
    </w:div>
    <w:div w:id="1843885180">
      <w:bodyDiv w:val="1"/>
      <w:marLeft w:val="0"/>
      <w:marRight w:val="0"/>
      <w:marTop w:val="0"/>
      <w:marBottom w:val="0"/>
      <w:divBdr>
        <w:top w:val="none" w:sz="0" w:space="0" w:color="auto"/>
        <w:left w:val="none" w:sz="0" w:space="0" w:color="auto"/>
        <w:bottom w:val="none" w:sz="0" w:space="0" w:color="auto"/>
        <w:right w:val="none" w:sz="0" w:space="0" w:color="auto"/>
      </w:divBdr>
    </w:div>
    <w:div w:id="1875117910">
      <w:bodyDiv w:val="1"/>
      <w:marLeft w:val="0"/>
      <w:marRight w:val="0"/>
      <w:marTop w:val="0"/>
      <w:marBottom w:val="0"/>
      <w:divBdr>
        <w:top w:val="none" w:sz="0" w:space="0" w:color="auto"/>
        <w:left w:val="none" w:sz="0" w:space="0" w:color="auto"/>
        <w:bottom w:val="none" w:sz="0" w:space="0" w:color="auto"/>
        <w:right w:val="none" w:sz="0" w:space="0" w:color="auto"/>
      </w:divBdr>
    </w:div>
    <w:div w:id="1893618283">
      <w:bodyDiv w:val="1"/>
      <w:marLeft w:val="0"/>
      <w:marRight w:val="0"/>
      <w:marTop w:val="0"/>
      <w:marBottom w:val="0"/>
      <w:divBdr>
        <w:top w:val="none" w:sz="0" w:space="0" w:color="auto"/>
        <w:left w:val="none" w:sz="0" w:space="0" w:color="auto"/>
        <w:bottom w:val="none" w:sz="0" w:space="0" w:color="auto"/>
        <w:right w:val="none" w:sz="0" w:space="0" w:color="auto"/>
      </w:divBdr>
    </w:div>
    <w:div w:id="1895433783">
      <w:bodyDiv w:val="1"/>
      <w:marLeft w:val="0"/>
      <w:marRight w:val="0"/>
      <w:marTop w:val="0"/>
      <w:marBottom w:val="0"/>
      <w:divBdr>
        <w:top w:val="none" w:sz="0" w:space="0" w:color="auto"/>
        <w:left w:val="none" w:sz="0" w:space="0" w:color="auto"/>
        <w:bottom w:val="none" w:sz="0" w:space="0" w:color="auto"/>
        <w:right w:val="none" w:sz="0" w:space="0" w:color="auto"/>
      </w:divBdr>
    </w:div>
    <w:div w:id="1900746197">
      <w:bodyDiv w:val="1"/>
      <w:marLeft w:val="0"/>
      <w:marRight w:val="0"/>
      <w:marTop w:val="0"/>
      <w:marBottom w:val="0"/>
      <w:divBdr>
        <w:top w:val="none" w:sz="0" w:space="0" w:color="auto"/>
        <w:left w:val="none" w:sz="0" w:space="0" w:color="auto"/>
        <w:bottom w:val="none" w:sz="0" w:space="0" w:color="auto"/>
        <w:right w:val="none" w:sz="0" w:space="0" w:color="auto"/>
      </w:divBdr>
    </w:div>
    <w:div w:id="1901985901">
      <w:bodyDiv w:val="1"/>
      <w:marLeft w:val="0"/>
      <w:marRight w:val="0"/>
      <w:marTop w:val="0"/>
      <w:marBottom w:val="0"/>
      <w:divBdr>
        <w:top w:val="none" w:sz="0" w:space="0" w:color="auto"/>
        <w:left w:val="none" w:sz="0" w:space="0" w:color="auto"/>
        <w:bottom w:val="none" w:sz="0" w:space="0" w:color="auto"/>
        <w:right w:val="none" w:sz="0" w:space="0" w:color="auto"/>
      </w:divBdr>
    </w:div>
    <w:div w:id="1921719624">
      <w:bodyDiv w:val="1"/>
      <w:marLeft w:val="0"/>
      <w:marRight w:val="0"/>
      <w:marTop w:val="0"/>
      <w:marBottom w:val="0"/>
      <w:divBdr>
        <w:top w:val="none" w:sz="0" w:space="0" w:color="auto"/>
        <w:left w:val="none" w:sz="0" w:space="0" w:color="auto"/>
        <w:bottom w:val="none" w:sz="0" w:space="0" w:color="auto"/>
        <w:right w:val="none" w:sz="0" w:space="0" w:color="auto"/>
      </w:divBdr>
    </w:div>
    <w:div w:id="1922133693">
      <w:bodyDiv w:val="1"/>
      <w:marLeft w:val="0"/>
      <w:marRight w:val="0"/>
      <w:marTop w:val="0"/>
      <w:marBottom w:val="0"/>
      <w:divBdr>
        <w:top w:val="none" w:sz="0" w:space="0" w:color="auto"/>
        <w:left w:val="none" w:sz="0" w:space="0" w:color="auto"/>
        <w:bottom w:val="none" w:sz="0" w:space="0" w:color="auto"/>
        <w:right w:val="none" w:sz="0" w:space="0" w:color="auto"/>
      </w:divBdr>
    </w:div>
    <w:div w:id="1991012071">
      <w:bodyDiv w:val="1"/>
      <w:marLeft w:val="0"/>
      <w:marRight w:val="0"/>
      <w:marTop w:val="0"/>
      <w:marBottom w:val="0"/>
      <w:divBdr>
        <w:top w:val="none" w:sz="0" w:space="0" w:color="auto"/>
        <w:left w:val="none" w:sz="0" w:space="0" w:color="auto"/>
        <w:bottom w:val="none" w:sz="0" w:space="0" w:color="auto"/>
        <w:right w:val="none" w:sz="0" w:space="0" w:color="auto"/>
      </w:divBdr>
    </w:div>
    <w:div w:id="2009408738">
      <w:bodyDiv w:val="1"/>
      <w:marLeft w:val="0"/>
      <w:marRight w:val="0"/>
      <w:marTop w:val="0"/>
      <w:marBottom w:val="0"/>
      <w:divBdr>
        <w:top w:val="none" w:sz="0" w:space="0" w:color="auto"/>
        <w:left w:val="none" w:sz="0" w:space="0" w:color="auto"/>
        <w:bottom w:val="none" w:sz="0" w:space="0" w:color="auto"/>
        <w:right w:val="none" w:sz="0" w:space="0" w:color="auto"/>
      </w:divBdr>
    </w:div>
    <w:div w:id="2034721305">
      <w:bodyDiv w:val="1"/>
      <w:marLeft w:val="0"/>
      <w:marRight w:val="0"/>
      <w:marTop w:val="0"/>
      <w:marBottom w:val="0"/>
      <w:divBdr>
        <w:top w:val="none" w:sz="0" w:space="0" w:color="auto"/>
        <w:left w:val="none" w:sz="0" w:space="0" w:color="auto"/>
        <w:bottom w:val="none" w:sz="0" w:space="0" w:color="auto"/>
        <w:right w:val="none" w:sz="0" w:space="0" w:color="auto"/>
      </w:divBdr>
    </w:div>
    <w:div w:id="2040662012">
      <w:bodyDiv w:val="1"/>
      <w:marLeft w:val="0"/>
      <w:marRight w:val="0"/>
      <w:marTop w:val="0"/>
      <w:marBottom w:val="0"/>
      <w:divBdr>
        <w:top w:val="none" w:sz="0" w:space="0" w:color="auto"/>
        <w:left w:val="none" w:sz="0" w:space="0" w:color="auto"/>
        <w:bottom w:val="none" w:sz="0" w:space="0" w:color="auto"/>
        <w:right w:val="none" w:sz="0" w:space="0" w:color="auto"/>
      </w:divBdr>
    </w:div>
    <w:div w:id="2084569289">
      <w:bodyDiv w:val="1"/>
      <w:marLeft w:val="0"/>
      <w:marRight w:val="0"/>
      <w:marTop w:val="0"/>
      <w:marBottom w:val="0"/>
      <w:divBdr>
        <w:top w:val="none" w:sz="0" w:space="0" w:color="auto"/>
        <w:left w:val="none" w:sz="0" w:space="0" w:color="auto"/>
        <w:bottom w:val="none" w:sz="0" w:space="0" w:color="auto"/>
        <w:right w:val="none" w:sz="0" w:space="0" w:color="auto"/>
      </w:divBdr>
    </w:div>
    <w:div w:id="2100636274">
      <w:bodyDiv w:val="1"/>
      <w:marLeft w:val="0"/>
      <w:marRight w:val="0"/>
      <w:marTop w:val="0"/>
      <w:marBottom w:val="0"/>
      <w:divBdr>
        <w:top w:val="none" w:sz="0" w:space="0" w:color="auto"/>
        <w:left w:val="none" w:sz="0" w:space="0" w:color="auto"/>
        <w:bottom w:val="none" w:sz="0" w:space="0" w:color="auto"/>
        <w:right w:val="none" w:sz="0" w:space="0" w:color="auto"/>
      </w:divBdr>
    </w:div>
    <w:div w:id="2115206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CIS22</b:Tag>
    <b:SourceType>DocumentFromInternetSite</b:SourceType>
    <b:Guid>{E91DE85F-C4AE-4494-A48C-71FBAFDB3610}</b:Guid>
    <b:Title>Zero Trust Maturity Model</b:Title>
    <b:Year>2022</b:Year>
    <b:Author>
      <b:Author>
        <b:Corporate>Cybersecurity and Infrastructure Security Agency</b:Corporate>
      </b:Author>
    </b:Author>
    <b:Month>January</b:Month>
    <b:YearAccessed>2026</b:YearAccessed>
    <b:MonthAccessed>April</b:MonthAccessed>
    <b:URL>https://www.cisa.gov/sites/default/files/2023-04/zero_trust_maturity_model_v2_508.pdf</b:URL>
    <b:RefOrder>1</b:RefOrder>
  </b:Source>
  <b:Source>
    <b:Tag>CIS26</b:Tag>
    <b:SourceType>DocumentFromInternetSite</b:SourceType>
    <b:Guid>{AF33402E-DFD8-4B7D-A317-5838F03DEED9}</b:Guid>
    <b:Author>
      <b:Author>
        <b:Corporate>Cybersecurity and Infrastructure Security Agency</b:Corporate>
      </b:Author>
    </b:Author>
    <b:Title>Known Exploited Vulnerabilities Catalog</b:Title>
    <b:Year>2026</b:Year>
    <b:YearAccessed>2026</b:YearAccessed>
    <b:MonthAccessed>April</b:MonthAccessed>
    <b:URL>https://www.cisa.gov/known-exploited-vulnerabilities-catalog</b:URL>
    <b:RefOrder>3</b:RefOrder>
  </b:Source>
  <b:Source>
    <b:Tag>NIS26</b:Tag>
    <b:SourceType>DocumentFromInternetSite</b:SourceType>
    <b:Guid>{4679DE41-F5DB-471A-AA69-1D591D677B18}</b:Guid>
    <b:Author>
      <b:Author>
        <b:Corporate>National Institute of Standards and Technology</b:Corporate>
      </b:Author>
    </b:Author>
    <b:Title>Cybersecurity Framework</b:Title>
    <b:Year>2026</b:Year>
    <b:Month>February</b:Month>
    <b:Day>26</b:Day>
    <b:YearAccessed>2026</b:YearAccessed>
    <b:MonthAccessed>April</b:MonthAccessed>
    <b:URL>https://nvlpubs.nist.gov/nistpubs/CSWP/NIST.CSWP.29.pdf</b:URL>
    <b:DOI>10.6028/NIST.CSWP.29 </b:DOI>
    <b:RefOrder>2</b:RefOrder>
  </b:Source>
  <b:Source>
    <b:Tag>Ass23</b:Tag>
    <b:SourceType>InternetSite</b:SourceType>
    <b:Guid>{8F150423-E2B4-4B20-989A-52BC177B2E99}</b:Guid>
    <b:Title>Data breach at MGM Resorts expected to cost casino giant $100 million</b:Title>
    <b:Year>2023</b:Year>
    <b:Month>October</b:Month>
    <b:Day>7</b:Day>
    <b:YearAccessed>2026</b:YearAccessed>
    <b:MonthAccessed>May</b:MonthAccessed>
    <b:URL>https://apnews.com/article/mgm-cyberattack-las-vegas-100-million-clorox-087726961b5366065b6231d1d223b4eb</b:URL>
    <b:Author>
      <b:Author>
        <b:Corporate>Associated Press</b:Corporate>
      </b:Author>
    </b:Author>
    <b:PeriodicalTitle>Ap News</b:PeriodicalTitle>
    <b:RefOrder>4</b:RefOrder>
  </b:Source>
  <b:Source>
    <b:Tag>Nat24</b:Tag>
    <b:SourceType>InternetSite</b:SourceType>
    <b:Guid>{10CB255B-362F-4666-BF9E-79DD01849CD4}</b:Guid>
    <b:Author>
      <b:Author>
        <b:Corporate>National Cyber Security Centre</b:Corporate>
      </b:Author>
    </b:Author>
    <b:Title>The near-term impact of AI on the cyber threat</b:Title>
    <b:Year>2024</b:Year>
    <b:Month>January</b:Month>
    <b:Day>24</b:Day>
    <b:YearAccessed>2026</b:YearAccessed>
    <b:MonthAccessed>April</b:MonthAccessed>
    <b:URL>https://www.ncsc.gov.uk/report/impact-of-ai-on-cyber-threat</b:URL>
    <b:RefOrder>7</b:RefOrder>
  </b:Source>
  <b:Source>
    <b:Tag>Nat23</b:Tag>
    <b:SourceType>InternetSite</b:SourceType>
    <b:Guid>{B520298D-F674-465A-B681-DB4BF6DE5918}</b:Guid>
    <b:Author>
      <b:Author>
        <b:Corporate>National Cyber Security Centre</b:Corporate>
      </b:Author>
    </b:Author>
    <b:Title>Supply Chain Cyber Security</b:Title>
    <b:Year>2023</b:Year>
    <b:Month>October</b:Month>
    <b:Day>12</b:Day>
    <b:YearAccessed>2026</b:YearAccessed>
    <b:MonthAccessed>April</b:MonthAccessed>
    <b:URL>https://www.ncsc.gov.uk/collection/supply-chain</b:URL>
    <b:RefOrder>8</b:RefOrder>
  </b:Source>
  <b:Source>
    <b:Tag>Cyb26</b:Tag>
    <b:SourceType>InternetSite</b:SourceType>
    <b:Guid>{FCB000D1-E41F-42FA-BC63-03FEC5038256}</b:Guid>
    <b:Author>
      <b:Author>
        <b:Corporate>Cybersecurity and Infrastructure Security Agency</b:Corporate>
      </b:Author>
    </b:Author>
    <b:Title>Defining Insider Threats</b:Title>
    <b:YearAccessed>2026</b:YearAccessed>
    <b:MonthAccessed>Apr.</b:MonthAccessed>
    <b:URL>https://www.cisa.gov/topics/physical-security/insider-threat-mitigation/defining-insider-threats</b:URL>
    <b:RefOrder>9</b:RefOrder>
  </b:Source>
  <b:Source>
    <b:Tag>Nat231</b:Tag>
    <b:SourceType>DocumentFromInternetSite</b:SourceType>
    <b:Guid>{0FE4F3AB-93A2-418F-84D1-BF1C03836F05}</b:Guid>
    <b:Title>Guidelines for Managing the Security of Mobile Devices in the Enterprise</b:Title>
    <b:Year>2023</b:Year>
    <b:Month>May</b:Month>
    <b:YearAccessed>2026</b:YearAccessed>
    <b:MonthAccessed>May</b:MonthAccessed>
    <b:URL>https://nvlpubs.nist.gov/nistpubs/SpecialPublications/NIST.SP.800-124r2.pdf</b:URL>
    <b:Author>
      <b:Author>
        <b:Corporate>National Institute of Standards and Technology</b:Corporate>
      </b:Author>
    </b:Author>
    <b:InternetSiteTitle>The Computer Security Resource Center</b:InternetSiteTitle>
    <b:DOI>10.6028/NIST.SP.800-124r2</b:DOI>
    <b:JournalName>NIST SP 800-124</b:JournalName>
    <b:RefOrder>10</b:RefOrder>
  </b:Source>
  <b:Source>
    <b:Tag>ANe25</b:Tag>
    <b:SourceType>InternetSite</b:SourceType>
    <b:Guid>{11372DE1-710A-4B30-94CC-872FEBBA48F0}</b:Guid>
    <b:Author>
      <b:Author>
        <b:NameList>
          <b:Person>
            <b:Last>A. Nelson</b:Last>
            <b:First>S.</b:First>
            <b:Middle>Rekhi, M. Souppaya, and K. Scarfone,</b:Middle>
          </b:Person>
        </b:NameList>
      </b:Author>
    </b:Author>
    <b:Title>Incident Response Recommendations and Considerations for Cybersecurity Risk Management: A CSF 2.0 Community Profile</b:Title>
    <b:Year>2025</b:Year>
    <b:Month>April</b:Month>
    <b:URL>https://csrc.nist.gov/pubs/sp/800/61/r3/final</b:URL>
    <b:ProductionCompany>National Institute of Standards and Technology</b:ProductionCompany>
    <b:RefOrder>12</b:RefOrder>
  </b:Source>
  <b:Source>
    <b:Tag>Cyb20</b:Tag>
    <b:SourceType>InternetSite</b:SourceType>
    <b:Guid>{879B3EA7-409D-46CE-9909-579127E13AB6}</b:Guid>
    <b:Author>
      <b:Author>
        <b:Corporate>Cybersecurity and Infrastructure Security Agency and Multi-State Information Sharing and Analysis Center</b:Corporate>
      </b:Author>
    </b:Author>
    <b:Title>Ransomware Guide</b:Title>
    <b:Year>2020</b:Year>
    <b:YearAccessed>2026</b:YearAccessed>
    <b:MonthAccessed>April</b:MonthAccessed>
    <b:URL>https://www.cisa.gov/sites/default/files/publications/CISA_MS-ISAC_Ransomware%20Guide_S508C.pdf</b:URL>
    <b:RefOrder>11</b:RefOrder>
  </b:Source>
  <b:Source>
    <b:Tag>Nat241</b:Tag>
    <b:SourceType>InternetSite</b:SourceType>
    <b:Guid>{25370509-82B7-446F-BA6A-54DD1F5C9268}</b:Guid>
    <b:Author>
      <b:Author>
        <b:Corporate>National Crime Agency</b:Corporate>
      </b:Author>
    </b:Author>
    <b:Title>The NCA announces the disruption of LockBit with Operation Cronos</b:Title>
    <b:ProductionCompany>National Crime Agency</b:ProductionCompany>
    <b:Year>2024</b:Year>
    <b:Month>February</b:Month>
    <b:YearAccessed>2026</b:YearAccessed>
    <b:MonthAccessed>May</b:MonthAccessed>
    <b:URL>https://www.nationalcrimeagency.gov.uk/the-nca-announces-the-disruption-of-lockbit-with-operation-cronos</b:URL>
    <b:RefOrder>5</b:RefOrder>
  </b:Source>
  <b:Source>
    <b:Tag>Fed26</b:Tag>
    <b:SourceType>InternetSite</b:SourceType>
    <b:Guid>{3B620C38-6BED-4735-8AC9-1EA6F3527A47}</b:Guid>
    <b:Author>
      <b:Author>
        <b:Corporate>Federal Bureau of Investigation</b:Corporate>
      </b:Author>
    </b:Author>
    <b:Title>Business Email Compromise</b:Title>
    <b:ProductionCompany>Federal Bureau of Investigation</b:ProductionCompany>
    <b:YearAccessed>2026</b:YearAccessed>
    <b:MonthAccessed>April</b:MonthAccessed>
    <b:URL>https://www.fbi.gov/how-we-can-help-you/scams-and-safety/common-frauds-and-scams/business-email-compromise</b:URL>
    <b:RefOrder>6</b:RefOrder>
  </b:Source>
</b:Sources>
</file>

<file path=customXml/itemProps1.xml><?xml version="1.0" encoding="utf-8"?>
<ds:datastoreItem xmlns:ds="http://schemas.openxmlformats.org/officeDocument/2006/customXml" ds:itemID="{336DA89F-B013-410E-90C1-371FF8C9D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13</Pages>
  <Words>2705</Words>
  <Characters>15420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Razoare (1810652)</dc:creator>
  <cp:keywords/>
  <dc:description/>
  <cp:lastModifiedBy>George Razoare (1810652)</cp:lastModifiedBy>
  <cp:revision>127</cp:revision>
  <dcterms:created xsi:type="dcterms:W3CDTF">2026-05-14T16:32:00Z</dcterms:created>
  <dcterms:modified xsi:type="dcterms:W3CDTF">2026-05-15T10:55:00Z</dcterms:modified>
</cp:coreProperties>
</file>