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18559111"/>
        <w:docPartObj>
          <w:docPartGallery w:val="Cover Pages"/>
          <w:docPartUnique/>
        </w:docPartObj>
      </w:sdtPr>
      <w:sdtEndPr>
        <w:rPr>
          <w:rFonts w:ascii="Times New Roman" w:eastAsia="Times New Roman" w:hAnsi="Times New Roman" w:cs="Times New Roman"/>
          <w:b/>
          <w:bCs/>
          <w:kern w:val="0"/>
          <w:sz w:val="36"/>
          <w:szCs w:val="36"/>
          <w:lang w:eastAsia="en-GB"/>
          <w14:ligatures w14:val="none"/>
        </w:rPr>
      </w:sdtEndPr>
      <w:sdtContent>
        <w:p w14:paraId="5526B7AC" w14:textId="0D97BE75" w:rsidR="009A7C58" w:rsidRDefault="009A7C58">
          <w:r>
            <w:rPr>
              <w:noProof/>
            </w:rPr>
            <mc:AlternateContent>
              <mc:Choice Requires="wpg">
                <w:drawing>
                  <wp:anchor distT="0" distB="0" distL="114300" distR="114300" simplePos="0" relativeHeight="251662336" behindDoc="0" locked="0" layoutInCell="1" allowOverlap="1" wp14:anchorId="496111A8" wp14:editId="2BEF418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B3B94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F6D7BDD" wp14:editId="5F6481F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88F9D" w14:textId="16468104" w:rsidR="009A7C58" w:rsidRDefault="00836F9C" w:rsidP="0002426F">
                                <w:pPr>
                                  <w:pStyle w:val="NoSpacing"/>
                                  <w:jc w:val="right"/>
                                  <w:rPr>
                                    <w:color w:val="156082" w:themeColor="accent1"/>
                                    <w:sz w:val="28"/>
                                    <w:szCs w:val="28"/>
                                  </w:rPr>
                                </w:pPr>
                                <w:r>
                                  <w:rPr>
                                    <w:color w:val="156082" w:themeColor="accent1"/>
                                    <w:sz w:val="28"/>
                                    <w:szCs w:val="28"/>
                                  </w:rPr>
                                  <w:t>Name:</w:t>
                                </w:r>
                                <w:r w:rsidR="00233FD1">
                                  <w:rPr>
                                    <w:color w:val="156082" w:themeColor="accent1"/>
                                    <w:sz w:val="28"/>
                                    <w:szCs w:val="28"/>
                                  </w:rPr>
                                  <w:t xml:space="preserve"> </w:t>
                                </w:r>
                                <w:r w:rsidR="007F3522">
                                  <w:rPr>
                                    <w:color w:val="156082" w:themeColor="accent1"/>
                                    <w:sz w:val="28"/>
                                    <w:szCs w:val="28"/>
                                  </w:rPr>
                                  <w:t xml:space="preserve">Angela Vicente Furtado Dias </w:t>
                                </w:r>
                              </w:p>
                              <w:p w14:paraId="66339D14" w14:textId="28437E51" w:rsidR="00836F9C" w:rsidRDefault="00836F9C" w:rsidP="0002426F">
                                <w:pPr>
                                  <w:pStyle w:val="NoSpacing"/>
                                  <w:jc w:val="right"/>
                                  <w:rPr>
                                    <w:color w:val="156082" w:themeColor="accent1"/>
                                    <w:sz w:val="28"/>
                                    <w:szCs w:val="28"/>
                                  </w:rPr>
                                </w:pPr>
                                <w:r>
                                  <w:rPr>
                                    <w:color w:val="156082" w:themeColor="accent1"/>
                                    <w:sz w:val="28"/>
                                    <w:szCs w:val="28"/>
                                  </w:rPr>
                                  <w:t>Student number:</w:t>
                                </w:r>
                                <w:r w:rsidR="0027113E">
                                  <w:rPr>
                                    <w:color w:val="156082" w:themeColor="accent1"/>
                                    <w:sz w:val="28"/>
                                    <w:szCs w:val="28"/>
                                  </w:rPr>
                                  <w:t>2413809</w:t>
                                </w:r>
                              </w:p>
                              <w:p w14:paraId="1DD480D7" w14:textId="6FD4D704" w:rsidR="00836F9C" w:rsidRDefault="00DC3916" w:rsidP="0002426F">
                                <w:pPr>
                                  <w:pStyle w:val="NoSpacing"/>
                                  <w:jc w:val="right"/>
                                  <w:rPr>
                                    <w:color w:val="156082" w:themeColor="accent1"/>
                                    <w:sz w:val="28"/>
                                    <w:szCs w:val="28"/>
                                  </w:rPr>
                                </w:pPr>
                                <w:r>
                                  <w:rPr>
                                    <w:color w:val="156082" w:themeColor="accent1"/>
                                    <w:sz w:val="28"/>
                                    <w:szCs w:val="28"/>
                                  </w:rPr>
                                  <w:t>Module Name and code:</w:t>
                                </w:r>
                                <w:r w:rsidR="0027113E">
                                  <w:rPr>
                                    <w:color w:val="156082" w:themeColor="accent1"/>
                                    <w:sz w:val="28"/>
                                    <w:szCs w:val="28"/>
                                  </w:rPr>
                                  <w:t xml:space="preserve"> Development and Managing Individuals and Teams</w:t>
                                </w:r>
                                <w:r w:rsidR="0065792F">
                                  <w:rPr>
                                    <w:color w:val="156082" w:themeColor="accent1"/>
                                    <w:sz w:val="28"/>
                                    <w:szCs w:val="28"/>
                                  </w:rPr>
                                  <w:t xml:space="preserve"> (LCLM5002)</w:t>
                                </w:r>
                              </w:p>
                              <w:p w14:paraId="468883B2" w14:textId="67558BCE" w:rsidR="00DC3916" w:rsidRPr="0002426F" w:rsidRDefault="007F3522" w:rsidP="0002426F">
                                <w:pPr>
                                  <w:pStyle w:val="NoSpacing"/>
                                  <w:jc w:val="right"/>
                                  <w:rPr>
                                    <w:color w:val="156082" w:themeColor="accent1"/>
                                    <w:sz w:val="28"/>
                                    <w:szCs w:val="28"/>
                                  </w:rPr>
                                </w:pPr>
                                <w:r>
                                  <w:rPr>
                                    <w:color w:val="156082" w:themeColor="accent1"/>
                                    <w:sz w:val="28"/>
                                    <w:szCs w:val="28"/>
                                  </w:rPr>
                                  <w:t>Lecture:</w:t>
                                </w:r>
                                <w:r w:rsidR="0065792F">
                                  <w:rPr>
                                    <w:color w:val="156082" w:themeColor="accent1"/>
                                    <w:sz w:val="28"/>
                                    <w:szCs w:val="28"/>
                                  </w:rPr>
                                  <w:t xml:space="preserve"> Amir Kareem</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F6D7BDD"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E688F9D" w14:textId="16468104" w:rsidR="009A7C58" w:rsidRDefault="00836F9C" w:rsidP="0002426F">
                          <w:pPr>
                            <w:pStyle w:val="NoSpacing"/>
                            <w:jc w:val="right"/>
                            <w:rPr>
                              <w:color w:val="156082" w:themeColor="accent1"/>
                              <w:sz w:val="28"/>
                              <w:szCs w:val="28"/>
                            </w:rPr>
                          </w:pPr>
                          <w:r>
                            <w:rPr>
                              <w:color w:val="156082" w:themeColor="accent1"/>
                              <w:sz w:val="28"/>
                              <w:szCs w:val="28"/>
                            </w:rPr>
                            <w:t>Name:</w:t>
                          </w:r>
                          <w:r w:rsidR="00233FD1">
                            <w:rPr>
                              <w:color w:val="156082" w:themeColor="accent1"/>
                              <w:sz w:val="28"/>
                              <w:szCs w:val="28"/>
                            </w:rPr>
                            <w:t xml:space="preserve"> </w:t>
                          </w:r>
                          <w:r w:rsidR="007F3522">
                            <w:rPr>
                              <w:color w:val="156082" w:themeColor="accent1"/>
                              <w:sz w:val="28"/>
                              <w:szCs w:val="28"/>
                            </w:rPr>
                            <w:t xml:space="preserve">Angela Vicente Furtado Dias </w:t>
                          </w:r>
                        </w:p>
                        <w:p w14:paraId="66339D14" w14:textId="28437E51" w:rsidR="00836F9C" w:rsidRDefault="00836F9C" w:rsidP="0002426F">
                          <w:pPr>
                            <w:pStyle w:val="NoSpacing"/>
                            <w:jc w:val="right"/>
                            <w:rPr>
                              <w:color w:val="156082" w:themeColor="accent1"/>
                              <w:sz w:val="28"/>
                              <w:szCs w:val="28"/>
                            </w:rPr>
                          </w:pPr>
                          <w:r>
                            <w:rPr>
                              <w:color w:val="156082" w:themeColor="accent1"/>
                              <w:sz w:val="28"/>
                              <w:szCs w:val="28"/>
                            </w:rPr>
                            <w:t>Student number:</w:t>
                          </w:r>
                          <w:r w:rsidR="0027113E">
                            <w:rPr>
                              <w:color w:val="156082" w:themeColor="accent1"/>
                              <w:sz w:val="28"/>
                              <w:szCs w:val="28"/>
                            </w:rPr>
                            <w:t>2413809</w:t>
                          </w:r>
                        </w:p>
                        <w:p w14:paraId="1DD480D7" w14:textId="6FD4D704" w:rsidR="00836F9C" w:rsidRDefault="00DC3916" w:rsidP="0002426F">
                          <w:pPr>
                            <w:pStyle w:val="NoSpacing"/>
                            <w:jc w:val="right"/>
                            <w:rPr>
                              <w:color w:val="156082" w:themeColor="accent1"/>
                              <w:sz w:val="28"/>
                              <w:szCs w:val="28"/>
                            </w:rPr>
                          </w:pPr>
                          <w:r>
                            <w:rPr>
                              <w:color w:val="156082" w:themeColor="accent1"/>
                              <w:sz w:val="28"/>
                              <w:szCs w:val="28"/>
                            </w:rPr>
                            <w:t>Module Name and code:</w:t>
                          </w:r>
                          <w:r w:rsidR="0027113E">
                            <w:rPr>
                              <w:color w:val="156082" w:themeColor="accent1"/>
                              <w:sz w:val="28"/>
                              <w:szCs w:val="28"/>
                            </w:rPr>
                            <w:t xml:space="preserve"> Development and Managing Individuals and Teams</w:t>
                          </w:r>
                          <w:r w:rsidR="0065792F">
                            <w:rPr>
                              <w:color w:val="156082" w:themeColor="accent1"/>
                              <w:sz w:val="28"/>
                              <w:szCs w:val="28"/>
                            </w:rPr>
                            <w:t xml:space="preserve"> (LCLM5002)</w:t>
                          </w:r>
                        </w:p>
                        <w:p w14:paraId="468883B2" w14:textId="67558BCE" w:rsidR="00DC3916" w:rsidRPr="0002426F" w:rsidRDefault="007F3522" w:rsidP="0002426F">
                          <w:pPr>
                            <w:pStyle w:val="NoSpacing"/>
                            <w:jc w:val="right"/>
                            <w:rPr>
                              <w:color w:val="156082" w:themeColor="accent1"/>
                              <w:sz w:val="28"/>
                              <w:szCs w:val="28"/>
                            </w:rPr>
                          </w:pPr>
                          <w:r>
                            <w:rPr>
                              <w:color w:val="156082" w:themeColor="accent1"/>
                              <w:sz w:val="28"/>
                              <w:szCs w:val="28"/>
                            </w:rPr>
                            <w:t>Lecture:</w:t>
                          </w:r>
                          <w:r w:rsidR="0065792F">
                            <w:rPr>
                              <w:color w:val="156082" w:themeColor="accent1"/>
                              <w:sz w:val="28"/>
                              <w:szCs w:val="28"/>
                            </w:rPr>
                            <w:t xml:space="preserve"> Amir Kareem</w:t>
                          </w:r>
                        </w:p>
                      </w:txbxContent>
                    </v:textbox>
                    <w10:wrap type="square" anchorx="page" anchory="page"/>
                  </v:shape>
                </w:pict>
              </mc:Fallback>
            </mc:AlternateContent>
          </w:r>
        </w:p>
        <w:p w14:paraId="08D9CF82" w14:textId="77777777" w:rsidR="00CD6693" w:rsidRDefault="00F21C5E" w:rsidP="00645A18">
          <w:pPr>
            <w:rPr>
              <w:rFonts w:ascii="Times New Roman" w:eastAsia="Times New Roman" w:hAnsi="Times New Roman" w:cs="Times New Roman"/>
              <w:b/>
              <w:bCs/>
              <w:kern w:val="0"/>
              <w:sz w:val="36"/>
              <w:szCs w:val="36"/>
              <w:lang w:eastAsia="en-GB"/>
              <w14:ligatures w14:val="none"/>
            </w:rPr>
          </w:pPr>
          <w:r>
            <w:rPr>
              <w:noProof/>
            </w:rPr>
            <mc:AlternateContent>
              <mc:Choice Requires="wps">
                <w:drawing>
                  <wp:anchor distT="0" distB="0" distL="114300" distR="114300" simplePos="0" relativeHeight="251659264" behindDoc="0" locked="0" layoutInCell="1" allowOverlap="1" wp14:anchorId="0D2C4F6E" wp14:editId="1ED9490D">
                    <wp:simplePos x="0" y="0"/>
                    <wp:positionH relativeFrom="margin">
                      <wp:align>center</wp:align>
                    </wp:positionH>
                    <wp:positionV relativeFrom="page">
                      <wp:posOffset>1778635</wp:posOffset>
                    </wp:positionV>
                    <wp:extent cx="7315200" cy="2733675"/>
                    <wp:effectExtent l="0" t="0" r="0" b="952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733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ED119" w14:textId="77777777" w:rsidR="00285FE3" w:rsidRPr="00513DB7" w:rsidRDefault="00000000" w:rsidP="00285FE3">
                                <w:pPr>
                                  <w:spacing w:before="100" w:beforeAutospacing="1" w:after="100" w:afterAutospacing="1" w:line="240" w:lineRule="auto"/>
                                  <w:rPr>
                                    <w:rFonts w:ascii="Arial font" w:eastAsia="Times New Roman" w:hAnsi="Arial font" w:cs="Times New Roman"/>
                                    <w:kern w:val="0"/>
                                    <w:sz w:val="48"/>
                                    <w:szCs w:val="48"/>
                                    <w:lang w:eastAsia="en-GB"/>
                                    <w14:ligatures w14:val="none"/>
                                  </w:rPr>
                                </w:pPr>
                                <w:sdt>
                                  <w:sdtPr>
                                    <w:rPr>
                                      <w:rFonts w:ascii="Arial font" w:hAnsi="Arial font"/>
                                      <w:caps/>
                                      <w:color w:val="156082" w:themeColor="accent1"/>
                                      <w:sz w:val="48"/>
                                      <w:szCs w:val="48"/>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1C5E" w:rsidRPr="00513DB7">
                                      <w:rPr>
                                        <w:rFonts w:ascii="Arial font" w:hAnsi="Arial font"/>
                                        <w:caps/>
                                        <w:color w:val="156082" w:themeColor="accent1"/>
                                        <w:sz w:val="48"/>
                                        <w:szCs w:val="48"/>
                                      </w:rPr>
                                      <w:t xml:space="preserve">     </w:t>
                                    </w:r>
                                  </w:sdtContent>
                                </w:sdt>
                                <w:r w:rsidR="00F21C5E" w:rsidRPr="00513DB7">
                                  <w:rPr>
                                    <w:rFonts w:ascii="Arial font" w:eastAsia="Times New Roman" w:hAnsi="Arial font" w:cs="Times New Roman"/>
                                    <w:b/>
                                    <w:bCs/>
                                    <w:kern w:val="36"/>
                                    <w:sz w:val="48"/>
                                    <w:szCs w:val="48"/>
                                    <w:lang w:eastAsia="en-GB"/>
                                    <w14:ligatures w14:val="none"/>
                                  </w:rPr>
                                  <w:t xml:space="preserve"> </w:t>
                                </w:r>
                                <w:r w:rsidR="00285FE3" w:rsidRPr="00513DB7">
                                  <w:rPr>
                                    <w:rFonts w:ascii="Arial font" w:eastAsia="Times New Roman" w:hAnsi="Arial font" w:cs="Times New Roman"/>
                                    <w:b/>
                                    <w:bCs/>
                                    <w:kern w:val="0"/>
                                    <w:sz w:val="48"/>
                                    <w:szCs w:val="48"/>
                                    <w:lang w:eastAsia="en-GB"/>
                                    <w14:ligatures w14:val="none"/>
                                  </w:rPr>
                                  <w:t>HR Report</w:t>
                                </w:r>
                                <w:r w:rsidR="00285FE3" w:rsidRPr="00513DB7">
                                  <w:rPr>
                                    <w:rFonts w:ascii="Arial font" w:eastAsia="Times New Roman" w:hAnsi="Arial font" w:cs="Times New Roman"/>
                                    <w:kern w:val="0"/>
                                    <w:sz w:val="48"/>
                                    <w:szCs w:val="48"/>
                                    <w:lang w:eastAsia="en-GB"/>
                                    <w14:ligatures w14:val="none"/>
                                  </w:rPr>
                                  <w:br/>
                                </w:r>
                                <w:r w:rsidR="00285FE3" w:rsidRPr="00513DB7">
                                  <w:rPr>
                                    <w:rFonts w:ascii="Arial font" w:eastAsia="Times New Roman" w:hAnsi="Arial font" w:cs="Times New Roman"/>
                                    <w:b/>
                                    <w:bCs/>
                                    <w:kern w:val="0"/>
                                    <w:sz w:val="48"/>
                                    <w:szCs w:val="48"/>
                                    <w:lang w:eastAsia="en-GB"/>
                                    <w14:ligatures w14:val="none"/>
                                  </w:rPr>
                                  <w:t>Addressing Business Transformation, Digital Technology Trends and Flexible Working Arrangements</w:t>
                                </w:r>
                                <w:r w:rsidR="00285FE3" w:rsidRPr="00513DB7">
                                  <w:rPr>
                                    <w:rFonts w:ascii="Arial font" w:eastAsia="Times New Roman" w:hAnsi="Arial font" w:cs="Times New Roman"/>
                                    <w:kern w:val="0"/>
                                    <w:sz w:val="48"/>
                                    <w:szCs w:val="48"/>
                                    <w:lang w:eastAsia="en-GB"/>
                                    <w14:ligatures w14:val="none"/>
                                  </w:rPr>
                                  <w:br/>
                                </w:r>
                                <w:r w:rsidR="00285FE3" w:rsidRPr="00513DB7">
                                  <w:rPr>
                                    <w:rFonts w:ascii="Arial font" w:eastAsia="Times New Roman" w:hAnsi="Arial font" w:cs="Times New Roman"/>
                                    <w:b/>
                                    <w:bCs/>
                                    <w:kern w:val="0"/>
                                    <w:sz w:val="48"/>
                                    <w:szCs w:val="48"/>
                                    <w:lang w:eastAsia="en-GB"/>
                                    <w14:ligatures w14:val="none"/>
                                  </w:rPr>
                                  <w:t>at Birmingham Transformation Solutions Ltd (BTSL)</w:t>
                                </w:r>
                              </w:p>
                              <w:p w14:paraId="409E36D2" w14:textId="488882B3" w:rsidR="00F21C5E" w:rsidRPr="00F21C5E" w:rsidRDefault="00F21C5E" w:rsidP="00F21C5E">
                                <w:pPr>
                                  <w:rPr>
                                    <w:rFonts w:ascii="Times New Roman" w:eastAsia="Times New Roman" w:hAnsi="Times New Roman" w:cs="Times New Roman"/>
                                    <w:b/>
                                    <w:bCs/>
                                    <w:kern w:val="0"/>
                                    <w:sz w:val="36"/>
                                    <w:szCs w:val="36"/>
                                    <w:lang w:eastAsia="en-GB"/>
                                    <w14:ligatures w14:val="none"/>
                                  </w:rPr>
                                </w:pPr>
                              </w:p>
                              <w:p w14:paraId="2F39B698" w14:textId="10A9F8F9" w:rsidR="009A7C58" w:rsidRDefault="009A7C58">
                                <w:pPr>
                                  <w:jc w:val="right"/>
                                  <w:rPr>
                                    <w:color w:val="156082"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41EA86E" w14:textId="23F08D83" w:rsidR="009A7C58" w:rsidRDefault="00F21C5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D2C4F6E" id="Text Box 163" o:spid="_x0000_s1027" type="#_x0000_t202" style="position:absolute;margin-left:0;margin-top:140.05pt;width:8in;height:215.2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" filled="f" stroked="f" strokeweight=".5pt">
                    <v:textbox inset="126pt,0,54pt,0">
                      <w:txbxContent>
                        <w:p w14:paraId="585ED119" w14:textId="77777777" w:rsidR="00285FE3" w:rsidRPr="00513DB7" w:rsidRDefault="00000000" w:rsidP="00285FE3">
                          <w:pPr>
                            <w:spacing w:before="100" w:beforeAutospacing="1" w:after="100" w:afterAutospacing="1" w:line="240" w:lineRule="auto"/>
                            <w:rPr>
                              <w:rFonts w:ascii="Arial font" w:eastAsia="Times New Roman" w:hAnsi="Arial font" w:cs="Times New Roman"/>
                              <w:kern w:val="0"/>
                              <w:sz w:val="48"/>
                              <w:szCs w:val="48"/>
                              <w:lang w:eastAsia="en-GB"/>
                              <w14:ligatures w14:val="none"/>
                            </w:rPr>
                          </w:pPr>
                          <w:sdt>
                            <w:sdtPr>
                              <w:rPr>
                                <w:rFonts w:ascii="Arial font" w:hAnsi="Arial font"/>
                                <w:caps/>
                                <w:color w:val="156082" w:themeColor="accent1"/>
                                <w:sz w:val="48"/>
                                <w:szCs w:val="48"/>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1C5E" w:rsidRPr="00513DB7">
                                <w:rPr>
                                  <w:rFonts w:ascii="Arial font" w:hAnsi="Arial font"/>
                                  <w:caps/>
                                  <w:color w:val="156082" w:themeColor="accent1"/>
                                  <w:sz w:val="48"/>
                                  <w:szCs w:val="48"/>
                                </w:rPr>
                                <w:t xml:space="preserve">     </w:t>
                              </w:r>
                            </w:sdtContent>
                          </w:sdt>
                          <w:r w:rsidR="00F21C5E" w:rsidRPr="00513DB7">
                            <w:rPr>
                              <w:rFonts w:ascii="Arial font" w:eastAsia="Times New Roman" w:hAnsi="Arial font" w:cs="Times New Roman"/>
                              <w:b/>
                              <w:bCs/>
                              <w:kern w:val="36"/>
                              <w:sz w:val="48"/>
                              <w:szCs w:val="48"/>
                              <w:lang w:eastAsia="en-GB"/>
                              <w14:ligatures w14:val="none"/>
                            </w:rPr>
                            <w:t xml:space="preserve"> </w:t>
                          </w:r>
                          <w:r w:rsidR="00285FE3" w:rsidRPr="00513DB7">
                            <w:rPr>
                              <w:rFonts w:ascii="Arial font" w:eastAsia="Times New Roman" w:hAnsi="Arial font" w:cs="Times New Roman"/>
                              <w:b/>
                              <w:bCs/>
                              <w:kern w:val="0"/>
                              <w:sz w:val="48"/>
                              <w:szCs w:val="48"/>
                              <w:lang w:eastAsia="en-GB"/>
                              <w14:ligatures w14:val="none"/>
                            </w:rPr>
                            <w:t>HR Report</w:t>
                          </w:r>
                          <w:r w:rsidR="00285FE3" w:rsidRPr="00513DB7">
                            <w:rPr>
                              <w:rFonts w:ascii="Arial font" w:eastAsia="Times New Roman" w:hAnsi="Arial font" w:cs="Times New Roman"/>
                              <w:kern w:val="0"/>
                              <w:sz w:val="48"/>
                              <w:szCs w:val="48"/>
                              <w:lang w:eastAsia="en-GB"/>
                              <w14:ligatures w14:val="none"/>
                            </w:rPr>
                            <w:br/>
                          </w:r>
                          <w:r w:rsidR="00285FE3" w:rsidRPr="00513DB7">
                            <w:rPr>
                              <w:rFonts w:ascii="Arial font" w:eastAsia="Times New Roman" w:hAnsi="Arial font" w:cs="Times New Roman"/>
                              <w:b/>
                              <w:bCs/>
                              <w:kern w:val="0"/>
                              <w:sz w:val="48"/>
                              <w:szCs w:val="48"/>
                              <w:lang w:eastAsia="en-GB"/>
                              <w14:ligatures w14:val="none"/>
                            </w:rPr>
                            <w:t>Addressing Business Transformation, Digital Technology Trends and Flexible Working Arrangements</w:t>
                          </w:r>
                          <w:r w:rsidR="00285FE3" w:rsidRPr="00513DB7">
                            <w:rPr>
                              <w:rFonts w:ascii="Arial font" w:eastAsia="Times New Roman" w:hAnsi="Arial font" w:cs="Times New Roman"/>
                              <w:kern w:val="0"/>
                              <w:sz w:val="48"/>
                              <w:szCs w:val="48"/>
                              <w:lang w:eastAsia="en-GB"/>
                              <w14:ligatures w14:val="none"/>
                            </w:rPr>
                            <w:br/>
                          </w:r>
                          <w:r w:rsidR="00285FE3" w:rsidRPr="00513DB7">
                            <w:rPr>
                              <w:rFonts w:ascii="Arial font" w:eastAsia="Times New Roman" w:hAnsi="Arial font" w:cs="Times New Roman"/>
                              <w:b/>
                              <w:bCs/>
                              <w:kern w:val="0"/>
                              <w:sz w:val="48"/>
                              <w:szCs w:val="48"/>
                              <w:lang w:eastAsia="en-GB"/>
                              <w14:ligatures w14:val="none"/>
                            </w:rPr>
                            <w:t>at Birmingham Transformation Solutions Ltd (BTSL)</w:t>
                          </w:r>
                        </w:p>
                        <w:p w14:paraId="409E36D2" w14:textId="488882B3" w:rsidR="00F21C5E" w:rsidRPr="00F21C5E" w:rsidRDefault="00F21C5E" w:rsidP="00F21C5E">
                          <w:pPr>
                            <w:rPr>
                              <w:rFonts w:ascii="Times New Roman" w:eastAsia="Times New Roman" w:hAnsi="Times New Roman" w:cs="Times New Roman"/>
                              <w:b/>
                              <w:bCs/>
                              <w:kern w:val="0"/>
                              <w:sz w:val="36"/>
                              <w:szCs w:val="36"/>
                              <w:lang w:eastAsia="en-GB"/>
                              <w14:ligatures w14:val="none"/>
                            </w:rPr>
                          </w:pPr>
                        </w:p>
                        <w:p w14:paraId="2F39B698" w14:textId="10A9F8F9" w:rsidR="009A7C58" w:rsidRDefault="009A7C58">
                          <w:pPr>
                            <w:jc w:val="right"/>
                            <w:rPr>
                              <w:color w:val="156082"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41EA86E" w14:textId="23F08D83" w:rsidR="009A7C58" w:rsidRDefault="00F21C5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9A7C58">
            <w:rPr>
              <w:rFonts w:ascii="Times New Roman" w:eastAsia="Times New Roman" w:hAnsi="Times New Roman" w:cs="Times New Roman"/>
              <w:b/>
              <w:bCs/>
              <w:kern w:val="0"/>
              <w:sz w:val="36"/>
              <w:szCs w:val="36"/>
              <w:lang w:eastAsia="en-GB"/>
              <w14:ligatures w14:val="none"/>
            </w:rPr>
            <w:br w:type="page"/>
          </w:r>
        </w:p>
      </w:sdtContent>
    </w:sdt>
    <w:p w14:paraId="1E0FCAF4" w14:textId="6385389D" w:rsidR="00FB1308" w:rsidRPr="00645A18" w:rsidRDefault="00FB1308" w:rsidP="00645A18">
      <w:pPr>
        <w:rPr>
          <w:rFonts w:ascii="Times New Roman" w:eastAsia="Times New Roman" w:hAnsi="Times New Roman" w:cs="Times New Roman"/>
          <w:b/>
          <w:bCs/>
          <w:kern w:val="0"/>
          <w:sz w:val="36"/>
          <w:szCs w:val="36"/>
          <w:lang w:eastAsia="en-GB"/>
          <w14:ligatures w14:val="none"/>
        </w:rPr>
      </w:pPr>
      <w:r w:rsidRPr="0002426F">
        <w:rPr>
          <w:rFonts w:ascii="Arial font" w:eastAsia="Times New Roman" w:hAnsi="Arial font" w:cs="Times New Roman"/>
          <w:b/>
          <w:bCs/>
          <w:kern w:val="0"/>
          <w:sz w:val="22"/>
          <w:szCs w:val="22"/>
          <w:lang w:eastAsia="en-GB"/>
          <w14:ligatures w14:val="none"/>
        </w:rPr>
        <w:lastRenderedPageBreak/>
        <w:t>Table of Contents</w:t>
      </w:r>
    </w:p>
    <w:p w14:paraId="0260C096" w14:textId="77CEA62C" w:rsidR="00FB1308" w:rsidRPr="0002426F" w:rsidRDefault="00FB1308" w:rsidP="00FB1308">
      <w:pPr>
        <w:spacing w:after="0" w:line="240" w:lineRule="auto"/>
        <w:rPr>
          <w:rFonts w:ascii="Arial font" w:eastAsia="Times New Roman" w:hAnsi="Arial font" w:cs="Times New Roman"/>
          <w:kern w:val="0"/>
          <w:sz w:val="22"/>
          <w:szCs w:val="22"/>
          <w:lang w:eastAsia="en-GB"/>
          <w14:ligatures w14:val="none"/>
        </w:rPr>
      </w:pPr>
    </w:p>
    <w:tbl>
      <w:tblPr>
        <w:tblpPr w:leftFromText="180" w:rightFromText="180" w:vertAnchor="page" w:horzAnchor="margin" w:tblpY="2596"/>
        <w:tblW w:w="9594" w:type="dxa"/>
        <w:tblCellSpacing w:w="15" w:type="dxa"/>
        <w:tblCellMar>
          <w:top w:w="15" w:type="dxa"/>
          <w:left w:w="15" w:type="dxa"/>
          <w:bottom w:w="15" w:type="dxa"/>
          <w:right w:w="15" w:type="dxa"/>
        </w:tblCellMar>
        <w:tblLook w:val="04A0" w:firstRow="1" w:lastRow="0" w:firstColumn="1" w:lastColumn="0" w:noHBand="0" w:noVBand="1"/>
      </w:tblPr>
      <w:tblGrid>
        <w:gridCol w:w="8993"/>
        <w:gridCol w:w="601"/>
      </w:tblGrid>
      <w:tr w:rsidR="008C56E9" w:rsidRPr="0002426F" w14:paraId="4328B653" w14:textId="77777777" w:rsidTr="00881CF3">
        <w:trPr>
          <w:trHeight w:val="406"/>
          <w:tblHeader/>
          <w:tblCellSpacing w:w="15" w:type="dxa"/>
        </w:trPr>
        <w:tc>
          <w:tcPr>
            <w:tcW w:w="0" w:type="auto"/>
            <w:vAlign w:val="center"/>
            <w:hideMark/>
          </w:tcPr>
          <w:p w14:paraId="22C74771" w14:textId="77777777" w:rsidR="008C56E9" w:rsidRPr="00280D4B" w:rsidRDefault="008C56E9" w:rsidP="008C56E9">
            <w:pPr>
              <w:spacing w:after="0" w:line="240" w:lineRule="auto"/>
              <w:jc w:val="center"/>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Section</w:t>
            </w:r>
          </w:p>
        </w:tc>
        <w:tc>
          <w:tcPr>
            <w:tcW w:w="0" w:type="auto"/>
            <w:vAlign w:val="center"/>
            <w:hideMark/>
          </w:tcPr>
          <w:p w14:paraId="520C7671" w14:textId="77777777" w:rsidR="008C56E9" w:rsidRPr="0002426F" w:rsidRDefault="008C56E9" w:rsidP="008C56E9">
            <w:pPr>
              <w:spacing w:after="0" w:line="240" w:lineRule="auto"/>
              <w:jc w:val="center"/>
              <w:rPr>
                <w:rFonts w:ascii="Arial font" w:eastAsia="Times New Roman" w:hAnsi="Arial font" w:cs="Times New Roman"/>
                <w:b/>
                <w:bCs/>
                <w:kern w:val="0"/>
                <w:sz w:val="22"/>
                <w:szCs w:val="22"/>
                <w:lang w:eastAsia="en-GB"/>
                <w14:ligatures w14:val="none"/>
              </w:rPr>
            </w:pPr>
            <w:r w:rsidRPr="0002426F">
              <w:rPr>
                <w:rFonts w:ascii="Arial font" w:eastAsia="Times New Roman" w:hAnsi="Arial font" w:cs="Times New Roman"/>
                <w:b/>
                <w:bCs/>
                <w:kern w:val="0"/>
                <w:sz w:val="22"/>
                <w:szCs w:val="22"/>
                <w:lang w:eastAsia="en-GB"/>
                <w14:ligatures w14:val="none"/>
              </w:rPr>
              <w:t>Page</w:t>
            </w:r>
          </w:p>
        </w:tc>
      </w:tr>
      <w:tr w:rsidR="008C56E9" w:rsidRPr="0002426F" w14:paraId="4DAF27D3" w14:textId="77777777" w:rsidTr="00881CF3">
        <w:trPr>
          <w:trHeight w:val="406"/>
          <w:tblCellSpacing w:w="15" w:type="dxa"/>
        </w:trPr>
        <w:tc>
          <w:tcPr>
            <w:tcW w:w="0" w:type="auto"/>
            <w:vAlign w:val="center"/>
            <w:hideMark/>
          </w:tcPr>
          <w:p w14:paraId="518192D5" w14:textId="77777777" w:rsidR="008C56E9" w:rsidRDefault="008C56E9" w:rsidP="008C56E9">
            <w:pPr>
              <w:spacing w:after="0" w:line="240" w:lineRule="auto"/>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Introduction</w:t>
            </w:r>
          </w:p>
          <w:p w14:paraId="40270C6A" w14:textId="77777777" w:rsidR="00630D87" w:rsidRPr="00F964BF" w:rsidRDefault="00630D87" w:rsidP="00630D87">
            <w:pPr>
              <w:spacing w:before="100" w:beforeAutospacing="1" w:after="100" w:afterAutospacing="1" w:line="360" w:lineRule="auto"/>
              <w:outlineLvl w:val="1"/>
              <w:rPr>
                <w:rFonts w:ascii="Arial font" w:eastAsia="Times New Roman" w:hAnsi="Arial font" w:cs="Times New Roman"/>
                <w:b/>
                <w:bCs/>
                <w:kern w:val="0"/>
                <w:sz w:val="22"/>
                <w:szCs w:val="22"/>
                <w:lang w:eastAsia="en-GB"/>
                <w14:ligatures w14:val="none"/>
              </w:rPr>
            </w:pPr>
            <w:r w:rsidRPr="00F964BF">
              <w:rPr>
                <w:rFonts w:ascii="Arial font" w:eastAsia="Times New Roman" w:hAnsi="Arial font" w:cs="Times New Roman"/>
                <w:b/>
                <w:bCs/>
                <w:kern w:val="0"/>
                <w:sz w:val="22"/>
                <w:szCs w:val="22"/>
                <w:lang w:eastAsia="en-GB"/>
                <w14:ligatures w14:val="none"/>
              </w:rPr>
              <w:t>Theoretical Perspectives on Motivation</w:t>
            </w:r>
          </w:p>
          <w:p w14:paraId="0BE76FDD" w14:textId="06DA1D32" w:rsidR="00630D87" w:rsidRPr="00280D4B" w:rsidRDefault="00630D87" w:rsidP="008C56E9">
            <w:pPr>
              <w:spacing w:after="0" w:line="240" w:lineRule="auto"/>
              <w:rPr>
                <w:rFonts w:ascii="Arial font" w:eastAsia="Times New Roman" w:hAnsi="Arial font" w:cs="Times New Roman"/>
                <w:b/>
                <w:bCs/>
                <w:kern w:val="0"/>
                <w:sz w:val="22"/>
                <w:szCs w:val="22"/>
                <w:lang w:eastAsia="en-GB"/>
                <w14:ligatures w14:val="none"/>
              </w:rPr>
            </w:pPr>
          </w:p>
        </w:tc>
        <w:tc>
          <w:tcPr>
            <w:tcW w:w="0" w:type="auto"/>
            <w:vAlign w:val="center"/>
            <w:hideMark/>
          </w:tcPr>
          <w:p w14:paraId="48BB1F5E" w14:textId="1CC7A94F" w:rsidR="008C56E9" w:rsidRPr="0002426F" w:rsidRDefault="007339C3" w:rsidP="008C56E9">
            <w:pPr>
              <w:spacing w:after="0" w:line="240" w:lineRule="auto"/>
              <w:rPr>
                <w:rFonts w:ascii="Arial font" w:eastAsia="Times New Roman" w:hAnsi="Arial font" w:cs="Times New Roman"/>
                <w:kern w:val="0"/>
                <w:sz w:val="22"/>
                <w:szCs w:val="22"/>
                <w:lang w:eastAsia="en-GB"/>
                <w14:ligatures w14:val="none"/>
              </w:rPr>
            </w:pPr>
            <w:r>
              <w:rPr>
                <w:rFonts w:ascii="Arial font" w:eastAsia="Times New Roman" w:hAnsi="Arial font" w:cs="Times New Roman"/>
                <w:kern w:val="0"/>
                <w:sz w:val="22"/>
                <w:szCs w:val="22"/>
                <w:lang w:eastAsia="en-GB"/>
                <w14:ligatures w14:val="none"/>
              </w:rPr>
              <w:t>2</w:t>
            </w:r>
            <w:r w:rsidR="00630D87">
              <w:rPr>
                <w:rFonts w:ascii="Arial font" w:eastAsia="Times New Roman" w:hAnsi="Arial font" w:cs="Times New Roman"/>
                <w:kern w:val="0"/>
                <w:sz w:val="22"/>
                <w:szCs w:val="22"/>
                <w:lang w:eastAsia="en-GB"/>
                <w14:ligatures w14:val="none"/>
              </w:rPr>
              <w:t>,3</w:t>
            </w:r>
          </w:p>
        </w:tc>
      </w:tr>
      <w:tr w:rsidR="008C56E9" w:rsidRPr="0002426F" w14:paraId="318B3455" w14:textId="77777777" w:rsidTr="00881CF3">
        <w:trPr>
          <w:trHeight w:val="789"/>
          <w:tblCellSpacing w:w="15" w:type="dxa"/>
        </w:trPr>
        <w:tc>
          <w:tcPr>
            <w:tcW w:w="0" w:type="auto"/>
            <w:vAlign w:val="center"/>
            <w:hideMark/>
          </w:tcPr>
          <w:p w14:paraId="539798DA" w14:textId="1F9B4BE2" w:rsidR="008C56E9" w:rsidRPr="00280D4B" w:rsidRDefault="008C56E9" w:rsidP="008C56E9">
            <w:pPr>
              <w:spacing w:after="0" w:line="240" w:lineRule="auto"/>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Factors Related to Business Transformation, Digital Technology Trends and Flexible Working at BTSL</w:t>
            </w:r>
          </w:p>
        </w:tc>
        <w:tc>
          <w:tcPr>
            <w:tcW w:w="0" w:type="auto"/>
            <w:vAlign w:val="center"/>
            <w:hideMark/>
          </w:tcPr>
          <w:p w14:paraId="79CFBCCE" w14:textId="645D8673" w:rsidR="008C56E9" w:rsidRPr="0002426F" w:rsidRDefault="008E4B03" w:rsidP="008C56E9">
            <w:pPr>
              <w:spacing w:after="0" w:line="240" w:lineRule="auto"/>
              <w:rPr>
                <w:rFonts w:ascii="Arial font" w:eastAsia="Times New Roman" w:hAnsi="Arial font" w:cs="Times New Roman"/>
                <w:kern w:val="0"/>
                <w:sz w:val="22"/>
                <w:szCs w:val="22"/>
                <w:lang w:eastAsia="en-GB"/>
                <w14:ligatures w14:val="none"/>
              </w:rPr>
            </w:pPr>
            <w:r>
              <w:rPr>
                <w:rFonts w:ascii="Arial font" w:eastAsia="Times New Roman" w:hAnsi="Arial font" w:cs="Times New Roman"/>
                <w:kern w:val="0"/>
                <w:sz w:val="22"/>
                <w:szCs w:val="22"/>
                <w:lang w:eastAsia="en-GB"/>
                <w14:ligatures w14:val="none"/>
              </w:rPr>
              <w:t>3,4</w:t>
            </w:r>
          </w:p>
        </w:tc>
      </w:tr>
      <w:tr w:rsidR="008C56E9" w:rsidRPr="0002426F" w14:paraId="000025D5" w14:textId="77777777" w:rsidTr="00881CF3">
        <w:trPr>
          <w:trHeight w:val="406"/>
          <w:tblCellSpacing w:w="15" w:type="dxa"/>
        </w:trPr>
        <w:tc>
          <w:tcPr>
            <w:tcW w:w="0" w:type="auto"/>
            <w:vAlign w:val="center"/>
            <w:hideMark/>
          </w:tcPr>
          <w:p w14:paraId="44636058" w14:textId="133F4DF9" w:rsidR="008C56E9" w:rsidRPr="00280D4B" w:rsidRDefault="008C56E9" w:rsidP="008C56E9">
            <w:pPr>
              <w:spacing w:after="0" w:line="240" w:lineRule="auto"/>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Evaluation of Contemporary HR Practices to Address BTSL’s Challenges</w:t>
            </w:r>
          </w:p>
        </w:tc>
        <w:tc>
          <w:tcPr>
            <w:tcW w:w="0" w:type="auto"/>
            <w:vAlign w:val="center"/>
            <w:hideMark/>
          </w:tcPr>
          <w:p w14:paraId="3373E40A" w14:textId="30A7BDCF" w:rsidR="008C56E9" w:rsidRPr="0002426F" w:rsidRDefault="008B55EF" w:rsidP="008C56E9">
            <w:pPr>
              <w:spacing w:after="0" w:line="240" w:lineRule="auto"/>
              <w:rPr>
                <w:rFonts w:ascii="Arial font" w:eastAsia="Times New Roman" w:hAnsi="Arial font" w:cs="Times New Roman"/>
                <w:kern w:val="0"/>
                <w:sz w:val="22"/>
                <w:szCs w:val="22"/>
                <w:lang w:eastAsia="en-GB"/>
                <w14:ligatures w14:val="none"/>
              </w:rPr>
            </w:pPr>
            <w:r>
              <w:rPr>
                <w:rFonts w:ascii="Arial font" w:eastAsia="Times New Roman" w:hAnsi="Arial font" w:cs="Times New Roman"/>
                <w:kern w:val="0"/>
                <w:sz w:val="22"/>
                <w:szCs w:val="22"/>
                <w:lang w:eastAsia="en-GB"/>
                <w14:ligatures w14:val="none"/>
              </w:rPr>
              <w:t>5,6</w:t>
            </w:r>
          </w:p>
        </w:tc>
      </w:tr>
      <w:tr w:rsidR="008C56E9" w:rsidRPr="0002426F" w14:paraId="5007C011" w14:textId="77777777" w:rsidTr="00881CF3">
        <w:trPr>
          <w:trHeight w:val="406"/>
          <w:tblCellSpacing w:w="15" w:type="dxa"/>
        </w:trPr>
        <w:tc>
          <w:tcPr>
            <w:tcW w:w="0" w:type="auto"/>
            <w:vAlign w:val="center"/>
            <w:hideMark/>
          </w:tcPr>
          <w:p w14:paraId="20B819D3" w14:textId="603124A5" w:rsidR="008C56E9" w:rsidRPr="00280D4B" w:rsidRDefault="008C56E9" w:rsidP="008C56E9">
            <w:pPr>
              <w:spacing w:after="0" w:line="240" w:lineRule="auto"/>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Critical Evaluation of Managerial Role in Urgent Implementation at BTSL</w:t>
            </w:r>
          </w:p>
        </w:tc>
        <w:tc>
          <w:tcPr>
            <w:tcW w:w="0" w:type="auto"/>
            <w:vAlign w:val="center"/>
            <w:hideMark/>
          </w:tcPr>
          <w:p w14:paraId="51C36508" w14:textId="2DDB2FDC" w:rsidR="008C56E9" w:rsidRPr="0002426F" w:rsidRDefault="008C56E9" w:rsidP="008C56E9">
            <w:pPr>
              <w:spacing w:after="0" w:line="240" w:lineRule="auto"/>
              <w:rPr>
                <w:rFonts w:ascii="Arial font" w:eastAsia="Times New Roman" w:hAnsi="Arial font" w:cs="Times New Roman"/>
                <w:kern w:val="0"/>
                <w:sz w:val="22"/>
                <w:szCs w:val="22"/>
                <w:lang w:eastAsia="en-GB"/>
                <w14:ligatures w14:val="none"/>
              </w:rPr>
            </w:pPr>
          </w:p>
        </w:tc>
      </w:tr>
      <w:tr w:rsidR="008C56E9" w:rsidRPr="0002426F" w14:paraId="313BDE9E" w14:textId="77777777" w:rsidTr="00881CF3">
        <w:trPr>
          <w:trHeight w:val="406"/>
          <w:tblCellSpacing w:w="15" w:type="dxa"/>
        </w:trPr>
        <w:tc>
          <w:tcPr>
            <w:tcW w:w="0" w:type="auto"/>
            <w:vAlign w:val="center"/>
            <w:hideMark/>
          </w:tcPr>
          <w:p w14:paraId="5460360C" w14:textId="4F3E0882" w:rsidR="008C56E9" w:rsidRPr="00280D4B" w:rsidRDefault="008C56E9" w:rsidP="008C56E9">
            <w:pPr>
              <w:spacing w:after="0" w:line="240" w:lineRule="auto"/>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Conclusion and Recommendations</w:t>
            </w:r>
          </w:p>
        </w:tc>
        <w:tc>
          <w:tcPr>
            <w:tcW w:w="0" w:type="auto"/>
            <w:vAlign w:val="center"/>
            <w:hideMark/>
          </w:tcPr>
          <w:p w14:paraId="0A065D74" w14:textId="42895AD0" w:rsidR="008C56E9" w:rsidRPr="0002426F" w:rsidRDefault="00220B47" w:rsidP="008C56E9">
            <w:pPr>
              <w:spacing w:after="0" w:line="240" w:lineRule="auto"/>
              <w:rPr>
                <w:rFonts w:ascii="Arial font" w:eastAsia="Times New Roman" w:hAnsi="Arial font" w:cs="Times New Roman"/>
                <w:kern w:val="0"/>
                <w:sz w:val="22"/>
                <w:szCs w:val="22"/>
                <w:lang w:eastAsia="en-GB"/>
                <w14:ligatures w14:val="none"/>
              </w:rPr>
            </w:pPr>
            <w:r>
              <w:rPr>
                <w:rFonts w:ascii="Arial font" w:eastAsia="Times New Roman" w:hAnsi="Arial font" w:cs="Times New Roman"/>
                <w:kern w:val="0"/>
                <w:sz w:val="22"/>
                <w:szCs w:val="22"/>
                <w:lang w:eastAsia="en-GB"/>
                <w14:ligatures w14:val="none"/>
              </w:rPr>
              <w:t>7,8</w:t>
            </w:r>
          </w:p>
        </w:tc>
      </w:tr>
      <w:tr w:rsidR="008C56E9" w:rsidRPr="0002426F" w14:paraId="767E04AF" w14:textId="77777777" w:rsidTr="00881CF3">
        <w:trPr>
          <w:trHeight w:val="406"/>
          <w:tblCellSpacing w:w="15" w:type="dxa"/>
        </w:trPr>
        <w:tc>
          <w:tcPr>
            <w:tcW w:w="0" w:type="auto"/>
            <w:vAlign w:val="center"/>
            <w:hideMark/>
          </w:tcPr>
          <w:p w14:paraId="60D82512" w14:textId="77777777" w:rsidR="008C56E9" w:rsidRPr="00280D4B" w:rsidRDefault="008C56E9" w:rsidP="008C56E9">
            <w:pPr>
              <w:spacing w:after="0" w:line="240" w:lineRule="auto"/>
              <w:rPr>
                <w:rFonts w:ascii="Arial font" w:eastAsia="Times New Roman" w:hAnsi="Arial font" w:cs="Times New Roman"/>
                <w:b/>
                <w:bCs/>
                <w:kern w:val="0"/>
                <w:sz w:val="22"/>
                <w:szCs w:val="22"/>
                <w:lang w:eastAsia="en-GB"/>
                <w14:ligatures w14:val="none"/>
              </w:rPr>
            </w:pPr>
            <w:r w:rsidRPr="00280D4B">
              <w:rPr>
                <w:rFonts w:ascii="Arial font" w:eastAsia="Times New Roman" w:hAnsi="Arial font" w:cs="Times New Roman"/>
                <w:b/>
                <w:bCs/>
                <w:kern w:val="0"/>
                <w:sz w:val="22"/>
                <w:szCs w:val="22"/>
                <w:lang w:eastAsia="en-GB"/>
                <w14:ligatures w14:val="none"/>
              </w:rPr>
              <w:t>Reference List</w:t>
            </w:r>
          </w:p>
        </w:tc>
        <w:tc>
          <w:tcPr>
            <w:tcW w:w="0" w:type="auto"/>
            <w:vAlign w:val="center"/>
            <w:hideMark/>
          </w:tcPr>
          <w:p w14:paraId="5F12FCED" w14:textId="6437414B" w:rsidR="008C56E9" w:rsidRPr="0002426F" w:rsidRDefault="00220B47" w:rsidP="008C56E9">
            <w:pPr>
              <w:spacing w:after="0" w:line="240" w:lineRule="auto"/>
              <w:rPr>
                <w:rFonts w:ascii="Arial font" w:eastAsia="Times New Roman" w:hAnsi="Arial font" w:cs="Times New Roman"/>
                <w:kern w:val="0"/>
                <w:sz w:val="22"/>
                <w:szCs w:val="22"/>
                <w:lang w:eastAsia="en-GB"/>
                <w14:ligatures w14:val="none"/>
              </w:rPr>
            </w:pPr>
            <w:r>
              <w:rPr>
                <w:rFonts w:ascii="Arial font" w:eastAsia="Times New Roman" w:hAnsi="Arial font" w:cs="Times New Roman"/>
                <w:kern w:val="0"/>
                <w:sz w:val="22"/>
                <w:szCs w:val="22"/>
                <w:lang w:eastAsia="en-GB"/>
                <w14:ligatures w14:val="none"/>
              </w:rPr>
              <w:t>9,10</w:t>
            </w:r>
          </w:p>
        </w:tc>
      </w:tr>
    </w:tbl>
    <w:p w14:paraId="5E9CA0EB" w14:textId="77777777" w:rsidR="00705D15" w:rsidRPr="0002426F" w:rsidRDefault="00705D15"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6AEE01FC" w14:textId="77777777" w:rsidR="00705D15" w:rsidRPr="0002426F" w:rsidRDefault="00705D15"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158991FE" w14:textId="77777777" w:rsidR="008E16C7" w:rsidRDefault="008E16C7"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1BA58C83"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287794A9"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1CA9BDE5"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4B9B5F8B"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673C7994"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286F0D2D"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4547F5BE"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6D2A2688"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1510309E"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2B12CFD1"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2A2D250C"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24FF5D0B"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0A0752DD"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3BB429CF" w14:textId="77777777" w:rsidR="00630CB2" w:rsidRDefault="00630CB2" w:rsidP="00FB1308">
      <w:pPr>
        <w:spacing w:before="100" w:beforeAutospacing="1" w:after="100" w:afterAutospacing="1" w:line="240" w:lineRule="auto"/>
        <w:outlineLvl w:val="1"/>
        <w:rPr>
          <w:rFonts w:ascii="Arial font" w:eastAsia="Times New Roman" w:hAnsi="Arial font" w:cs="Times New Roman"/>
          <w:b/>
          <w:bCs/>
          <w:kern w:val="0"/>
          <w:sz w:val="22"/>
          <w:szCs w:val="22"/>
          <w:lang w:eastAsia="en-GB"/>
          <w14:ligatures w14:val="none"/>
        </w:rPr>
      </w:pPr>
    </w:p>
    <w:p w14:paraId="54C8E5BA" w14:textId="09B4B1C2" w:rsidR="00FB1308" w:rsidRPr="00D148F6" w:rsidRDefault="00FB1308" w:rsidP="00D148F6">
      <w:pPr>
        <w:spacing w:before="100" w:beforeAutospacing="1" w:after="100" w:afterAutospacing="1" w:line="360" w:lineRule="auto"/>
        <w:outlineLvl w:val="1"/>
        <w:rPr>
          <w:rFonts w:ascii="Arial font" w:eastAsia="Times New Roman" w:hAnsi="Arial font" w:cs="Times New Roman"/>
          <w:b/>
          <w:bCs/>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 xml:space="preserve"> Introduction </w:t>
      </w:r>
    </w:p>
    <w:p w14:paraId="6C54CA5B" w14:textId="77777777" w:rsidR="00C565B0" w:rsidRPr="00D148F6" w:rsidRDefault="00C565B0" w:rsidP="00D148F6">
      <w:pPr>
        <w:pStyle w:val="NormalWeb"/>
        <w:spacing w:line="360" w:lineRule="auto"/>
        <w:rPr>
          <w:rFonts w:ascii="Arial font" w:hAnsi="Arial font"/>
          <w:sz w:val="22"/>
          <w:szCs w:val="22"/>
        </w:rPr>
      </w:pPr>
      <w:r w:rsidRPr="00D148F6">
        <w:rPr>
          <w:rFonts w:ascii="Arial font" w:hAnsi="Arial font"/>
          <w:sz w:val="22"/>
          <w:szCs w:val="22"/>
        </w:rPr>
        <w:t>Birmingham Transformation Solutions Ltd (BTSL) is a UK-based consultancy focusing on digital transformation projects for various organisations. Over the past few years, the company has scaled rapidly, implementing advanced digital systems, modifying team structures, and extending flexible working options for its workforce. These developments have undoubtedly strengthened the company’s operational capacity and service quality; however, they have also introduced multiple people-related challenges. Employees have expressed concerns about unclear job responsibilities, difficulties adjusting to unfamiliar technologies, and inconsistent access to flexible working arrangements. These challenges align with research showing that organisational change can cause uncertainty, stress, and reduced morale when not carefully managed (Cameron &amp; Green, 2019).</w:t>
      </w:r>
    </w:p>
    <w:p w14:paraId="0BE3EC9D" w14:textId="77777777" w:rsidR="00C565B0" w:rsidRPr="00D148F6" w:rsidRDefault="00C565B0" w:rsidP="00D148F6">
      <w:pPr>
        <w:pStyle w:val="NormalWeb"/>
        <w:spacing w:line="360" w:lineRule="auto"/>
        <w:rPr>
          <w:rFonts w:ascii="Arial font" w:hAnsi="Arial font"/>
          <w:sz w:val="22"/>
          <w:szCs w:val="22"/>
        </w:rPr>
      </w:pPr>
      <w:r w:rsidRPr="00D148F6">
        <w:rPr>
          <w:rFonts w:ascii="Arial font" w:hAnsi="Arial font"/>
          <w:sz w:val="22"/>
          <w:szCs w:val="22"/>
        </w:rPr>
        <w:t>Human Resource Management (HRM) plays a crucial role in supporting staff through such transitions. Modern HRM emphasises fairness, transparency, development, and well-being, all of which are vital to sustaining employee engagement during periods of disruption (Armstrong &amp; Taylor, 2023). If HR responses are weak or uncoordinated, organisations may experience higher turnover rates, increased conflict, and reduced productivity. In contrast, effective HR interventions can strengthen employee resilience, enhance trust, and maintain organisational stability.</w:t>
      </w:r>
    </w:p>
    <w:p w14:paraId="41F8F7B6" w14:textId="77777777" w:rsidR="00C565B0" w:rsidRDefault="00C565B0" w:rsidP="00D148F6">
      <w:pPr>
        <w:pStyle w:val="NormalWeb"/>
        <w:spacing w:line="360" w:lineRule="auto"/>
        <w:rPr>
          <w:rFonts w:ascii="Arial font" w:hAnsi="Arial font"/>
          <w:sz w:val="22"/>
          <w:szCs w:val="22"/>
        </w:rPr>
      </w:pPr>
      <w:r w:rsidRPr="00D148F6">
        <w:rPr>
          <w:rFonts w:ascii="Arial font" w:hAnsi="Arial font"/>
          <w:sz w:val="22"/>
          <w:szCs w:val="22"/>
        </w:rPr>
        <w:t>BTSL’s situation is unique because three major changes — organisational transformation, digitalisation, and hybrid working — are unfolding simultaneously. These overlapping pressures can intensify employee strain and reduce adaptability unless well-coordinated support systems are in place. Studies show that when multiple change factors interact, employees require structured guidance, strong leadership, and clear communication to avoid becoming overwhelmed (</w:t>
      </w:r>
      <w:proofErr w:type="spellStart"/>
      <w:r w:rsidRPr="00D148F6">
        <w:rPr>
          <w:rFonts w:ascii="Arial font" w:hAnsi="Arial font"/>
          <w:sz w:val="22"/>
          <w:szCs w:val="22"/>
        </w:rPr>
        <w:t>Eurofound</w:t>
      </w:r>
      <w:proofErr w:type="spellEnd"/>
      <w:r w:rsidRPr="00D148F6">
        <w:rPr>
          <w:rFonts w:ascii="Arial font" w:hAnsi="Arial font"/>
          <w:sz w:val="22"/>
          <w:szCs w:val="22"/>
        </w:rPr>
        <w:t>, 2021). This report examines the three major factors affecting BTSL, evaluates relevant contemporary HR practices, and assesses how departmental managers can ensure urgent and effective implementation. The report concludes with recommendations aimed at improving employee experience, reducing grievances, and promoting sustainable change adaptation</w:t>
      </w:r>
    </w:p>
    <w:p w14:paraId="60A4C798" w14:textId="77777777" w:rsidR="00F964BF" w:rsidRPr="00F964BF" w:rsidRDefault="00F964BF" w:rsidP="00F964BF">
      <w:pPr>
        <w:spacing w:before="100" w:beforeAutospacing="1" w:after="100" w:afterAutospacing="1" w:line="360" w:lineRule="auto"/>
        <w:outlineLvl w:val="1"/>
        <w:rPr>
          <w:rFonts w:ascii="Arial font" w:eastAsia="Times New Roman" w:hAnsi="Arial font" w:cs="Times New Roman"/>
          <w:b/>
          <w:bCs/>
          <w:kern w:val="0"/>
          <w:sz w:val="22"/>
          <w:szCs w:val="22"/>
          <w:lang w:eastAsia="en-GB"/>
          <w14:ligatures w14:val="none"/>
        </w:rPr>
      </w:pPr>
      <w:r w:rsidRPr="00F964BF">
        <w:rPr>
          <w:rFonts w:ascii="Arial font" w:eastAsia="Times New Roman" w:hAnsi="Arial font" w:cs="Times New Roman"/>
          <w:b/>
          <w:bCs/>
          <w:kern w:val="0"/>
          <w:sz w:val="22"/>
          <w:szCs w:val="22"/>
          <w:lang w:eastAsia="en-GB"/>
          <w14:ligatures w14:val="none"/>
        </w:rPr>
        <w:t>Theoretical Perspectives on Motivation</w:t>
      </w:r>
    </w:p>
    <w:p w14:paraId="2C8A0CA7" w14:textId="77777777" w:rsidR="00F964BF" w:rsidRP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lastRenderedPageBreak/>
        <w:t>Motivation is a key concept in understanding employee behaviour and performance within organisations. It can be defined as the internal and external forces that influence an individual to choose a particular course of action and to sustain effort towards achieving a goal. Motivation typically involves a stimulus, an action, and an outcome or goal. Understanding what motivates employees is essential for managers, as well-motivated employees are more likely to be engaged, productive, and committed, whereas poorly motivated employees may experience boredom, frustration, and disengagement. This is particularly relevant in organisations undergoing significant change, such as BTSL, where employees are required to adapt to new roles, technologies, and working patterns.</w:t>
      </w:r>
    </w:p>
    <w:p w14:paraId="471434DD" w14:textId="77777777" w:rsidR="00F964BF" w:rsidRP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t>Early thinking on motivation was influenced by Scientific Management, most notably the work of Frederick Winslow Taylor (1856–1917</w:t>
      </w:r>
      <w:r w:rsidRPr="00F964BF">
        <w:rPr>
          <w:rFonts w:ascii="Arial font" w:eastAsia="Times New Roman" w:hAnsi="Arial font" w:cs="Times New Roman"/>
          <w:b/>
          <w:bCs/>
          <w:kern w:val="0"/>
          <w:sz w:val="22"/>
          <w:szCs w:val="22"/>
          <w:lang w:eastAsia="en-GB"/>
          <w14:ligatures w14:val="none"/>
        </w:rPr>
        <w:t>)</w:t>
      </w:r>
      <w:r w:rsidRPr="00F964BF">
        <w:rPr>
          <w:rFonts w:ascii="Arial font" w:eastAsia="Times New Roman" w:hAnsi="Arial font" w:cs="Times New Roman"/>
          <w:kern w:val="0"/>
          <w:sz w:val="22"/>
          <w:szCs w:val="22"/>
          <w:lang w:eastAsia="en-GB"/>
          <w14:ligatures w14:val="none"/>
        </w:rPr>
        <w:t>. Taylor argued that workers are primarily motivated by financial rewards and that productivity could be maximised through close supervision, task specialisation, and standardisation of work processes. His approach involved breaking work down into simple, repetitive tasks, providing workers with appropriate training and tools, and rewarding output through piece-rate pay. Taylor’s methods were widely adopted during the early industrial period and were instrumental in the development of mass production systems, such as those used by Henry Ford.</w:t>
      </w:r>
    </w:p>
    <w:p w14:paraId="6D3CE616" w14:textId="77777777" w:rsidR="00F964BF" w:rsidRP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t>However, while Scientific Management increased efficiency, it has significant limitations when applied to modern, knowledge-based organisations. The approach assumes a “one best way” of working and focuses on individual output rather than collaboration. It neglects human and psychological factors, reduces creativity, and can lead to monotony and dissatisfaction. Such an approach is poorly suited to contemporary organisations like BTSL, where innovation, autonomy, teamwork, and continuous learning are critical to success.</w:t>
      </w:r>
    </w:p>
    <w:p w14:paraId="5453D818" w14:textId="77777777" w:rsidR="00F964BF" w:rsidRP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t>In response to these limitations, the Human Relations movement emerged, shifting attention towards the social and psychological needs of employees. From this movement developed the content theories of motivation, which argue that motivation arises from the contents of a job and the extent to which it satisfies individual needs. These theories are based on the idea of need deficiency, whereby individuals are motivated by unmet needs and act to reduce these deficiencies through their work. The longer a need remains unmet, the stronger the motivation to satisfy it.</w:t>
      </w:r>
    </w:p>
    <w:p w14:paraId="2F960589" w14:textId="77777777" w:rsidR="00F964BF" w:rsidRP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t xml:space="preserve">Content theories emphasise that rewards can be both extrinsic and intrinsic. Extrinsic rewards include pay, bonuses, and job security, while intrinsic rewards relate to personal </w:t>
      </w:r>
      <w:r w:rsidRPr="00F964BF">
        <w:rPr>
          <w:rFonts w:ascii="Arial font" w:eastAsia="Times New Roman" w:hAnsi="Arial font" w:cs="Times New Roman"/>
          <w:kern w:val="0"/>
          <w:sz w:val="22"/>
          <w:szCs w:val="22"/>
          <w:lang w:eastAsia="en-GB"/>
          <w14:ligatures w14:val="none"/>
        </w:rPr>
        <w:lastRenderedPageBreak/>
        <w:t>growth, recognition, achievement, and self-esteem. Although rewards can reinforce behaviour, relying solely on external rewards can be costly and unsustainable. Content theories therefore stress the importance of designing jobs that are inherently meaningful and provide long-term sources of motivation, rather than depending only on immediate rewards.</w:t>
      </w:r>
    </w:p>
    <w:p w14:paraId="295F1311" w14:textId="77777777" w:rsidR="00F964BF" w:rsidRP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t>One of the most influential content theories is Maslow’s Hierarchy of Needs, proposed by Abraham Maslow (1943</w:t>
      </w:r>
      <w:r w:rsidRPr="00F964BF">
        <w:rPr>
          <w:rFonts w:ascii="Arial font" w:eastAsia="Times New Roman" w:hAnsi="Arial font" w:cs="Times New Roman"/>
          <w:b/>
          <w:bCs/>
          <w:kern w:val="0"/>
          <w:sz w:val="22"/>
          <w:szCs w:val="22"/>
          <w:lang w:eastAsia="en-GB"/>
          <w14:ligatures w14:val="none"/>
        </w:rPr>
        <w:t>)</w:t>
      </w:r>
      <w:r w:rsidRPr="00F964BF">
        <w:rPr>
          <w:rFonts w:ascii="Arial font" w:eastAsia="Times New Roman" w:hAnsi="Arial font" w:cs="Times New Roman"/>
          <w:kern w:val="0"/>
          <w:sz w:val="22"/>
          <w:szCs w:val="22"/>
          <w:lang w:eastAsia="en-GB"/>
          <w14:ligatures w14:val="none"/>
        </w:rPr>
        <w:t>. Maslow suggested that individuals are motivated by a hierarchy of needs, often represented as a pyramid. At the base are physiological needs, such as food, rest, and basic working conditions. These are followed by safety needs, including job security and protection from economic or physical harm. Social needs relate to belonging, teamwork, and positive relationships at work, while esteem needs involve recognition, respect, and a sense of achievement. At the top of the hierarchy are self-actualisation</w:t>
      </w:r>
      <w:r w:rsidRPr="00F964BF">
        <w:rPr>
          <w:rFonts w:ascii="Arial font" w:eastAsia="Times New Roman" w:hAnsi="Arial font" w:cs="Times New Roman"/>
          <w:b/>
          <w:bCs/>
          <w:kern w:val="0"/>
          <w:sz w:val="22"/>
          <w:szCs w:val="22"/>
          <w:lang w:eastAsia="en-GB"/>
          <w14:ligatures w14:val="none"/>
        </w:rPr>
        <w:t xml:space="preserve"> needs</w:t>
      </w:r>
      <w:r w:rsidRPr="00F964BF">
        <w:rPr>
          <w:rFonts w:ascii="Arial font" w:eastAsia="Times New Roman" w:hAnsi="Arial font" w:cs="Times New Roman"/>
          <w:kern w:val="0"/>
          <w:sz w:val="22"/>
          <w:szCs w:val="22"/>
          <w:lang w:eastAsia="en-GB"/>
          <w14:ligatures w14:val="none"/>
        </w:rPr>
        <w:t>, which reflect an individual’s desire for personal growth, fulfilment, and the realisation of their full potential.</w:t>
      </w:r>
    </w:p>
    <w:p w14:paraId="3F6B32CA" w14:textId="77777777" w:rsidR="00F964BF" w:rsidRDefault="00F964BF"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F964BF">
        <w:rPr>
          <w:rFonts w:ascii="Arial font" w:eastAsia="Times New Roman" w:hAnsi="Arial font" w:cs="Times New Roman"/>
          <w:kern w:val="0"/>
          <w:sz w:val="22"/>
          <w:szCs w:val="22"/>
          <w:lang w:eastAsia="en-GB"/>
          <w14:ligatures w14:val="none"/>
        </w:rPr>
        <w:t>In the context of modern organisations, Maslow’s theory suggests that employees increasingly seek motivation from higher-level needs through their work, particularly when basic needs are already met. For BTSL, this highlights the importance of providing not only fair pay and job security, but also opportunities for learning, career development, recognition, and meaningful contribution. During periods of organisational transformation, digitalisation, and hybrid working, addressing these needs is essential to maintaining employee motivation, engagement, and well-being</w:t>
      </w:r>
    </w:p>
    <w:p w14:paraId="3E1A1F19" w14:textId="130A3FF6" w:rsidR="00630D87" w:rsidRDefault="00630D87"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Pr>
          <w:rFonts w:ascii="Arial font" w:eastAsia="Times New Roman" w:hAnsi="Arial font" w:cs="Times New Roman"/>
          <w:noProof/>
          <w:kern w:val="0"/>
          <w:sz w:val="22"/>
          <w:szCs w:val="22"/>
          <w:lang w:eastAsia="en-GB"/>
        </w:rPr>
        <w:lastRenderedPageBreak/>
        <w:drawing>
          <wp:inline distT="0" distB="0" distL="0" distR="0" wp14:anchorId="0B447E7C" wp14:editId="322A47F8">
            <wp:extent cx="5731510" cy="3223895"/>
            <wp:effectExtent l="0" t="0" r="2540" b="0"/>
            <wp:docPr id="1874916587" name="Picture 6" descr="A pyramid of colo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16587" name="Picture 6" descr="A pyramid of colors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B8103F" w14:textId="27C7AC79" w:rsidR="00630D87" w:rsidRPr="00F964BF" w:rsidRDefault="00630D87" w:rsidP="00F964BF">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p>
    <w:p w14:paraId="36E095A1" w14:textId="77777777" w:rsidR="00F964BF" w:rsidRPr="00F964BF" w:rsidRDefault="00F964BF" w:rsidP="00F964BF">
      <w:pPr>
        <w:pStyle w:val="NormalWeb"/>
        <w:spacing w:line="360" w:lineRule="auto"/>
        <w:rPr>
          <w:rFonts w:ascii="Arial font" w:hAnsi="Arial font"/>
          <w:sz w:val="22"/>
          <w:szCs w:val="22"/>
        </w:rPr>
      </w:pPr>
    </w:p>
    <w:p w14:paraId="36B1A263" w14:textId="77777777" w:rsidR="00DD17B5" w:rsidRPr="00D148F6" w:rsidRDefault="00DD17B5" w:rsidP="00D148F6">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p>
    <w:p w14:paraId="7F982984" w14:textId="77777777" w:rsidR="00FC62F7" w:rsidRDefault="00FC62F7" w:rsidP="00D148F6">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p>
    <w:p w14:paraId="7945D223" w14:textId="0B7DAFB5" w:rsidR="00FB1308" w:rsidRPr="00D148F6" w:rsidRDefault="00FB1308" w:rsidP="00D148F6">
      <w:pPr>
        <w:spacing w:before="100" w:beforeAutospacing="1" w:after="100" w:afterAutospacing="1" w:line="360" w:lineRule="auto"/>
        <w:rPr>
          <w:rFonts w:ascii="Arial font" w:eastAsia="Times New Roman" w:hAnsi="Arial font" w:cs="Times New Roman"/>
          <w:b/>
          <w:bCs/>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 xml:space="preserve">Factors Related to Business Transformation, Digital Technology Trends, and Flexible Working at BTSL </w:t>
      </w:r>
    </w:p>
    <w:p w14:paraId="15C455F2" w14:textId="77777777" w:rsidR="00C07C31" w:rsidRPr="00D148F6" w:rsidRDefault="00FB1308" w:rsidP="00D148F6">
      <w:pPr>
        <w:pStyle w:val="NormalWeb"/>
        <w:spacing w:line="360" w:lineRule="auto"/>
        <w:rPr>
          <w:rFonts w:ascii="Arial font" w:hAnsi="Arial font"/>
          <w:sz w:val="22"/>
          <w:szCs w:val="22"/>
        </w:rPr>
      </w:pPr>
      <w:r w:rsidRPr="00D148F6">
        <w:rPr>
          <w:rFonts w:ascii="Arial font" w:hAnsi="Arial font"/>
          <w:b/>
          <w:bCs/>
          <w:sz w:val="22"/>
          <w:szCs w:val="22"/>
        </w:rPr>
        <w:t>Business Transformation at BTSL</w:t>
      </w:r>
      <w:r w:rsidRPr="00D148F6">
        <w:rPr>
          <w:rFonts w:ascii="Arial font" w:hAnsi="Arial font"/>
          <w:sz w:val="22"/>
          <w:szCs w:val="22"/>
        </w:rPr>
        <w:br/>
      </w:r>
      <w:proofErr w:type="spellStart"/>
      <w:r w:rsidR="00C07C31" w:rsidRPr="00D148F6">
        <w:rPr>
          <w:rFonts w:ascii="Arial font" w:hAnsi="Arial font"/>
          <w:sz w:val="22"/>
          <w:szCs w:val="22"/>
        </w:rPr>
        <w:t>BTSL</w:t>
      </w:r>
      <w:proofErr w:type="spellEnd"/>
      <w:r w:rsidR="00C07C31" w:rsidRPr="00D148F6">
        <w:rPr>
          <w:rFonts w:ascii="Arial font" w:hAnsi="Arial font"/>
          <w:sz w:val="22"/>
          <w:szCs w:val="22"/>
        </w:rPr>
        <w:t xml:space="preserve"> has undergone an extensive organisational transformation aimed at strengthening its competitiveness and enabling the company to deliver more advanced digital services. This transformation has included team restructuring, the redesign of job roles, and the introduction of more collaborative cross-functional ways of working. The intention behind these changes aligns with established theories of organisational development that emphasise adaptability, innovation, and faster decision-making (Kotter, 2012).</w:t>
      </w:r>
    </w:p>
    <w:p w14:paraId="2821F251" w14:textId="77777777" w:rsidR="00C07C31" w:rsidRPr="00D148F6" w:rsidRDefault="00C07C31" w:rsidP="00D148F6">
      <w:pPr>
        <w:pStyle w:val="NormalWeb"/>
        <w:spacing w:line="360" w:lineRule="auto"/>
        <w:rPr>
          <w:rFonts w:ascii="Arial font" w:hAnsi="Arial font"/>
          <w:sz w:val="22"/>
          <w:szCs w:val="22"/>
        </w:rPr>
      </w:pPr>
      <w:r w:rsidRPr="00D148F6">
        <w:rPr>
          <w:rFonts w:ascii="Arial font" w:hAnsi="Arial font"/>
          <w:sz w:val="22"/>
          <w:szCs w:val="22"/>
        </w:rPr>
        <w:t xml:space="preserve">However, transformation inevitably brings challenges. Staff members may feel uncertain about their future roles or confused about expectations, especially if communication is irregular or unclear. Role ambiguity is a major predictor of workplace stress and reduced </w:t>
      </w:r>
      <w:r w:rsidRPr="00D148F6">
        <w:rPr>
          <w:rFonts w:ascii="Arial font" w:hAnsi="Arial font"/>
          <w:sz w:val="22"/>
          <w:szCs w:val="22"/>
        </w:rPr>
        <w:lastRenderedPageBreak/>
        <w:t>engagement (Rees &amp; Smith, 2021). Employees may resist transformation if they do not understand the rationale behind changes or feel excluded from decision-making. Participation and consultation are therefore essential, as involvement increases ownership and acceptance of change (Cameron &amp; Green, 2019).</w:t>
      </w:r>
    </w:p>
    <w:p w14:paraId="3959D941" w14:textId="77777777" w:rsidR="00C07C31" w:rsidRPr="00D148F6" w:rsidRDefault="00C07C31" w:rsidP="00D148F6">
      <w:pPr>
        <w:pStyle w:val="NormalWeb"/>
        <w:spacing w:line="360" w:lineRule="auto"/>
        <w:rPr>
          <w:rFonts w:ascii="Arial font" w:hAnsi="Arial font"/>
          <w:sz w:val="22"/>
          <w:szCs w:val="22"/>
        </w:rPr>
      </w:pPr>
      <w:r w:rsidRPr="00D148F6">
        <w:rPr>
          <w:rFonts w:ascii="Arial font" w:hAnsi="Arial font"/>
          <w:sz w:val="22"/>
          <w:szCs w:val="22"/>
        </w:rPr>
        <w:t>Organisational culture also becomes a critical factor during transformation. If the existing culture does not support open communication, collaboration, or innovation, employees may struggle to adapt, leading to frustration or disengagement (Schein, 2017). BTSL must therefore ensure that its cultural values align with the expectations of the new operating model. This requires leadership behaviour, HR policies, and communication practices that reinforce the transformation goals consistently across the organisation</w:t>
      </w:r>
    </w:p>
    <w:p w14:paraId="5B1DEAAB" w14:textId="77777777" w:rsidR="00F46CF5" w:rsidRPr="00D148F6" w:rsidRDefault="00FB1308" w:rsidP="00D148F6">
      <w:pPr>
        <w:pStyle w:val="NormalWeb"/>
        <w:spacing w:line="360" w:lineRule="auto"/>
        <w:rPr>
          <w:rFonts w:ascii="Arial font" w:hAnsi="Arial font"/>
          <w:sz w:val="22"/>
          <w:szCs w:val="22"/>
        </w:rPr>
      </w:pPr>
      <w:r w:rsidRPr="00D148F6">
        <w:rPr>
          <w:rFonts w:ascii="Arial font" w:hAnsi="Arial font"/>
          <w:b/>
          <w:bCs/>
          <w:sz w:val="22"/>
          <w:szCs w:val="22"/>
        </w:rPr>
        <w:t>Digital Technology Trends at BTSL</w:t>
      </w:r>
      <w:r w:rsidRPr="00D148F6">
        <w:rPr>
          <w:rFonts w:ascii="Arial font" w:hAnsi="Arial font"/>
          <w:sz w:val="22"/>
          <w:szCs w:val="22"/>
        </w:rPr>
        <w:br/>
      </w:r>
      <w:proofErr w:type="spellStart"/>
      <w:r w:rsidR="00F46CF5" w:rsidRPr="00D148F6">
        <w:rPr>
          <w:rFonts w:ascii="Arial font" w:hAnsi="Arial font"/>
          <w:sz w:val="22"/>
          <w:szCs w:val="22"/>
        </w:rPr>
        <w:t>BTSL</w:t>
      </w:r>
      <w:proofErr w:type="spellEnd"/>
      <w:r w:rsidR="00F46CF5" w:rsidRPr="00D148F6">
        <w:rPr>
          <w:rFonts w:ascii="Arial font" w:hAnsi="Arial font"/>
          <w:sz w:val="22"/>
          <w:szCs w:val="22"/>
        </w:rPr>
        <w:t xml:space="preserve"> has invested heavily in new technologies, including AI-enabled project management tools, shared cloud workspaces, and automated data-reporting systems. These technologies allow teams to operate more efficiently and provide clients with quicker insights and higher-quality outputs (</w:t>
      </w:r>
      <w:proofErr w:type="spellStart"/>
      <w:r w:rsidR="00F46CF5" w:rsidRPr="00D148F6">
        <w:rPr>
          <w:rFonts w:ascii="Arial font" w:hAnsi="Arial font"/>
          <w:sz w:val="22"/>
          <w:szCs w:val="22"/>
        </w:rPr>
        <w:t>Bondarouk</w:t>
      </w:r>
      <w:proofErr w:type="spellEnd"/>
      <w:r w:rsidR="00F46CF5" w:rsidRPr="00D148F6">
        <w:rPr>
          <w:rFonts w:ascii="Arial font" w:hAnsi="Arial font"/>
          <w:sz w:val="22"/>
          <w:szCs w:val="22"/>
        </w:rPr>
        <w:t xml:space="preserve"> &amp; Brewster, 2016). While digital adoption offers many advantages, it also presents a range of human challenges.</w:t>
      </w:r>
    </w:p>
    <w:p w14:paraId="25C08D32" w14:textId="77777777" w:rsidR="00F46CF5" w:rsidRPr="00D148F6" w:rsidRDefault="00F46CF5" w:rsidP="00D148F6">
      <w:pPr>
        <w:pStyle w:val="NormalWeb"/>
        <w:spacing w:line="360" w:lineRule="auto"/>
        <w:rPr>
          <w:rFonts w:ascii="Arial font" w:hAnsi="Arial font"/>
          <w:sz w:val="22"/>
          <w:szCs w:val="22"/>
        </w:rPr>
      </w:pPr>
      <w:r w:rsidRPr="00D148F6">
        <w:rPr>
          <w:rFonts w:ascii="Arial font" w:hAnsi="Arial font"/>
          <w:sz w:val="22"/>
          <w:szCs w:val="22"/>
        </w:rPr>
        <w:t>First, not all employees adapt at the same pace. Some may find new systems intuitive, while others experience anxiety, stress, or frustration when required to abandon old routines. Digital adoption fatigue is widely recognised as a growing issue, particularly when multiple tools or platforms are introduced at once (Davis, 2020). Without structured training and ongoing support, employees can become disengaged or make errors that affect performance.</w:t>
      </w:r>
    </w:p>
    <w:p w14:paraId="66F5804B" w14:textId="77777777" w:rsidR="00F46CF5" w:rsidRPr="00D148F6" w:rsidRDefault="00F46CF5" w:rsidP="00D148F6">
      <w:pPr>
        <w:pStyle w:val="NormalWeb"/>
        <w:spacing w:line="360" w:lineRule="auto"/>
        <w:rPr>
          <w:rFonts w:ascii="Arial font" w:hAnsi="Arial font"/>
          <w:sz w:val="22"/>
          <w:szCs w:val="22"/>
        </w:rPr>
      </w:pPr>
      <w:r w:rsidRPr="00D148F6">
        <w:rPr>
          <w:rFonts w:ascii="Arial font" w:hAnsi="Arial font"/>
          <w:sz w:val="22"/>
          <w:szCs w:val="22"/>
        </w:rPr>
        <w:t>Second, digitalisation can raise concerns about job security. Research shows that automation and AI tools often cause employees to worry about the long-term relevance of their roles (</w:t>
      </w:r>
      <w:proofErr w:type="spellStart"/>
      <w:r w:rsidRPr="00D148F6">
        <w:rPr>
          <w:rFonts w:ascii="Arial font" w:hAnsi="Arial font"/>
          <w:sz w:val="22"/>
          <w:szCs w:val="22"/>
        </w:rPr>
        <w:t>Meijerink</w:t>
      </w:r>
      <w:proofErr w:type="spellEnd"/>
      <w:r w:rsidRPr="00D148F6">
        <w:rPr>
          <w:rFonts w:ascii="Arial font" w:hAnsi="Arial font"/>
          <w:sz w:val="22"/>
          <w:szCs w:val="22"/>
        </w:rPr>
        <w:t xml:space="preserve"> et al., 2021). If these concerns are not addressed through communication and reassurance, trust in the organisation may decline.</w:t>
      </w:r>
    </w:p>
    <w:p w14:paraId="7347A1DF" w14:textId="77777777" w:rsidR="00F46CF5" w:rsidRPr="00D148F6" w:rsidRDefault="00F46CF5" w:rsidP="00D148F6">
      <w:pPr>
        <w:pStyle w:val="NormalWeb"/>
        <w:spacing w:line="360" w:lineRule="auto"/>
        <w:rPr>
          <w:rFonts w:ascii="Arial font" w:hAnsi="Arial font"/>
          <w:sz w:val="22"/>
          <w:szCs w:val="22"/>
        </w:rPr>
      </w:pPr>
      <w:r w:rsidRPr="00D148F6">
        <w:rPr>
          <w:rFonts w:ascii="Arial font" w:hAnsi="Arial font"/>
          <w:sz w:val="22"/>
          <w:szCs w:val="22"/>
        </w:rPr>
        <w:t xml:space="preserve">Third, employees require new digital skills to work effectively in a technology-driven environment. HR must therefore ensure that upskilling programmes are accessible, inclusive, and tailored to different learning styles (Noe, 2020). In addition, digital working environments create new ethical considerations, particularly around data protection and </w:t>
      </w:r>
      <w:r w:rsidRPr="00D148F6">
        <w:rPr>
          <w:rFonts w:ascii="Arial font" w:hAnsi="Arial font"/>
          <w:sz w:val="22"/>
          <w:szCs w:val="22"/>
        </w:rPr>
        <w:lastRenderedPageBreak/>
        <w:t>responsible AI usage. Clear guidance and transparency help staff feel safe and informed (Kulik, 2021)</w:t>
      </w:r>
    </w:p>
    <w:p w14:paraId="3FDF2BA0" w14:textId="77777777" w:rsidR="004A1C78" w:rsidRPr="00D148F6" w:rsidRDefault="00FB1308" w:rsidP="00D148F6">
      <w:pPr>
        <w:pStyle w:val="NormalWeb"/>
        <w:spacing w:line="360" w:lineRule="auto"/>
        <w:rPr>
          <w:rFonts w:ascii="Arial font" w:hAnsi="Arial font"/>
          <w:sz w:val="22"/>
          <w:szCs w:val="22"/>
        </w:rPr>
      </w:pPr>
      <w:r w:rsidRPr="00D148F6">
        <w:rPr>
          <w:rFonts w:ascii="Arial font" w:hAnsi="Arial font"/>
          <w:b/>
          <w:bCs/>
          <w:sz w:val="22"/>
          <w:szCs w:val="22"/>
        </w:rPr>
        <w:t>Flexible Working Arrangements at BTSL</w:t>
      </w:r>
      <w:r w:rsidRPr="00D148F6">
        <w:rPr>
          <w:rFonts w:ascii="Arial font" w:hAnsi="Arial font"/>
          <w:sz w:val="22"/>
          <w:szCs w:val="22"/>
        </w:rPr>
        <w:br/>
      </w:r>
      <w:r w:rsidR="004A1C78" w:rsidRPr="00D148F6">
        <w:rPr>
          <w:rFonts w:ascii="Arial font" w:hAnsi="Arial font"/>
          <w:sz w:val="22"/>
          <w:szCs w:val="22"/>
        </w:rPr>
        <w:t>BTSL’s hybrid and flexible working practices aim to support work-life balance, improve job satisfaction, and attract a wider range of talent. Research indicates that flexible working, when implemented consistently, can strengthen organisational commitment and reduce absenteeism (CIPD, 2022). Despite these benefits, flexible working arrangements also create challenges if policies are unclear or applied unevenly.</w:t>
      </w:r>
    </w:p>
    <w:p w14:paraId="6F997895" w14:textId="77777777" w:rsidR="004A1C78" w:rsidRPr="00D148F6" w:rsidRDefault="004A1C78" w:rsidP="00D148F6">
      <w:pPr>
        <w:pStyle w:val="NormalWeb"/>
        <w:spacing w:line="360" w:lineRule="auto"/>
        <w:rPr>
          <w:rFonts w:ascii="Arial font" w:hAnsi="Arial font"/>
          <w:sz w:val="22"/>
          <w:szCs w:val="22"/>
        </w:rPr>
      </w:pPr>
      <w:r w:rsidRPr="00D148F6">
        <w:rPr>
          <w:rFonts w:ascii="Arial font" w:hAnsi="Arial font"/>
          <w:sz w:val="22"/>
          <w:szCs w:val="22"/>
        </w:rPr>
        <w:t>Some employees may perceive unfairness if certain teams or individuals receive more flexibility than others. These perceptions can harm trust and create grievances. Remote workers may also experience feelings of isolation or disconnection from their managers, which can weaken team cohesion and affect mental well-being (Johnson et al., 2021). Additionally, hybrid working introduces new communication and performance management complexities, particularly when employees are not physically present.</w:t>
      </w:r>
    </w:p>
    <w:p w14:paraId="0A16D5DC" w14:textId="77777777" w:rsidR="007E3975" w:rsidRDefault="004A1C78" w:rsidP="00D148F6">
      <w:pPr>
        <w:pStyle w:val="NormalWeb"/>
        <w:spacing w:line="360" w:lineRule="auto"/>
        <w:rPr>
          <w:rFonts w:ascii="Arial font" w:hAnsi="Arial font"/>
          <w:sz w:val="22"/>
          <w:szCs w:val="22"/>
        </w:rPr>
      </w:pPr>
      <w:r w:rsidRPr="00D148F6">
        <w:rPr>
          <w:rFonts w:ascii="Arial font" w:hAnsi="Arial font"/>
          <w:sz w:val="22"/>
          <w:szCs w:val="22"/>
        </w:rPr>
        <w:t>Proximity bias — the tendency for managers to favour employees they see more often — is another major risk associated with hybrid working. It can lead to unequal access to promotion, development, and recognition opportunities (Smet et al., 2021). HR must therefore ensure consistent performance standards, clear role expectations, and fair access to support and development, regardless of working location</w:t>
      </w:r>
    </w:p>
    <w:p w14:paraId="09206517" w14:textId="3B035669" w:rsidR="00DD74A9" w:rsidRPr="00D148F6" w:rsidRDefault="00FB1308" w:rsidP="00D148F6">
      <w:pPr>
        <w:pStyle w:val="NormalWeb"/>
        <w:spacing w:line="360" w:lineRule="auto"/>
        <w:rPr>
          <w:rFonts w:ascii="Arial font" w:hAnsi="Arial font"/>
          <w:sz w:val="22"/>
          <w:szCs w:val="22"/>
        </w:rPr>
      </w:pPr>
      <w:r w:rsidRPr="00D148F6">
        <w:rPr>
          <w:rFonts w:ascii="Arial font" w:hAnsi="Arial font"/>
          <w:b/>
          <w:bCs/>
          <w:sz w:val="22"/>
          <w:szCs w:val="22"/>
        </w:rPr>
        <w:t>Interaction of Factors</w:t>
      </w:r>
      <w:r w:rsidRPr="00D148F6">
        <w:rPr>
          <w:rFonts w:ascii="Arial font" w:hAnsi="Arial font"/>
          <w:sz w:val="22"/>
          <w:szCs w:val="22"/>
        </w:rPr>
        <w:br/>
      </w:r>
      <w:r w:rsidR="00DD74A9" w:rsidRPr="00D148F6">
        <w:rPr>
          <w:rFonts w:ascii="Arial font" w:hAnsi="Arial font"/>
          <w:sz w:val="22"/>
          <w:szCs w:val="22"/>
        </w:rPr>
        <w:t>At BTSL, the challenges of transformation, digital adoption, and flexible working do not occur in isolation. Instead, they interact and amplify one another. Employees may be navigating new digital systems while trying to understand a redefined role and working part-time from home. This combination of demands can increase stress levels significantly.</w:t>
      </w:r>
    </w:p>
    <w:p w14:paraId="3AD2CC1E" w14:textId="77777777" w:rsidR="00DD74A9" w:rsidRPr="00D148F6" w:rsidRDefault="00DD74A9" w:rsidP="00D148F6">
      <w:pPr>
        <w:pStyle w:val="NormalWeb"/>
        <w:spacing w:line="360" w:lineRule="auto"/>
        <w:rPr>
          <w:rFonts w:ascii="Arial font" w:hAnsi="Arial font"/>
          <w:sz w:val="22"/>
          <w:szCs w:val="22"/>
        </w:rPr>
      </w:pPr>
      <w:r w:rsidRPr="00D148F6">
        <w:rPr>
          <w:rFonts w:ascii="Arial font" w:hAnsi="Arial font"/>
          <w:sz w:val="22"/>
          <w:szCs w:val="22"/>
        </w:rPr>
        <w:t>Research shows that when staff face overlapping change pressures, the risk of burnout increases unless employers provide coordinated support measures (</w:t>
      </w:r>
      <w:proofErr w:type="spellStart"/>
      <w:r w:rsidRPr="00D148F6">
        <w:rPr>
          <w:rFonts w:ascii="Arial font" w:hAnsi="Arial font"/>
          <w:sz w:val="22"/>
          <w:szCs w:val="22"/>
        </w:rPr>
        <w:t>Eurofound</w:t>
      </w:r>
      <w:proofErr w:type="spellEnd"/>
      <w:r w:rsidRPr="00D148F6">
        <w:rPr>
          <w:rFonts w:ascii="Arial font" w:hAnsi="Arial font"/>
          <w:sz w:val="22"/>
          <w:szCs w:val="22"/>
        </w:rPr>
        <w:t>, 2021). For BTSL, this means HR must adopt an integrated approach that aligns communication, digital training, and flexible working policies. For example, digital training should be accessible to remote workers, transformation updates should be delivered through multiple channels, and performance expectations should be explained consistently across both office and home settings.</w:t>
      </w:r>
    </w:p>
    <w:p w14:paraId="43ED6D8B" w14:textId="77777777" w:rsidR="00DD74A9" w:rsidRPr="00D148F6" w:rsidRDefault="00DD74A9" w:rsidP="00D148F6">
      <w:pPr>
        <w:pStyle w:val="NormalWeb"/>
        <w:spacing w:line="360" w:lineRule="auto"/>
        <w:rPr>
          <w:rFonts w:ascii="Arial font" w:hAnsi="Arial font"/>
          <w:sz w:val="22"/>
          <w:szCs w:val="22"/>
        </w:rPr>
      </w:pPr>
      <w:r w:rsidRPr="00D148F6">
        <w:rPr>
          <w:rFonts w:ascii="Arial font" w:hAnsi="Arial font"/>
          <w:sz w:val="22"/>
          <w:szCs w:val="22"/>
        </w:rPr>
        <w:lastRenderedPageBreak/>
        <w:t>An integrated approach also helps BTSL create a unified organisational identity, even in a hybrid environment. Strengthening communication channels, reinforcing cultural values, and ensuring fairness across departments can help employees feel more secure and supported.</w:t>
      </w:r>
    </w:p>
    <w:p w14:paraId="1B72ADD6" w14:textId="77777777" w:rsidR="007E3975" w:rsidRDefault="00FB1308" w:rsidP="007E3975">
      <w:pPr>
        <w:spacing w:before="100" w:beforeAutospacing="1" w:after="100" w:afterAutospacing="1" w:line="360" w:lineRule="auto"/>
        <w:rPr>
          <w:rFonts w:ascii="Arial font" w:eastAsia="Times New Roman" w:hAnsi="Arial font" w:cs="Times New Roman"/>
          <w:b/>
          <w:bCs/>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 xml:space="preserve">Evaluation of Contemporary HR Practices </w:t>
      </w:r>
    </w:p>
    <w:p w14:paraId="091A7EA8" w14:textId="4F76CBBB" w:rsidR="006B4E0B" w:rsidRPr="007E3975" w:rsidRDefault="00FB1308" w:rsidP="007E3975">
      <w:pPr>
        <w:spacing w:before="100" w:beforeAutospacing="1" w:after="100" w:afterAutospacing="1" w:line="360" w:lineRule="auto"/>
        <w:rPr>
          <w:rFonts w:ascii="Arial font" w:eastAsia="Times New Roman" w:hAnsi="Arial font" w:cs="Times New Roman"/>
          <w:b/>
          <w:bCs/>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Supporting Business Transformation</w:t>
      </w:r>
      <w:r w:rsidRPr="00D148F6">
        <w:rPr>
          <w:rFonts w:ascii="Arial font" w:eastAsia="Times New Roman" w:hAnsi="Arial font" w:cs="Times New Roman"/>
          <w:kern w:val="0"/>
          <w:sz w:val="22"/>
          <w:szCs w:val="22"/>
          <w:lang w:eastAsia="en-GB"/>
          <w14:ligatures w14:val="none"/>
        </w:rPr>
        <w:br/>
      </w:r>
      <w:r w:rsidR="006B4E0B" w:rsidRPr="00D148F6">
        <w:rPr>
          <w:rFonts w:ascii="Arial font" w:hAnsi="Arial font"/>
          <w:sz w:val="22"/>
          <w:szCs w:val="22"/>
        </w:rPr>
        <w:t>BTSL’s HR team employs structured change management tools such as workshops, development programmes, and communication plans to help staff understand the purpose and impact of transformation initiatives (Rees &amp; Smith, 2021). These efforts reduce ambiguity and offer employees the opportunity to ask questions and voice concerns. According to Kotter’s (2012) change model, communicating the vision and empowering employees are essential for successful transformation.</w:t>
      </w:r>
    </w:p>
    <w:p w14:paraId="5879B75D" w14:textId="77777777" w:rsidR="006B4E0B" w:rsidRPr="00D148F6" w:rsidRDefault="006B4E0B" w:rsidP="00D148F6">
      <w:pPr>
        <w:pStyle w:val="NormalWeb"/>
        <w:spacing w:line="360" w:lineRule="auto"/>
        <w:rPr>
          <w:rFonts w:ascii="Arial font" w:hAnsi="Arial font"/>
          <w:sz w:val="22"/>
          <w:szCs w:val="22"/>
        </w:rPr>
      </w:pPr>
      <w:r w:rsidRPr="00D148F6">
        <w:rPr>
          <w:rFonts w:ascii="Arial font" w:hAnsi="Arial font"/>
          <w:sz w:val="22"/>
          <w:szCs w:val="22"/>
        </w:rPr>
        <w:t>HR also helps manage the emotional aspects of change. Employees often experience anxiety or loss when long-standing processes or teams are altered (Schein, 2017). By offering coaching, mentoring, and career development support, HR can help employees regain confidence and feel more in control of their future.</w:t>
      </w:r>
    </w:p>
    <w:p w14:paraId="14B3B7E5" w14:textId="25BE2178" w:rsidR="00556DA3" w:rsidRPr="00D148F6" w:rsidRDefault="00FB1308" w:rsidP="00D148F6">
      <w:pPr>
        <w:pStyle w:val="NormalWeb"/>
        <w:spacing w:line="360" w:lineRule="auto"/>
        <w:rPr>
          <w:rFonts w:ascii="Arial font" w:hAnsi="Arial font"/>
          <w:sz w:val="22"/>
          <w:szCs w:val="22"/>
        </w:rPr>
      </w:pPr>
      <w:r w:rsidRPr="00D148F6">
        <w:rPr>
          <w:rFonts w:ascii="Arial font" w:hAnsi="Arial font"/>
          <w:b/>
          <w:bCs/>
          <w:sz w:val="22"/>
          <w:szCs w:val="22"/>
        </w:rPr>
        <w:t>Addressing Digital Technology Trends</w:t>
      </w:r>
      <w:r w:rsidRPr="00D148F6">
        <w:rPr>
          <w:rFonts w:ascii="Arial font" w:hAnsi="Arial font"/>
          <w:sz w:val="22"/>
          <w:szCs w:val="22"/>
        </w:rPr>
        <w:br/>
      </w:r>
      <w:r w:rsidR="00556DA3" w:rsidRPr="00D148F6">
        <w:rPr>
          <w:rFonts w:ascii="Arial font" w:hAnsi="Arial font"/>
          <w:sz w:val="22"/>
          <w:szCs w:val="22"/>
        </w:rPr>
        <w:t>BTSL provides digital training programmes, online learning modules, and guidance sessions to familiarise employees with new technologies. According to Noe (2020), ongoing training is essential for sustaining digital readiness. HR also implements agile feedback processes, allowing employees to report difficulties or request additional support. This aligns with flexible HR practices that respond quickly to emerging needs (</w:t>
      </w:r>
      <w:proofErr w:type="spellStart"/>
      <w:r w:rsidR="00556DA3" w:rsidRPr="00D148F6">
        <w:rPr>
          <w:rFonts w:ascii="Arial font" w:hAnsi="Arial font"/>
          <w:sz w:val="22"/>
          <w:szCs w:val="22"/>
        </w:rPr>
        <w:t>Bondarouk</w:t>
      </w:r>
      <w:proofErr w:type="spellEnd"/>
      <w:r w:rsidR="00556DA3" w:rsidRPr="00D148F6">
        <w:rPr>
          <w:rFonts w:ascii="Arial font" w:hAnsi="Arial font"/>
          <w:sz w:val="22"/>
          <w:szCs w:val="22"/>
        </w:rPr>
        <w:t xml:space="preserve"> &amp; Brewster, 2016).</w:t>
      </w:r>
    </w:p>
    <w:p w14:paraId="4DA27759" w14:textId="77777777" w:rsidR="00556DA3" w:rsidRPr="00D148F6" w:rsidRDefault="00556DA3" w:rsidP="00D148F6">
      <w:pPr>
        <w:pStyle w:val="NormalWeb"/>
        <w:spacing w:line="360" w:lineRule="auto"/>
        <w:rPr>
          <w:rFonts w:ascii="Arial font" w:hAnsi="Arial font"/>
          <w:sz w:val="22"/>
          <w:szCs w:val="22"/>
        </w:rPr>
      </w:pPr>
      <w:r w:rsidRPr="00D148F6">
        <w:rPr>
          <w:rFonts w:ascii="Arial font" w:hAnsi="Arial font"/>
          <w:sz w:val="22"/>
          <w:szCs w:val="22"/>
        </w:rPr>
        <w:t>In addition, HR promotes digital ethics awareness, ensuring employees understand how data is collected, stored, and used. Transparency helps prevent mistrust or fear around automation (</w:t>
      </w:r>
      <w:proofErr w:type="spellStart"/>
      <w:r w:rsidRPr="00D148F6">
        <w:rPr>
          <w:rFonts w:ascii="Arial font" w:hAnsi="Arial font"/>
          <w:sz w:val="22"/>
          <w:szCs w:val="22"/>
        </w:rPr>
        <w:t>Meijerink</w:t>
      </w:r>
      <w:proofErr w:type="spellEnd"/>
      <w:r w:rsidRPr="00D148F6">
        <w:rPr>
          <w:rFonts w:ascii="Arial font" w:hAnsi="Arial font"/>
          <w:sz w:val="22"/>
          <w:szCs w:val="22"/>
        </w:rPr>
        <w:t xml:space="preserve"> et al., 2021). Encouraging digital well-being, such as reducing unnecessary online meetings and promoting healthy screen habits, also supports employee mental health (Davis, 2020).</w:t>
      </w:r>
    </w:p>
    <w:p w14:paraId="0639C22C" w14:textId="77777777" w:rsidR="00AF2CD4" w:rsidRPr="00D148F6" w:rsidRDefault="00FB1308" w:rsidP="00D148F6">
      <w:pPr>
        <w:pStyle w:val="NormalWeb"/>
        <w:spacing w:line="360" w:lineRule="auto"/>
        <w:rPr>
          <w:rFonts w:ascii="Arial font" w:hAnsi="Arial font"/>
          <w:sz w:val="22"/>
          <w:szCs w:val="22"/>
        </w:rPr>
      </w:pPr>
      <w:r w:rsidRPr="00D148F6">
        <w:rPr>
          <w:rFonts w:ascii="Arial font" w:hAnsi="Arial font"/>
          <w:b/>
          <w:bCs/>
          <w:sz w:val="22"/>
          <w:szCs w:val="22"/>
        </w:rPr>
        <w:t>Managing Flexible Working Arrangements</w:t>
      </w:r>
      <w:r w:rsidRPr="00D148F6">
        <w:rPr>
          <w:rFonts w:ascii="Arial font" w:hAnsi="Arial font"/>
          <w:sz w:val="22"/>
          <w:szCs w:val="22"/>
        </w:rPr>
        <w:br/>
      </w:r>
      <w:r w:rsidR="00AF2CD4" w:rsidRPr="00D148F6">
        <w:rPr>
          <w:rFonts w:ascii="Arial font" w:hAnsi="Arial font"/>
          <w:sz w:val="22"/>
          <w:szCs w:val="22"/>
        </w:rPr>
        <w:t xml:space="preserve">HR ensures flexible working arrangements are guided by clear, transparent policies that outline eligibility, expectations, and performance standards (Armstrong &amp; Taylor, 2023). By establishing outcome-based performance measures, HR can reduce the risk of proximity </w:t>
      </w:r>
      <w:r w:rsidR="00AF2CD4" w:rsidRPr="00D148F6">
        <w:rPr>
          <w:rFonts w:ascii="Arial font" w:hAnsi="Arial font"/>
          <w:sz w:val="22"/>
          <w:szCs w:val="22"/>
        </w:rPr>
        <w:lastRenderedPageBreak/>
        <w:t>bias. HR also monitors flexible working patterns to ensure fairness across teams and identify potential policy inconsistencies.</w:t>
      </w:r>
    </w:p>
    <w:p w14:paraId="70DAD4E5" w14:textId="77777777" w:rsidR="00AF2CD4" w:rsidRPr="00D148F6" w:rsidRDefault="00AF2CD4" w:rsidP="00D148F6">
      <w:pPr>
        <w:pStyle w:val="NormalWeb"/>
        <w:spacing w:line="360" w:lineRule="auto"/>
        <w:rPr>
          <w:rFonts w:ascii="Arial font" w:hAnsi="Arial font"/>
          <w:sz w:val="22"/>
          <w:szCs w:val="22"/>
        </w:rPr>
      </w:pPr>
      <w:r w:rsidRPr="00D148F6">
        <w:rPr>
          <w:rFonts w:ascii="Arial font" w:hAnsi="Arial font"/>
          <w:sz w:val="22"/>
          <w:szCs w:val="22"/>
        </w:rPr>
        <w:t>To support remote workers, HR provides well-being initiatives including mental health resources, virtual social activities, and regular check-ins. These practices help maintain connection and reduce loneliness, which are common concerns in hybrid work environments (Johnson et al., 2021). DEI considerations are also central to BTSL’s approach, ensuring that employees working remotely have equal access to development opportunities and support services (Kulik, 2021).</w:t>
      </w:r>
    </w:p>
    <w:p w14:paraId="2CF6BA2E" w14:textId="6E9FC1D6" w:rsidR="00582C37" w:rsidRPr="00D148F6" w:rsidRDefault="00FB1308" w:rsidP="00D148F6">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Integrated Approach</w:t>
      </w:r>
      <w:r w:rsidRPr="00D148F6">
        <w:rPr>
          <w:rFonts w:ascii="Arial font" w:eastAsia="Times New Roman" w:hAnsi="Arial font" w:cs="Times New Roman"/>
          <w:kern w:val="0"/>
          <w:sz w:val="22"/>
          <w:szCs w:val="22"/>
          <w:lang w:eastAsia="en-GB"/>
          <w14:ligatures w14:val="none"/>
        </w:rPr>
        <w:br/>
      </w:r>
      <w:r w:rsidR="009D677B" w:rsidRPr="00D148F6">
        <w:rPr>
          <w:rFonts w:ascii="Arial font" w:hAnsi="Arial font"/>
          <w:sz w:val="22"/>
          <w:szCs w:val="22"/>
        </w:rPr>
        <w:t>When HR practices addressing transformation, digitalisation, and hybrid working are combined, they create a coherent system that supports both employee needs and organisational objectives. Integrated HR systems help build resilience, reduce grievances, and strengthen overall organisational performance (Rigby &amp; Bilodeau, 2015). For BTSL, integrating HR strategies ensures that no employee group is left behind during ongoing change.</w:t>
      </w:r>
    </w:p>
    <w:p w14:paraId="435127DF" w14:textId="5A13D86C" w:rsidR="00B56C4F" w:rsidRPr="00D148F6" w:rsidRDefault="00FB1308" w:rsidP="00D148F6">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 xml:space="preserve">Critical Evaluation of Managerial Role in Urgent Implementation at BTSL </w:t>
      </w:r>
    </w:p>
    <w:p w14:paraId="372102F9" w14:textId="77777777" w:rsidR="00384C5F" w:rsidRPr="00D148F6" w:rsidRDefault="00384C5F" w:rsidP="00D148F6">
      <w:pPr>
        <w:pStyle w:val="NormalWeb"/>
        <w:spacing w:line="360" w:lineRule="auto"/>
        <w:rPr>
          <w:rFonts w:ascii="Arial font" w:hAnsi="Arial font"/>
          <w:sz w:val="22"/>
          <w:szCs w:val="22"/>
        </w:rPr>
      </w:pPr>
      <w:r w:rsidRPr="00D148F6">
        <w:rPr>
          <w:rFonts w:ascii="Arial font" w:hAnsi="Arial font"/>
          <w:sz w:val="22"/>
          <w:szCs w:val="22"/>
        </w:rPr>
        <w:t>Managers at BTSL are essential agents in ensuring HR initiatives are implemented effectively and promptly. Their day-to-day interactions with employees have a large influence on how changes are perceived and experienced. Research highlights that managerial behaviour often has a stronger impact on employee well-being than organisational policies themselves (Schein, 2017).</w:t>
      </w:r>
    </w:p>
    <w:p w14:paraId="087BCF65" w14:textId="77777777" w:rsidR="00384C5F" w:rsidRPr="00D148F6" w:rsidRDefault="00384C5F" w:rsidP="00D148F6">
      <w:pPr>
        <w:pStyle w:val="NormalWeb"/>
        <w:spacing w:line="360" w:lineRule="auto"/>
        <w:rPr>
          <w:rFonts w:ascii="Arial font" w:hAnsi="Arial font"/>
          <w:sz w:val="22"/>
          <w:szCs w:val="22"/>
        </w:rPr>
      </w:pPr>
      <w:r w:rsidRPr="00D148F6">
        <w:rPr>
          <w:rFonts w:ascii="Arial font" w:hAnsi="Arial font"/>
          <w:sz w:val="22"/>
          <w:szCs w:val="22"/>
        </w:rPr>
        <w:t>Managers must therefore be trained in multiple areas, including hybrid leadership, digital tool usage, conflict management, and communication strategies (Rees &amp; Smith, 2021). Effective managers provide clear feedback, encourage psychological safety, and create an environment where employees feel comfortable expressing concerns. West and Dawson (2019) argue that supportive line management is one of the strongest predictors of employee engagement.</w:t>
      </w:r>
    </w:p>
    <w:p w14:paraId="10D00D5E" w14:textId="77777777" w:rsidR="00384C5F" w:rsidRPr="00D148F6" w:rsidRDefault="00384C5F" w:rsidP="00D148F6">
      <w:pPr>
        <w:pStyle w:val="NormalWeb"/>
        <w:spacing w:line="360" w:lineRule="auto"/>
        <w:rPr>
          <w:rFonts w:ascii="Arial font" w:hAnsi="Arial font"/>
          <w:sz w:val="22"/>
          <w:szCs w:val="22"/>
        </w:rPr>
      </w:pPr>
      <w:r w:rsidRPr="00D148F6">
        <w:rPr>
          <w:rFonts w:ascii="Arial font" w:hAnsi="Arial font"/>
          <w:sz w:val="22"/>
          <w:szCs w:val="22"/>
        </w:rPr>
        <w:t xml:space="preserve">In the context of flexible working, managers must ensure that remote staff receive equal attention and development opportunities. They must also monitor workloads, recognising </w:t>
      </w:r>
      <w:r w:rsidRPr="00D148F6">
        <w:rPr>
          <w:rFonts w:ascii="Arial font" w:hAnsi="Arial font"/>
          <w:sz w:val="22"/>
          <w:szCs w:val="22"/>
        </w:rPr>
        <w:lastRenderedPageBreak/>
        <w:t>signs of burnout or digital fatigue. Accountability mechanisms, such as linking managerial performance targets to HR outcomes, ensure managers take their responsibilities seriously.</w:t>
      </w:r>
    </w:p>
    <w:p w14:paraId="189D810E" w14:textId="77777777" w:rsidR="00384C5F" w:rsidRPr="00D148F6" w:rsidRDefault="00384C5F" w:rsidP="00D148F6">
      <w:pPr>
        <w:pStyle w:val="NormalWeb"/>
        <w:spacing w:line="360" w:lineRule="auto"/>
        <w:rPr>
          <w:rFonts w:ascii="Arial font" w:hAnsi="Arial font"/>
          <w:sz w:val="22"/>
          <w:szCs w:val="22"/>
        </w:rPr>
      </w:pPr>
      <w:r w:rsidRPr="00D148F6">
        <w:rPr>
          <w:rFonts w:ascii="Arial font" w:hAnsi="Arial font"/>
          <w:sz w:val="22"/>
          <w:szCs w:val="22"/>
        </w:rPr>
        <w:t>Managers also play a symbolic role. Their attitudes towards transformation, technology, and hybrid working influence how employees respond. Managers who demonstrate openness, adaptability, and inclusivity set a positive example and help build trust. Ultimately, effective managerial leadership ensures HR policies are not merely documented but lived in practice.</w:t>
      </w:r>
    </w:p>
    <w:p w14:paraId="711E40D7" w14:textId="77777777" w:rsidR="00507CDC" w:rsidRPr="00D148F6" w:rsidRDefault="00FB1308" w:rsidP="00D148F6">
      <w:pPr>
        <w:pStyle w:val="NormalWeb"/>
        <w:spacing w:line="360" w:lineRule="auto"/>
        <w:rPr>
          <w:rFonts w:ascii="Arial font" w:hAnsi="Arial font"/>
          <w:b/>
          <w:bCs/>
          <w:sz w:val="22"/>
          <w:szCs w:val="22"/>
        </w:rPr>
      </w:pPr>
      <w:r w:rsidRPr="00D148F6">
        <w:rPr>
          <w:rFonts w:ascii="Arial font" w:hAnsi="Arial font"/>
          <w:b/>
          <w:bCs/>
          <w:sz w:val="22"/>
          <w:szCs w:val="22"/>
        </w:rPr>
        <w:t xml:space="preserve">Conclusion </w:t>
      </w:r>
    </w:p>
    <w:p w14:paraId="2EC0B3B3" w14:textId="40CF7091" w:rsidR="00507CDC" w:rsidRPr="00D148F6" w:rsidRDefault="00507CDC" w:rsidP="00D148F6">
      <w:pPr>
        <w:pStyle w:val="NormalWeb"/>
        <w:spacing w:line="360" w:lineRule="auto"/>
        <w:rPr>
          <w:rFonts w:ascii="Arial font" w:hAnsi="Arial font"/>
          <w:sz w:val="22"/>
          <w:szCs w:val="22"/>
        </w:rPr>
      </w:pPr>
      <w:r w:rsidRPr="00D148F6">
        <w:rPr>
          <w:rFonts w:ascii="Arial font" w:hAnsi="Arial font"/>
          <w:sz w:val="22"/>
          <w:szCs w:val="22"/>
        </w:rPr>
        <w:t>BTSL’s recent organisational changes — including major transformation efforts, adoption of new digital technologies, and the introduction of flexible working — have created both opportunities and challenges. While these initiatives strengthen organisational agility and competitiveness, they also create risks related to employee stress, role confusion, and inconsistent experiences across teams. HR plays a crucial role in addressing these issues through effective communication, structured training, clear policies, and integrated support systems.</w:t>
      </w:r>
    </w:p>
    <w:p w14:paraId="31BAA5EE" w14:textId="77777777" w:rsidR="00507CDC" w:rsidRPr="00D148F6" w:rsidRDefault="00507CDC" w:rsidP="00D148F6">
      <w:pPr>
        <w:pStyle w:val="NormalWeb"/>
        <w:spacing w:line="360" w:lineRule="auto"/>
        <w:rPr>
          <w:rFonts w:ascii="Arial font" w:hAnsi="Arial font"/>
          <w:sz w:val="22"/>
          <w:szCs w:val="22"/>
        </w:rPr>
      </w:pPr>
      <w:r w:rsidRPr="00D148F6">
        <w:rPr>
          <w:rFonts w:ascii="Arial font" w:hAnsi="Arial font"/>
          <w:sz w:val="22"/>
          <w:szCs w:val="22"/>
        </w:rPr>
        <w:t>Managers are key to implementing HR initiatives successfully. Their leadership, communication, and daily practices shape employee perceptions and influence how effectively individuals adapt to change. By combining strong HR strategies with committed managerial support, BTSL can create a resilient workforce capable of thriving during ongoing transformation</w:t>
      </w:r>
    </w:p>
    <w:p w14:paraId="6A75AF2B" w14:textId="43B454C5" w:rsidR="00FB1308" w:rsidRPr="00D148F6" w:rsidRDefault="00FB1308" w:rsidP="00D148F6">
      <w:pPr>
        <w:spacing w:before="100" w:beforeAutospacing="1" w:after="100" w:afterAutospacing="1" w:line="360" w:lineRule="auto"/>
        <w:rPr>
          <w:rFonts w:ascii="Arial font" w:eastAsia="Times New Roman" w:hAnsi="Arial font" w:cs="Times New Roman"/>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Recommendations:</w:t>
      </w:r>
    </w:p>
    <w:p w14:paraId="5927FCD8"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t>To support employees effectively during BTSL’s ongoing organisational transformation, it is essential to strengthen managerial capabilities. Managers should be equipped with skills in hybrid leadership, digital tools, conflict resolution, and inclusive performance management. By developing these competencies, managers can guide their teams confidently, ensure policies are applied consistently, and respond to employee concerns in a timely manner.</w:t>
      </w:r>
    </w:p>
    <w:p w14:paraId="6E1BBE3C"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t>Creating channels for continuous feedback is also crucial. Regular employee surveys, team discussions, and anonymous feedback platforms can help HR and managers identify emerging challenges early. This proactive approach allows interventions to be implemented quickly, ensuring employees feel heard and valued.</w:t>
      </w:r>
    </w:p>
    <w:p w14:paraId="395E06D9"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lastRenderedPageBreak/>
        <w:t>Clear and transparent communication plays a vital role in reducing uncertainty and promoting trust. BTSL should maintain frequent updates about transformation progress, using multiple channels such as emails, dashboards, and interactive Q&amp;A sessions. Providing consistent and accessible information reassures employees and encourages their active participation in organisational change.</w:t>
      </w:r>
    </w:p>
    <w:p w14:paraId="673980D5"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t>Equitable application of HR policies must be monitored to prevent perceptions of unfairness, particularly in flexible working arrangements. Managers should ensure that all employees have access to development opportunities, clear performance expectations, and fair workload distribution. This helps maintain morale, strengthen engagement, and reduce the likelihood of grievances.</w:t>
      </w:r>
    </w:p>
    <w:p w14:paraId="24104897"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t>Supporting employee well-being is another critical priority. Initiatives that address digital fatigue, mental health, and work-life balance can improve resilience and job satisfaction. Encouraging boundaries between work and personal life, offering mental health resources, and promoting ergonomic working conditions for remote staff contribute to a healthier and more productive workforce.</w:t>
      </w:r>
    </w:p>
    <w:p w14:paraId="1FBDA133"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t>Finally, ensuring equal access to training and development opportunities is vital for sustaining adaptability. Digital skills, soft skills, and career development programmes should be accessible to all employees, including those working remotely. Mentoring, coaching, and online resources provide additional support, enabling employees to navigate new technologies, roles, and responsibilities with confidence.</w:t>
      </w:r>
    </w:p>
    <w:p w14:paraId="48DDDAEC" w14:textId="77777777" w:rsidR="00BC3BAF" w:rsidRPr="00D148F6" w:rsidRDefault="00BC3BAF" w:rsidP="00D148F6">
      <w:pPr>
        <w:pStyle w:val="NormalWeb"/>
        <w:spacing w:line="360" w:lineRule="auto"/>
        <w:rPr>
          <w:rFonts w:ascii="Arial font" w:hAnsi="Arial font"/>
          <w:sz w:val="22"/>
          <w:szCs w:val="22"/>
        </w:rPr>
      </w:pPr>
      <w:r w:rsidRPr="00D148F6">
        <w:rPr>
          <w:rFonts w:ascii="Arial font" w:hAnsi="Arial font"/>
          <w:sz w:val="22"/>
          <w:szCs w:val="22"/>
        </w:rPr>
        <w:t>By integrating these approaches, BTSL can foster an environment where employees feel supported, engaged, and capable of thriving amid continuous organisational change</w:t>
      </w:r>
    </w:p>
    <w:p w14:paraId="401BDFDF" w14:textId="77777777" w:rsidR="007E3975" w:rsidRDefault="000D02A3" w:rsidP="007E3975">
      <w:pPr>
        <w:spacing w:before="100" w:beforeAutospacing="1" w:after="100" w:afterAutospacing="1" w:line="360" w:lineRule="auto"/>
        <w:outlineLvl w:val="1"/>
        <w:rPr>
          <w:rFonts w:ascii="Arial font" w:eastAsia="Times New Roman" w:hAnsi="Arial font" w:cs="Times New Roman"/>
          <w:b/>
          <w:bCs/>
          <w:kern w:val="0"/>
          <w:sz w:val="22"/>
          <w:szCs w:val="22"/>
          <w:lang w:eastAsia="en-GB"/>
          <w14:ligatures w14:val="none"/>
        </w:rPr>
      </w:pPr>
      <w:r w:rsidRPr="00D148F6">
        <w:rPr>
          <w:rFonts w:ascii="Arial font" w:eastAsia="Times New Roman" w:hAnsi="Arial font" w:cs="Times New Roman"/>
          <w:b/>
          <w:bCs/>
          <w:kern w:val="0"/>
          <w:sz w:val="22"/>
          <w:szCs w:val="22"/>
          <w:lang w:eastAsia="en-GB"/>
          <w14:ligatures w14:val="none"/>
        </w:rPr>
        <w:t xml:space="preserve"> </w:t>
      </w:r>
      <w:r w:rsidR="00FB1308" w:rsidRPr="00D148F6">
        <w:rPr>
          <w:rFonts w:ascii="Arial font" w:eastAsia="Times New Roman" w:hAnsi="Arial font" w:cs="Times New Roman"/>
          <w:b/>
          <w:bCs/>
          <w:kern w:val="0"/>
          <w:sz w:val="22"/>
          <w:szCs w:val="22"/>
          <w:lang w:eastAsia="en-GB"/>
          <w14:ligatures w14:val="none"/>
        </w:rPr>
        <w:t>References</w:t>
      </w:r>
    </w:p>
    <w:p w14:paraId="4D4F6BA0" w14:textId="411790D4" w:rsidR="007E3975" w:rsidRPr="007E3975" w:rsidRDefault="00E928F2" w:rsidP="007E3975">
      <w:pPr>
        <w:spacing w:before="100" w:beforeAutospacing="1" w:after="100" w:afterAutospacing="1" w:line="360" w:lineRule="auto"/>
        <w:outlineLvl w:val="1"/>
        <w:rPr>
          <w:rFonts w:ascii="Arial font" w:eastAsia="Times New Roman" w:hAnsi="Arial font" w:cs="Times New Roman"/>
          <w:b/>
          <w:bCs/>
          <w:kern w:val="0"/>
          <w:sz w:val="22"/>
          <w:szCs w:val="22"/>
          <w:lang w:eastAsia="en-GB"/>
          <w14:ligatures w14:val="none"/>
        </w:rPr>
      </w:pPr>
      <w:r w:rsidRPr="00D148F6">
        <w:rPr>
          <w:rFonts w:ascii="Arial font" w:hAnsi="Arial font"/>
          <w:sz w:val="22"/>
          <w:szCs w:val="22"/>
        </w:rPr>
        <w:t xml:space="preserve">Armstrong, M. &amp; Taylor, S. (2023) </w:t>
      </w:r>
      <w:r w:rsidRPr="00D148F6">
        <w:rPr>
          <w:rStyle w:val="Emphasis"/>
          <w:rFonts w:ascii="Arial font" w:hAnsi="Arial font"/>
          <w:sz w:val="22"/>
          <w:szCs w:val="22"/>
        </w:rPr>
        <w:t>Armstrong’s Handbook of Human Resource Management Practice</w:t>
      </w:r>
      <w:r w:rsidRPr="00D148F6">
        <w:rPr>
          <w:rFonts w:ascii="Arial font" w:hAnsi="Arial font"/>
          <w:sz w:val="22"/>
          <w:szCs w:val="22"/>
        </w:rPr>
        <w:t>. 16th ed. London: Kogan Page.</w:t>
      </w:r>
    </w:p>
    <w:p w14:paraId="36F5EFDF" w14:textId="777136C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Bondarouk, T. &amp; Brewster, C. (2016) ‘Conceptualising the future of HRM and technology research’, </w:t>
      </w:r>
      <w:r w:rsidRPr="00D148F6">
        <w:rPr>
          <w:rStyle w:val="Emphasis"/>
          <w:rFonts w:ascii="Arial font" w:eastAsiaTheme="majorEastAsia" w:hAnsi="Arial font"/>
          <w:sz w:val="22"/>
          <w:szCs w:val="22"/>
        </w:rPr>
        <w:t>International Journal of Human Resource Management</w:t>
      </w:r>
      <w:r w:rsidRPr="00D148F6">
        <w:rPr>
          <w:rFonts w:ascii="Arial font" w:hAnsi="Arial font"/>
          <w:sz w:val="22"/>
          <w:szCs w:val="22"/>
        </w:rPr>
        <w:t>, 27(21), pp. 2652–2671.</w:t>
      </w:r>
    </w:p>
    <w:p w14:paraId="14001694"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Cameron, E. &amp; Green, M. (2019) </w:t>
      </w:r>
      <w:r w:rsidRPr="00D148F6">
        <w:rPr>
          <w:rStyle w:val="Emphasis"/>
          <w:rFonts w:ascii="Arial font" w:eastAsiaTheme="majorEastAsia" w:hAnsi="Arial font"/>
          <w:sz w:val="22"/>
          <w:szCs w:val="22"/>
        </w:rPr>
        <w:t>Making Sense of Change Management</w:t>
      </w:r>
      <w:r w:rsidRPr="00D148F6">
        <w:rPr>
          <w:rFonts w:ascii="Arial font" w:hAnsi="Arial font"/>
          <w:sz w:val="22"/>
          <w:szCs w:val="22"/>
        </w:rPr>
        <w:t>. 5th ed. London: Kogan Page.</w:t>
      </w:r>
    </w:p>
    <w:p w14:paraId="626EFA10"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lastRenderedPageBreak/>
        <w:t xml:space="preserve">CIPD (2022) </w:t>
      </w:r>
      <w:r w:rsidRPr="00D148F6">
        <w:rPr>
          <w:rStyle w:val="Emphasis"/>
          <w:rFonts w:ascii="Arial font" w:eastAsiaTheme="majorEastAsia" w:hAnsi="Arial font"/>
          <w:sz w:val="22"/>
          <w:szCs w:val="22"/>
        </w:rPr>
        <w:t>Flexible and Hybrid Working Practices Report</w:t>
      </w:r>
      <w:r w:rsidRPr="00D148F6">
        <w:rPr>
          <w:rFonts w:ascii="Arial font" w:hAnsi="Arial font"/>
          <w:sz w:val="22"/>
          <w:szCs w:val="22"/>
        </w:rPr>
        <w:t>. London: Chartered Institute of Personnel and Development.</w:t>
      </w:r>
    </w:p>
    <w:p w14:paraId="567C30E5"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Davis, G. (2020) ‘Digital transformation and employee readiness’, </w:t>
      </w:r>
      <w:r w:rsidRPr="00D148F6">
        <w:rPr>
          <w:rStyle w:val="Emphasis"/>
          <w:rFonts w:ascii="Arial font" w:eastAsiaTheme="majorEastAsia" w:hAnsi="Arial font"/>
          <w:sz w:val="22"/>
          <w:szCs w:val="22"/>
        </w:rPr>
        <w:t>Journal of Organisational Change Management</w:t>
      </w:r>
      <w:r w:rsidRPr="00D148F6">
        <w:rPr>
          <w:rFonts w:ascii="Arial font" w:hAnsi="Arial font"/>
          <w:sz w:val="22"/>
          <w:szCs w:val="22"/>
        </w:rPr>
        <w:t>, 33(7), pp. 1103–1117.</w:t>
      </w:r>
    </w:p>
    <w:p w14:paraId="756CAF68" w14:textId="77777777" w:rsidR="00E928F2" w:rsidRPr="00D148F6" w:rsidRDefault="00E928F2" w:rsidP="00D148F6">
      <w:pPr>
        <w:pStyle w:val="NormalWeb"/>
        <w:spacing w:line="360" w:lineRule="auto"/>
        <w:rPr>
          <w:rFonts w:ascii="Arial font" w:hAnsi="Arial font"/>
          <w:sz w:val="22"/>
          <w:szCs w:val="22"/>
        </w:rPr>
      </w:pPr>
      <w:proofErr w:type="spellStart"/>
      <w:r w:rsidRPr="00D148F6">
        <w:rPr>
          <w:rFonts w:ascii="Arial font" w:hAnsi="Arial font"/>
          <w:sz w:val="22"/>
          <w:szCs w:val="22"/>
        </w:rPr>
        <w:t>Eurofound</w:t>
      </w:r>
      <w:proofErr w:type="spellEnd"/>
      <w:r w:rsidRPr="00D148F6">
        <w:rPr>
          <w:rFonts w:ascii="Arial font" w:hAnsi="Arial font"/>
          <w:sz w:val="22"/>
          <w:szCs w:val="22"/>
        </w:rPr>
        <w:t xml:space="preserve"> (2021) </w:t>
      </w:r>
      <w:r w:rsidRPr="00D148F6">
        <w:rPr>
          <w:rStyle w:val="Emphasis"/>
          <w:rFonts w:ascii="Arial font" w:eastAsiaTheme="majorEastAsia" w:hAnsi="Arial font"/>
          <w:sz w:val="22"/>
          <w:szCs w:val="22"/>
        </w:rPr>
        <w:t>Living, Working and COVID-19</w:t>
      </w:r>
      <w:r w:rsidRPr="00D148F6">
        <w:rPr>
          <w:rFonts w:ascii="Arial font" w:hAnsi="Arial font"/>
          <w:sz w:val="22"/>
          <w:szCs w:val="22"/>
        </w:rPr>
        <w:t>. Luxembourg: Publications Office of the European Union.</w:t>
      </w:r>
    </w:p>
    <w:p w14:paraId="65923066"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Johnson, M., Lukaszewski, K. &amp; Stone, D. (2021) ‘Remote work and organisational justice’, </w:t>
      </w:r>
      <w:r w:rsidRPr="00D148F6">
        <w:rPr>
          <w:rStyle w:val="Emphasis"/>
          <w:rFonts w:ascii="Arial font" w:eastAsiaTheme="majorEastAsia" w:hAnsi="Arial font"/>
          <w:sz w:val="22"/>
          <w:szCs w:val="22"/>
        </w:rPr>
        <w:t>Human Resource Management Review</w:t>
      </w:r>
      <w:r w:rsidRPr="00D148F6">
        <w:rPr>
          <w:rFonts w:ascii="Arial font" w:hAnsi="Arial font"/>
          <w:sz w:val="22"/>
          <w:szCs w:val="22"/>
        </w:rPr>
        <w:t>, 31(4).</w:t>
      </w:r>
    </w:p>
    <w:p w14:paraId="3457B091"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Kotter, J. (2012) </w:t>
      </w:r>
      <w:r w:rsidRPr="00D148F6">
        <w:rPr>
          <w:rStyle w:val="Emphasis"/>
          <w:rFonts w:ascii="Arial font" w:eastAsiaTheme="majorEastAsia" w:hAnsi="Arial font"/>
          <w:sz w:val="22"/>
          <w:szCs w:val="22"/>
        </w:rPr>
        <w:t>Leading Change</w:t>
      </w:r>
      <w:r w:rsidRPr="00D148F6">
        <w:rPr>
          <w:rFonts w:ascii="Arial font" w:hAnsi="Arial font"/>
          <w:sz w:val="22"/>
          <w:szCs w:val="22"/>
        </w:rPr>
        <w:t>. Boston: Harvard Business Review Press.</w:t>
      </w:r>
    </w:p>
    <w:p w14:paraId="231D79A7"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Kulik, C. (2021) ‘Equality and inclusion in the digital workplace’, </w:t>
      </w:r>
      <w:r w:rsidRPr="00D148F6">
        <w:rPr>
          <w:rStyle w:val="Emphasis"/>
          <w:rFonts w:ascii="Arial font" w:eastAsiaTheme="majorEastAsia" w:hAnsi="Arial font"/>
          <w:sz w:val="22"/>
          <w:szCs w:val="22"/>
        </w:rPr>
        <w:t>Academy of Management Perspectives</w:t>
      </w:r>
      <w:r w:rsidRPr="00D148F6">
        <w:rPr>
          <w:rFonts w:ascii="Arial font" w:hAnsi="Arial font"/>
          <w:sz w:val="22"/>
          <w:szCs w:val="22"/>
        </w:rPr>
        <w:t>, 35(4).</w:t>
      </w:r>
    </w:p>
    <w:p w14:paraId="3CD0C061" w14:textId="77777777" w:rsidR="00E928F2" w:rsidRPr="00D148F6" w:rsidRDefault="00E928F2" w:rsidP="00D148F6">
      <w:pPr>
        <w:pStyle w:val="NormalWeb"/>
        <w:spacing w:line="360" w:lineRule="auto"/>
        <w:rPr>
          <w:rFonts w:ascii="Arial font" w:hAnsi="Arial font"/>
          <w:sz w:val="22"/>
          <w:szCs w:val="22"/>
        </w:rPr>
      </w:pPr>
      <w:proofErr w:type="spellStart"/>
      <w:r w:rsidRPr="00D148F6">
        <w:rPr>
          <w:rFonts w:ascii="Arial font" w:hAnsi="Arial font"/>
          <w:sz w:val="22"/>
          <w:szCs w:val="22"/>
        </w:rPr>
        <w:t>Meijerink</w:t>
      </w:r>
      <w:proofErr w:type="spellEnd"/>
      <w:r w:rsidRPr="00D148F6">
        <w:rPr>
          <w:rFonts w:ascii="Arial font" w:hAnsi="Arial font"/>
          <w:sz w:val="22"/>
          <w:szCs w:val="22"/>
        </w:rPr>
        <w:t xml:space="preserve">, J., Bondarouk, T. &amp; Lepak, D. (2021) ‘HRM and AI: ethical risks and employee outcomes’, </w:t>
      </w:r>
      <w:r w:rsidRPr="00D148F6">
        <w:rPr>
          <w:rStyle w:val="Emphasis"/>
          <w:rFonts w:ascii="Arial font" w:eastAsiaTheme="majorEastAsia" w:hAnsi="Arial font"/>
          <w:sz w:val="22"/>
          <w:szCs w:val="22"/>
        </w:rPr>
        <w:t>Human Resource Management Review</w:t>
      </w:r>
      <w:r w:rsidRPr="00D148F6">
        <w:rPr>
          <w:rFonts w:ascii="Arial font" w:hAnsi="Arial font"/>
          <w:sz w:val="22"/>
          <w:szCs w:val="22"/>
        </w:rPr>
        <w:t>, 31(2).</w:t>
      </w:r>
    </w:p>
    <w:p w14:paraId="7B6B8405" w14:textId="77777777" w:rsidR="007339C3"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Noe, R. (2020) </w:t>
      </w:r>
      <w:r w:rsidRPr="00D148F6">
        <w:rPr>
          <w:rStyle w:val="Emphasis"/>
          <w:rFonts w:ascii="Arial font" w:eastAsiaTheme="majorEastAsia" w:hAnsi="Arial font"/>
          <w:sz w:val="22"/>
          <w:szCs w:val="22"/>
        </w:rPr>
        <w:t>Employee Training and Development</w:t>
      </w:r>
      <w:r w:rsidRPr="00D148F6">
        <w:rPr>
          <w:rFonts w:ascii="Arial font" w:hAnsi="Arial font"/>
          <w:sz w:val="22"/>
          <w:szCs w:val="22"/>
        </w:rPr>
        <w:t>. 8th ed. New York: McGraw-Hill.</w:t>
      </w:r>
    </w:p>
    <w:p w14:paraId="1FDA84C8" w14:textId="7D67350F"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Rees, G. &amp; Smith, P. (2021) </w:t>
      </w:r>
      <w:r w:rsidRPr="00D148F6">
        <w:rPr>
          <w:rStyle w:val="Emphasis"/>
          <w:rFonts w:ascii="Arial font" w:eastAsiaTheme="majorEastAsia" w:hAnsi="Arial font"/>
          <w:sz w:val="22"/>
          <w:szCs w:val="22"/>
        </w:rPr>
        <w:t>Strategic Human Resource Management</w:t>
      </w:r>
      <w:r w:rsidRPr="00D148F6">
        <w:rPr>
          <w:rFonts w:ascii="Arial font" w:hAnsi="Arial font"/>
          <w:sz w:val="22"/>
          <w:szCs w:val="22"/>
        </w:rPr>
        <w:t>. 5th ed. London: Sage.</w:t>
      </w:r>
    </w:p>
    <w:p w14:paraId="1D249DF6"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Rigby, D. &amp; Bilodeau, B. (2015) ‘Management tools and trends’, </w:t>
      </w:r>
      <w:r w:rsidRPr="00D148F6">
        <w:rPr>
          <w:rStyle w:val="Emphasis"/>
          <w:rFonts w:ascii="Arial font" w:eastAsiaTheme="majorEastAsia" w:hAnsi="Arial font"/>
          <w:sz w:val="22"/>
          <w:szCs w:val="22"/>
        </w:rPr>
        <w:t>Bain &amp; Company Report</w:t>
      </w:r>
      <w:r w:rsidRPr="00D148F6">
        <w:rPr>
          <w:rFonts w:ascii="Arial font" w:hAnsi="Arial font"/>
          <w:sz w:val="22"/>
          <w:szCs w:val="22"/>
        </w:rPr>
        <w:t>.</w:t>
      </w:r>
    </w:p>
    <w:p w14:paraId="20CCADC7" w14:textId="77777777" w:rsidR="00E928F2" w:rsidRPr="00D148F6" w:rsidRDefault="00E928F2" w:rsidP="00D148F6">
      <w:pPr>
        <w:pStyle w:val="NormalWeb"/>
        <w:spacing w:line="360" w:lineRule="auto"/>
        <w:rPr>
          <w:rFonts w:ascii="Arial font" w:hAnsi="Arial font"/>
          <w:sz w:val="22"/>
          <w:szCs w:val="22"/>
        </w:rPr>
      </w:pPr>
      <w:r w:rsidRPr="00D148F6">
        <w:rPr>
          <w:rFonts w:ascii="Arial font" w:hAnsi="Arial font"/>
          <w:sz w:val="22"/>
          <w:szCs w:val="22"/>
        </w:rPr>
        <w:t xml:space="preserve">Schein, E. (2017) </w:t>
      </w:r>
      <w:r w:rsidRPr="00D148F6">
        <w:rPr>
          <w:rStyle w:val="Emphasis"/>
          <w:rFonts w:ascii="Arial font" w:eastAsiaTheme="majorEastAsia" w:hAnsi="Arial font"/>
          <w:sz w:val="22"/>
          <w:szCs w:val="22"/>
        </w:rPr>
        <w:t>Organisational Culture and Leadership</w:t>
      </w:r>
      <w:r w:rsidRPr="00D148F6">
        <w:rPr>
          <w:rFonts w:ascii="Arial font" w:hAnsi="Arial font"/>
          <w:sz w:val="22"/>
          <w:szCs w:val="22"/>
        </w:rPr>
        <w:t>. 5th ed. San Francisco: Jossey-Bass.</w:t>
      </w:r>
    </w:p>
    <w:p w14:paraId="673362BD" w14:textId="77777777" w:rsidR="00E928F2" w:rsidRPr="00630D87" w:rsidRDefault="00E928F2" w:rsidP="00630D87">
      <w:pPr>
        <w:pStyle w:val="NormalWeb"/>
        <w:spacing w:line="360" w:lineRule="auto"/>
        <w:rPr>
          <w:rFonts w:ascii="Arial font" w:hAnsi="Arial font"/>
          <w:sz w:val="22"/>
          <w:szCs w:val="22"/>
        </w:rPr>
      </w:pPr>
      <w:r w:rsidRPr="00630D87">
        <w:rPr>
          <w:rFonts w:ascii="Arial font" w:hAnsi="Arial font"/>
          <w:sz w:val="22"/>
          <w:szCs w:val="22"/>
        </w:rPr>
        <w:t xml:space="preserve">Smet, A. de, Stern, N. &amp; Townsend, S. (2021) ‘The future of hybrid work’, </w:t>
      </w:r>
      <w:r w:rsidRPr="00630D87">
        <w:rPr>
          <w:rStyle w:val="Emphasis"/>
          <w:rFonts w:ascii="Arial font" w:eastAsiaTheme="majorEastAsia" w:hAnsi="Arial font"/>
          <w:sz w:val="22"/>
          <w:szCs w:val="22"/>
        </w:rPr>
        <w:t>McKinsey Quarterly</w:t>
      </w:r>
      <w:r w:rsidRPr="00630D87">
        <w:rPr>
          <w:rFonts w:ascii="Arial font" w:hAnsi="Arial font"/>
          <w:sz w:val="22"/>
          <w:szCs w:val="22"/>
        </w:rPr>
        <w:t>.</w:t>
      </w:r>
    </w:p>
    <w:p w14:paraId="395FD662" w14:textId="32B707AD" w:rsidR="00E928F2" w:rsidRPr="00630D87" w:rsidRDefault="00E928F2" w:rsidP="00630D87">
      <w:pPr>
        <w:pStyle w:val="NormalWeb"/>
        <w:spacing w:line="360" w:lineRule="auto"/>
        <w:rPr>
          <w:rFonts w:ascii="Arial font" w:hAnsi="Arial font"/>
          <w:sz w:val="22"/>
          <w:szCs w:val="22"/>
        </w:rPr>
      </w:pPr>
      <w:r w:rsidRPr="00630D87">
        <w:rPr>
          <w:rFonts w:ascii="Arial font" w:hAnsi="Arial font"/>
          <w:sz w:val="22"/>
          <w:szCs w:val="22"/>
        </w:rPr>
        <w:t xml:space="preserve">West, M. &amp; Dawson, J. (2019) </w:t>
      </w:r>
      <w:r w:rsidRPr="00630D87">
        <w:rPr>
          <w:rStyle w:val="Emphasis"/>
          <w:rFonts w:ascii="Arial font" w:eastAsiaTheme="majorEastAsia" w:hAnsi="Arial font"/>
          <w:sz w:val="22"/>
          <w:szCs w:val="22"/>
        </w:rPr>
        <w:t>Employee Engagement and Well-being</w:t>
      </w:r>
      <w:r w:rsidRPr="00630D87">
        <w:rPr>
          <w:rFonts w:ascii="Arial font" w:hAnsi="Arial font"/>
          <w:sz w:val="22"/>
          <w:szCs w:val="22"/>
        </w:rPr>
        <w:t>. London: The King’s Fund.</w:t>
      </w:r>
      <w:r w:rsidR="00630D87" w:rsidRPr="00630D87">
        <w:rPr>
          <w:rFonts w:ascii="Arial font" w:hAnsi="Arial font"/>
          <w:sz w:val="22"/>
          <w:szCs w:val="22"/>
        </w:rPr>
        <w:t xml:space="preserve"> </w:t>
      </w:r>
    </w:p>
    <w:p w14:paraId="219F8F8E" w14:textId="77777777" w:rsidR="00630D87" w:rsidRPr="00630D87" w:rsidRDefault="00630D87" w:rsidP="00630D87">
      <w:pPr>
        <w:pStyle w:val="NormalWeb"/>
        <w:spacing w:line="360" w:lineRule="auto"/>
        <w:rPr>
          <w:rFonts w:ascii="Arial font" w:hAnsi="Arial font"/>
          <w:sz w:val="22"/>
          <w:szCs w:val="22"/>
        </w:rPr>
      </w:pPr>
      <w:r w:rsidRPr="00630D87">
        <w:rPr>
          <w:rFonts w:ascii="Arial font" w:hAnsi="Arial font"/>
          <w:sz w:val="22"/>
          <w:szCs w:val="22"/>
        </w:rPr>
        <w:t xml:space="preserve">Maslow, A.H. (1943) </w:t>
      </w:r>
      <w:r w:rsidRPr="00630D87">
        <w:rPr>
          <w:rStyle w:val="Emphasis"/>
          <w:rFonts w:ascii="Arial font" w:eastAsiaTheme="majorEastAsia" w:hAnsi="Arial font"/>
          <w:sz w:val="22"/>
          <w:szCs w:val="22"/>
        </w:rPr>
        <w:t>A theory of human motivation</w:t>
      </w:r>
      <w:r w:rsidRPr="00630D87">
        <w:rPr>
          <w:rFonts w:ascii="Arial font" w:hAnsi="Arial font"/>
          <w:sz w:val="22"/>
          <w:szCs w:val="22"/>
        </w:rPr>
        <w:t>. Psychological Review, 50(4), pp. 370–396.</w:t>
      </w:r>
    </w:p>
    <w:p w14:paraId="015309F0" w14:textId="77777777" w:rsidR="00630D87" w:rsidRPr="00630D87" w:rsidRDefault="00630D87" w:rsidP="00630D87">
      <w:pPr>
        <w:pStyle w:val="NormalWeb"/>
        <w:spacing w:line="360" w:lineRule="auto"/>
        <w:rPr>
          <w:rFonts w:ascii="Arial font" w:hAnsi="Arial font"/>
          <w:sz w:val="22"/>
          <w:szCs w:val="22"/>
        </w:rPr>
      </w:pPr>
      <w:r w:rsidRPr="00630D87">
        <w:rPr>
          <w:rFonts w:ascii="Arial font" w:hAnsi="Arial font"/>
          <w:sz w:val="22"/>
          <w:szCs w:val="22"/>
        </w:rPr>
        <w:lastRenderedPageBreak/>
        <w:t xml:space="preserve">Taylor, F.W. (1911) </w:t>
      </w:r>
      <w:r w:rsidRPr="00630D87">
        <w:rPr>
          <w:rStyle w:val="Emphasis"/>
          <w:rFonts w:ascii="Arial font" w:eastAsiaTheme="majorEastAsia" w:hAnsi="Arial font"/>
          <w:sz w:val="22"/>
          <w:szCs w:val="22"/>
        </w:rPr>
        <w:t>The Principles of Scientific Management</w:t>
      </w:r>
      <w:r w:rsidRPr="00630D87">
        <w:rPr>
          <w:rFonts w:ascii="Arial font" w:hAnsi="Arial font"/>
          <w:sz w:val="22"/>
          <w:szCs w:val="22"/>
        </w:rPr>
        <w:t>. New York: Harper &amp; Brothers.</w:t>
      </w:r>
    </w:p>
    <w:p w14:paraId="69B0FD5F" w14:textId="77777777" w:rsidR="00630D87" w:rsidRPr="00630D87" w:rsidRDefault="00630D87" w:rsidP="00630D87">
      <w:pPr>
        <w:pStyle w:val="NormalWeb"/>
        <w:spacing w:line="360" w:lineRule="auto"/>
        <w:rPr>
          <w:rFonts w:ascii="Arial font" w:hAnsi="Arial font"/>
          <w:sz w:val="22"/>
          <w:szCs w:val="22"/>
        </w:rPr>
      </w:pPr>
      <w:r w:rsidRPr="00630D87">
        <w:rPr>
          <w:rFonts w:ascii="Arial font" w:hAnsi="Arial font"/>
          <w:sz w:val="22"/>
          <w:szCs w:val="22"/>
        </w:rPr>
        <w:t xml:space="preserve">Armstrong, M. and Taylor, S. (2023) </w:t>
      </w:r>
      <w:r w:rsidRPr="00630D87">
        <w:rPr>
          <w:rStyle w:val="Emphasis"/>
          <w:rFonts w:ascii="Arial font" w:eastAsiaTheme="majorEastAsia" w:hAnsi="Arial font"/>
          <w:sz w:val="22"/>
          <w:szCs w:val="22"/>
        </w:rPr>
        <w:t>Armstrong’s Handbook of Human Resource Management Practice</w:t>
      </w:r>
      <w:r w:rsidRPr="00630D87">
        <w:rPr>
          <w:rFonts w:ascii="Arial font" w:hAnsi="Arial font"/>
          <w:sz w:val="22"/>
          <w:szCs w:val="22"/>
        </w:rPr>
        <w:t xml:space="preserve">. 15th </w:t>
      </w:r>
      <w:proofErr w:type="spellStart"/>
      <w:r w:rsidRPr="00630D87">
        <w:rPr>
          <w:rFonts w:ascii="Arial font" w:hAnsi="Arial font"/>
          <w:sz w:val="22"/>
          <w:szCs w:val="22"/>
        </w:rPr>
        <w:t>edn</w:t>
      </w:r>
      <w:proofErr w:type="spellEnd"/>
      <w:r w:rsidRPr="00630D87">
        <w:rPr>
          <w:rFonts w:ascii="Arial font" w:hAnsi="Arial font"/>
          <w:sz w:val="22"/>
          <w:szCs w:val="22"/>
        </w:rPr>
        <w:t>. London: Kogan Page.</w:t>
      </w:r>
    </w:p>
    <w:p w14:paraId="45F526C4" w14:textId="77777777" w:rsidR="00630D87" w:rsidRPr="00630D87" w:rsidRDefault="00630D87" w:rsidP="00630D87">
      <w:pPr>
        <w:pStyle w:val="NormalWeb"/>
        <w:spacing w:line="360" w:lineRule="auto"/>
        <w:rPr>
          <w:rFonts w:ascii="Arial font" w:hAnsi="Arial font"/>
          <w:sz w:val="22"/>
          <w:szCs w:val="22"/>
        </w:rPr>
      </w:pPr>
      <w:r w:rsidRPr="00630D87">
        <w:rPr>
          <w:rFonts w:ascii="Arial font" w:hAnsi="Arial font"/>
          <w:sz w:val="22"/>
          <w:szCs w:val="22"/>
        </w:rPr>
        <w:t xml:space="preserve">Rees, G. and Smith, P. (2021) </w:t>
      </w:r>
      <w:r w:rsidRPr="00630D87">
        <w:rPr>
          <w:rStyle w:val="Emphasis"/>
          <w:rFonts w:ascii="Arial font" w:eastAsiaTheme="majorEastAsia" w:hAnsi="Arial font"/>
          <w:sz w:val="22"/>
          <w:szCs w:val="22"/>
        </w:rPr>
        <w:t>Strategic Human Resource Management</w:t>
      </w:r>
      <w:r w:rsidRPr="00630D87">
        <w:rPr>
          <w:rFonts w:ascii="Arial font" w:hAnsi="Arial font"/>
          <w:sz w:val="22"/>
          <w:szCs w:val="22"/>
        </w:rPr>
        <w:t xml:space="preserve">. 2nd </w:t>
      </w:r>
      <w:proofErr w:type="spellStart"/>
      <w:r w:rsidRPr="00630D87">
        <w:rPr>
          <w:rFonts w:ascii="Arial font" w:hAnsi="Arial font"/>
          <w:sz w:val="22"/>
          <w:szCs w:val="22"/>
        </w:rPr>
        <w:t>edn</w:t>
      </w:r>
      <w:proofErr w:type="spellEnd"/>
      <w:r w:rsidRPr="00630D87">
        <w:rPr>
          <w:rFonts w:ascii="Arial font" w:hAnsi="Arial font"/>
          <w:sz w:val="22"/>
          <w:szCs w:val="22"/>
        </w:rPr>
        <w:t>. London: Sage.</w:t>
      </w:r>
    </w:p>
    <w:p w14:paraId="68DCF8CE" w14:textId="77777777" w:rsidR="00630D87" w:rsidRPr="00630D87" w:rsidRDefault="00630D87" w:rsidP="00630D87">
      <w:pPr>
        <w:pStyle w:val="NormalWeb"/>
        <w:spacing w:line="360" w:lineRule="auto"/>
        <w:rPr>
          <w:rFonts w:ascii="Arial font" w:hAnsi="Arial font"/>
          <w:sz w:val="22"/>
          <w:szCs w:val="22"/>
        </w:rPr>
      </w:pPr>
      <w:r w:rsidRPr="00630D87">
        <w:rPr>
          <w:rFonts w:ascii="Arial font" w:hAnsi="Arial font"/>
          <w:sz w:val="22"/>
          <w:szCs w:val="22"/>
        </w:rPr>
        <w:t xml:space="preserve">Cameron, E. and Green, M. (2019) </w:t>
      </w:r>
      <w:r w:rsidRPr="00630D87">
        <w:rPr>
          <w:rStyle w:val="Emphasis"/>
          <w:rFonts w:ascii="Arial font" w:eastAsiaTheme="majorEastAsia" w:hAnsi="Arial font"/>
          <w:sz w:val="22"/>
          <w:szCs w:val="22"/>
        </w:rPr>
        <w:t>Making Sense of Change Management</w:t>
      </w:r>
      <w:r w:rsidRPr="00630D87">
        <w:rPr>
          <w:rFonts w:ascii="Arial font" w:hAnsi="Arial font"/>
          <w:sz w:val="22"/>
          <w:szCs w:val="22"/>
        </w:rPr>
        <w:t xml:space="preserve">. 5th </w:t>
      </w:r>
      <w:proofErr w:type="spellStart"/>
      <w:r w:rsidRPr="00630D87">
        <w:rPr>
          <w:rFonts w:ascii="Arial font" w:hAnsi="Arial font"/>
          <w:sz w:val="22"/>
          <w:szCs w:val="22"/>
        </w:rPr>
        <w:t>edn</w:t>
      </w:r>
      <w:proofErr w:type="spellEnd"/>
      <w:r w:rsidRPr="00630D87">
        <w:rPr>
          <w:rFonts w:ascii="Arial font" w:hAnsi="Arial font"/>
          <w:sz w:val="22"/>
          <w:szCs w:val="22"/>
        </w:rPr>
        <w:t>. London: Kogan Page.</w:t>
      </w:r>
    </w:p>
    <w:p w14:paraId="658ED273" w14:textId="77777777" w:rsidR="00630D87" w:rsidRPr="00D148F6" w:rsidRDefault="00630D87" w:rsidP="00D148F6">
      <w:pPr>
        <w:pStyle w:val="NormalWeb"/>
        <w:spacing w:line="360" w:lineRule="auto"/>
        <w:rPr>
          <w:rFonts w:ascii="Arial font" w:hAnsi="Arial font"/>
          <w:sz w:val="22"/>
          <w:szCs w:val="22"/>
        </w:rPr>
      </w:pPr>
    </w:p>
    <w:p w14:paraId="59EEA991" w14:textId="77777777" w:rsidR="00421651" w:rsidRPr="0002426F" w:rsidRDefault="00421651" w:rsidP="00344A16">
      <w:pPr>
        <w:rPr>
          <w:rFonts w:ascii="Arial font" w:hAnsi="Arial font"/>
          <w:sz w:val="22"/>
          <w:szCs w:val="22"/>
        </w:rPr>
      </w:pPr>
    </w:p>
    <w:sectPr w:rsidR="00421651" w:rsidRPr="0002426F" w:rsidSect="009A7C5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20E1A" w14:textId="77777777" w:rsidR="008643F3" w:rsidRDefault="008643F3" w:rsidP="00605E5D">
      <w:pPr>
        <w:spacing w:after="0" w:line="240" w:lineRule="auto"/>
      </w:pPr>
      <w:r>
        <w:separator/>
      </w:r>
    </w:p>
  </w:endnote>
  <w:endnote w:type="continuationSeparator" w:id="0">
    <w:p w14:paraId="6C516CF2" w14:textId="77777777" w:rsidR="008643F3" w:rsidRDefault="008643F3" w:rsidP="00605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fon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391233"/>
      <w:docPartObj>
        <w:docPartGallery w:val="Page Numbers (Bottom of Page)"/>
        <w:docPartUnique/>
      </w:docPartObj>
    </w:sdtPr>
    <w:sdtContent>
      <w:p w14:paraId="73826B81" w14:textId="77777777" w:rsidR="003C49F2" w:rsidRDefault="003C49F2">
        <w:pPr>
          <w:pStyle w:val="Footer"/>
        </w:pPr>
      </w:p>
      <w:p w14:paraId="2314BB03" w14:textId="77777777" w:rsidR="003C49F2" w:rsidRDefault="003C49F2">
        <w:pPr>
          <w:pStyle w:val="Footer"/>
        </w:pPr>
      </w:p>
      <w:p w14:paraId="78C864E1" w14:textId="77777777" w:rsidR="003C49F2" w:rsidRDefault="003C49F2">
        <w:pPr>
          <w:pStyle w:val="Footer"/>
        </w:pPr>
      </w:p>
      <w:p w14:paraId="4819EDFD" w14:textId="605194D2" w:rsidR="003C49F2" w:rsidRDefault="003C49F2">
        <w:pPr>
          <w:pStyle w:val="Footer"/>
        </w:pPr>
        <w:r>
          <w:fldChar w:fldCharType="begin"/>
        </w:r>
        <w:r>
          <w:instrText>PAGE   \* MERGEFORMAT</w:instrText>
        </w:r>
        <w:r>
          <w:fldChar w:fldCharType="separate"/>
        </w:r>
        <w:r>
          <w:t>2</w:t>
        </w:r>
        <w:r>
          <w:fldChar w:fldCharType="end"/>
        </w:r>
      </w:p>
    </w:sdtContent>
  </w:sdt>
  <w:p w14:paraId="2006762F" w14:textId="77777777" w:rsidR="003C49F2" w:rsidRDefault="003C4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272E7" w14:textId="77777777" w:rsidR="008643F3" w:rsidRDefault="008643F3" w:rsidP="00605E5D">
      <w:pPr>
        <w:spacing w:after="0" w:line="240" w:lineRule="auto"/>
      </w:pPr>
      <w:r>
        <w:separator/>
      </w:r>
    </w:p>
  </w:footnote>
  <w:footnote w:type="continuationSeparator" w:id="0">
    <w:p w14:paraId="194248FC" w14:textId="77777777" w:rsidR="008643F3" w:rsidRDefault="008643F3" w:rsidP="00605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08FB"/>
    <w:multiLevelType w:val="multilevel"/>
    <w:tmpl w:val="8146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B2049C"/>
    <w:multiLevelType w:val="multilevel"/>
    <w:tmpl w:val="F5F0A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1B5272"/>
    <w:multiLevelType w:val="multilevel"/>
    <w:tmpl w:val="4CE2E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1954344">
    <w:abstractNumId w:val="0"/>
  </w:num>
  <w:num w:numId="2" w16cid:durableId="788548476">
    <w:abstractNumId w:val="2"/>
  </w:num>
  <w:num w:numId="3" w16cid:durableId="1057245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651"/>
    <w:rsid w:val="0002426F"/>
    <w:rsid w:val="000C2F5E"/>
    <w:rsid w:val="000D02A3"/>
    <w:rsid w:val="000E45B3"/>
    <w:rsid w:val="000F4284"/>
    <w:rsid w:val="0011228F"/>
    <w:rsid w:val="00117891"/>
    <w:rsid w:val="001516B8"/>
    <w:rsid w:val="00185B52"/>
    <w:rsid w:val="001957A1"/>
    <w:rsid w:val="001F16C9"/>
    <w:rsid w:val="0021121E"/>
    <w:rsid w:val="00220B47"/>
    <w:rsid w:val="00233FD1"/>
    <w:rsid w:val="00235B7C"/>
    <w:rsid w:val="0027113E"/>
    <w:rsid w:val="00280D4B"/>
    <w:rsid w:val="00285FE3"/>
    <w:rsid w:val="00304DD9"/>
    <w:rsid w:val="00344A16"/>
    <w:rsid w:val="00347FB7"/>
    <w:rsid w:val="00384C5F"/>
    <w:rsid w:val="00396479"/>
    <w:rsid w:val="003964DB"/>
    <w:rsid w:val="003C3798"/>
    <w:rsid w:val="003C49F2"/>
    <w:rsid w:val="00410AF9"/>
    <w:rsid w:val="00421651"/>
    <w:rsid w:val="004801A7"/>
    <w:rsid w:val="004A1C78"/>
    <w:rsid w:val="004C4D60"/>
    <w:rsid w:val="00507CDC"/>
    <w:rsid w:val="00512966"/>
    <w:rsid w:val="00513DB7"/>
    <w:rsid w:val="00556DA3"/>
    <w:rsid w:val="00582C37"/>
    <w:rsid w:val="005C4DA9"/>
    <w:rsid w:val="005F7428"/>
    <w:rsid w:val="00605E5D"/>
    <w:rsid w:val="00630CB2"/>
    <w:rsid w:val="00630D87"/>
    <w:rsid w:val="00645A18"/>
    <w:rsid w:val="0065792F"/>
    <w:rsid w:val="006A12A7"/>
    <w:rsid w:val="006B4E0B"/>
    <w:rsid w:val="006F5D62"/>
    <w:rsid w:val="00705D15"/>
    <w:rsid w:val="007339C3"/>
    <w:rsid w:val="007E3975"/>
    <w:rsid w:val="007F3522"/>
    <w:rsid w:val="008243F0"/>
    <w:rsid w:val="00836F9C"/>
    <w:rsid w:val="00850DE7"/>
    <w:rsid w:val="008643F3"/>
    <w:rsid w:val="0087331F"/>
    <w:rsid w:val="00881CF3"/>
    <w:rsid w:val="008B55EF"/>
    <w:rsid w:val="008C56E9"/>
    <w:rsid w:val="008E16C7"/>
    <w:rsid w:val="008E4B03"/>
    <w:rsid w:val="00917F99"/>
    <w:rsid w:val="009943C8"/>
    <w:rsid w:val="009A7C58"/>
    <w:rsid w:val="009D677B"/>
    <w:rsid w:val="00A97D82"/>
    <w:rsid w:val="00AE51F9"/>
    <w:rsid w:val="00AF2CD4"/>
    <w:rsid w:val="00B15FEF"/>
    <w:rsid w:val="00B24E8C"/>
    <w:rsid w:val="00B56C4F"/>
    <w:rsid w:val="00B63A46"/>
    <w:rsid w:val="00B63BC3"/>
    <w:rsid w:val="00BC3BAF"/>
    <w:rsid w:val="00C07C31"/>
    <w:rsid w:val="00C262C9"/>
    <w:rsid w:val="00C565B0"/>
    <w:rsid w:val="00C807DD"/>
    <w:rsid w:val="00C81E3E"/>
    <w:rsid w:val="00CD6693"/>
    <w:rsid w:val="00CE1E79"/>
    <w:rsid w:val="00D148F6"/>
    <w:rsid w:val="00DA3900"/>
    <w:rsid w:val="00DC3916"/>
    <w:rsid w:val="00DD17B5"/>
    <w:rsid w:val="00DD74A9"/>
    <w:rsid w:val="00DE2FCA"/>
    <w:rsid w:val="00E8385A"/>
    <w:rsid w:val="00E928F2"/>
    <w:rsid w:val="00EB15E8"/>
    <w:rsid w:val="00F1225D"/>
    <w:rsid w:val="00F21C5E"/>
    <w:rsid w:val="00F46CF5"/>
    <w:rsid w:val="00F849E2"/>
    <w:rsid w:val="00F964BF"/>
    <w:rsid w:val="00FB1308"/>
    <w:rsid w:val="00FC6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7AB13"/>
  <w15:chartTrackingRefBased/>
  <w15:docId w15:val="{48449459-65AE-457A-A66C-C0D74D02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D87"/>
  </w:style>
  <w:style w:type="paragraph" w:styleId="Heading1">
    <w:name w:val="heading 1"/>
    <w:basedOn w:val="Normal"/>
    <w:next w:val="Normal"/>
    <w:link w:val="Heading1Char"/>
    <w:uiPriority w:val="9"/>
    <w:qFormat/>
    <w:rsid w:val="004216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6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6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6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6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6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6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6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6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6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6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6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6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6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6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6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651"/>
    <w:rPr>
      <w:rFonts w:eastAsiaTheme="majorEastAsia" w:cstheme="majorBidi"/>
      <w:color w:val="272727" w:themeColor="text1" w:themeTint="D8"/>
    </w:rPr>
  </w:style>
  <w:style w:type="paragraph" w:styleId="Title">
    <w:name w:val="Title"/>
    <w:basedOn w:val="Normal"/>
    <w:next w:val="Normal"/>
    <w:link w:val="TitleChar"/>
    <w:uiPriority w:val="10"/>
    <w:qFormat/>
    <w:rsid w:val="004216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6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6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6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651"/>
    <w:pPr>
      <w:spacing w:before="160"/>
      <w:jc w:val="center"/>
    </w:pPr>
    <w:rPr>
      <w:i/>
      <w:iCs/>
      <w:color w:val="404040" w:themeColor="text1" w:themeTint="BF"/>
    </w:rPr>
  </w:style>
  <w:style w:type="character" w:customStyle="1" w:styleId="QuoteChar">
    <w:name w:val="Quote Char"/>
    <w:basedOn w:val="DefaultParagraphFont"/>
    <w:link w:val="Quote"/>
    <w:uiPriority w:val="29"/>
    <w:rsid w:val="00421651"/>
    <w:rPr>
      <w:i/>
      <w:iCs/>
      <w:color w:val="404040" w:themeColor="text1" w:themeTint="BF"/>
    </w:rPr>
  </w:style>
  <w:style w:type="paragraph" w:styleId="ListParagraph">
    <w:name w:val="List Paragraph"/>
    <w:basedOn w:val="Normal"/>
    <w:uiPriority w:val="34"/>
    <w:qFormat/>
    <w:rsid w:val="00421651"/>
    <w:pPr>
      <w:ind w:left="720"/>
      <w:contextualSpacing/>
    </w:pPr>
  </w:style>
  <w:style w:type="character" w:styleId="IntenseEmphasis">
    <w:name w:val="Intense Emphasis"/>
    <w:basedOn w:val="DefaultParagraphFont"/>
    <w:uiPriority w:val="21"/>
    <w:qFormat/>
    <w:rsid w:val="00421651"/>
    <w:rPr>
      <w:i/>
      <w:iCs/>
      <w:color w:val="0F4761" w:themeColor="accent1" w:themeShade="BF"/>
    </w:rPr>
  </w:style>
  <w:style w:type="paragraph" w:styleId="IntenseQuote">
    <w:name w:val="Intense Quote"/>
    <w:basedOn w:val="Normal"/>
    <w:next w:val="Normal"/>
    <w:link w:val="IntenseQuoteChar"/>
    <w:uiPriority w:val="30"/>
    <w:qFormat/>
    <w:rsid w:val="004216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651"/>
    <w:rPr>
      <w:i/>
      <w:iCs/>
      <w:color w:val="0F4761" w:themeColor="accent1" w:themeShade="BF"/>
    </w:rPr>
  </w:style>
  <w:style w:type="character" w:styleId="IntenseReference">
    <w:name w:val="Intense Reference"/>
    <w:basedOn w:val="DefaultParagraphFont"/>
    <w:uiPriority w:val="32"/>
    <w:qFormat/>
    <w:rsid w:val="00421651"/>
    <w:rPr>
      <w:b/>
      <w:bCs/>
      <w:smallCaps/>
      <w:color w:val="0F4761" w:themeColor="accent1" w:themeShade="BF"/>
      <w:spacing w:val="5"/>
    </w:rPr>
  </w:style>
  <w:style w:type="paragraph" w:styleId="NoSpacing">
    <w:name w:val="No Spacing"/>
    <w:link w:val="NoSpacingChar"/>
    <w:uiPriority w:val="1"/>
    <w:qFormat/>
    <w:rsid w:val="009A7C5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A7C58"/>
    <w:rPr>
      <w:rFonts w:eastAsiaTheme="minorEastAsia"/>
      <w:kern w:val="0"/>
      <w:sz w:val="22"/>
      <w:szCs w:val="22"/>
      <w:lang w:eastAsia="en-GB"/>
      <w14:ligatures w14:val="none"/>
    </w:rPr>
  </w:style>
  <w:style w:type="paragraph" w:styleId="Header">
    <w:name w:val="header"/>
    <w:basedOn w:val="Normal"/>
    <w:link w:val="HeaderChar"/>
    <w:uiPriority w:val="99"/>
    <w:unhideWhenUsed/>
    <w:rsid w:val="00605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E5D"/>
  </w:style>
  <w:style w:type="paragraph" w:styleId="Footer">
    <w:name w:val="footer"/>
    <w:basedOn w:val="Normal"/>
    <w:link w:val="FooterChar"/>
    <w:uiPriority w:val="99"/>
    <w:unhideWhenUsed/>
    <w:rsid w:val="00605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E5D"/>
  </w:style>
  <w:style w:type="paragraph" w:styleId="NormalWeb">
    <w:name w:val="Normal (Web)"/>
    <w:basedOn w:val="Normal"/>
    <w:uiPriority w:val="99"/>
    <w:semiHidden/>
    <w:unhideWhenUsed/>
    <w:rsid w:val="00C565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92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215</TotalTime>
  <Pages>14</Pages>
  <Words>3495</Words>
  <Characters>19926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dias</dc:creator>
  <cp:keywords/>
  <dc:description/>
  <cp:lastModifiedBy>angela dias</cp:lastModifiedBy>
  <cp:revision>86</cp:revision>
  <dcterms:created xsi:type="dcterms:W3CDTF">2025-12-05T11:15:00Z</dcterms:created>
  <dcterms:modified xsi:type="dcterms:W3CDTF">2025-12-13T08:59:00Z</dcterms:modified>
</cp:coreProperties>
</file>