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AFEDE" w14:textId="64E18D27" w:rsidR="00807D9B" w:rsidRPr="00A3650E" w:rsidRDefault="00A3650E" w:rsidP="00A3650E">
      <w:pPr>
        <w:jc w:val="center"/>
        <w:rPr>
          <w:b/>
          <w:bCs/>
          <w:sz w:val="28"/>
          <w:szCs w:val="28"/>
          <w:u w:val="single"/>
        </w:rPr>
      </w:pPr>
      <w:r w:rsidRPr="00A3650E">
        <w:rPr>
          <w:b/>
          <w:bCs/>
          <w:sz w:val="28"/>
          <w:szCs w:val="28"/>
          <w:u w:val="single"/>
        </w:rPr>
        <w:t>Skills in the Museum</w:t>
      </w:r>
    </w:p>
    <w:p w14:paraId="491A737D" w14:textId="16CD683E" w:rsidR="003A2C06" w:rsidRDefault="003A2C06" w:rsidP="00A3650E"/>
    <w:p w14:paraId="6124C03A" w14:textId="7E6AF5CE" w:rsidR="003A2C06" w:rsidRDefault="003A2C06" w:rsidP="00A3650E">
      <w:r w:rsidRPr="003A2C06">
        <w:rPr>
          <w:u w:val="single"/>
        </w:rPr>
        <w:t>1500 words</w:t>
      </w:r>
      <w:r w:rsidRPr="003A2C06">
        <w:rPr>
          <w:u w:val="single"/>
        </w:rPr>
        <w:br/>
        <w:t xml:space="preserve">Plan an outreach and engagement event. </w:t>
      </w:r>
      <w:r w:rsidRPr="003A2C06">
        <w:rPr>
          <w:u w:val="single"/>
        </w:rPr>
        <w:br/>
      </w:r>
      <w:r>
        <w:t xml:space="preserve">Create a detailed plan of an event with specific reference to audience participation. </w:t>
      </w:r>
      <w:r w:rsidR="00AF4206">
        <w:t xml:space="preserve">Think about the variety of activities that could be offered by an organisation, including object handling and creative workshops. </w:t>
      </w:r>
    </w:p>
    <w:p w14:paraId="6864CF2D" w14:textId="7E6CEE8D" w:rsidR="00AF4206" w:rsidRDefault="00AF4206" w:rsidP="00A3650E"/>
    <w:p w14:paraId="3E236D91" w14:textId="77777777" w:rsidR="005E5AD5" w:rsidRPr="00092207" w:rsidRDefault="005E5AD5" w:rsidP="005E5AD5"/>
    <w:p w14:paraId="044A34BA" w14:textId="77777777" w:rsidR="007131F6" w:rsidRDefault="007131F6" w:rsidP="007131F6">
      <w:pPr>
        <w:rPr>
          <w:u w:val="single"/>
        </w:rPr>
      </w:pPr>
      <w:r w:rsidRPr="007131F6">
        <w:rPr>
          <w:u w:val="single"/>
        </w:rPr>
        <w:t xml:space="preserve">Things to think about when planning an event: </w:t>
      </w:r>
      <w:r w:rsidRPr="007131F6">
        <w:rPr>
          <w:u w:val="single"/>
        </w:rPr>
        <w:br/>
      </w:r>
    </w:p>
    <w:p w14:paraId="3DFB49A7" w14:textId="4078A3E9" w:rsidR="007131F6" w:rsidRDefault="007131F6" w:rsidP="007131F6">
      <w:pPr>
        <w:pStyle w:val="ListParagraph"/>
        <w:numPr>
          <w:ilvl w:val="0"/>
          <w:numId w:val="2"/>
        </w:numPr>
      </w:pPr>
      <w:r>
        <w:t xml:space="preserve">What is the purpose of your event? Theme </w:t>
      </w:r>
      <w:proofErr w:type="gramStart"/>
      <w:r>
        <w:t>e.g.</w:t>
      </w:r>
      <w:proofErr w:type="gramEnd"/>
      <w:r>
        <w:t xml:space="preserve"> Centenary of Discovery of Tutankhamun</w:t>
      </w:r>
    </w:p>
    <w:p w14:paraId="057C0E8F" w14:textId="77777777" w:rsidR="007131F6" w:rsidRDefault="007131F6" w:rsidP="007131F6">
      <w:pPr>
        <w:pStyle w:val="ListParagraph"/>
        <w:numPr>
          <w:ilvl w:val="0"/>
          <w:numId w:val="2"/>
        </w:numPr>
      </w:pPr>
      <w:r>
        <w:t>Who is your event for? General public, families, schools</w:t>
      </w:r>
    </w:p>
    <w:p w14:paraId="42E09676" w14:textId="179A2D4E" w:rsidR="007131F6" w:rsidRDefault="007131F6" w:rsidP="007131F6">
      <w:pPr>
        <w:pStyle w:val="ListParagraph"/>
        <w:numPr>
          <w:ilvl w:val="0"/>
          <w:numId w:val="2"/>
        </w:numPr>
      </w:pPr>
      <w:r>
        <w:t>How are you going to fund it? Cost breakdown.</w:t>
      </w:r>
    </w:p>
    <w:p w14:paraId="592AF5C1" w14:textId="77777777" w:rsidR="007131F6" w:rsidRDefault="007131F6" w:rsidP="007131F6">
      <w:pPr>
        <w:pStyle w:val="ListParagraph"/>
        <w:numPr>
          <w:ilvl w:val="0"/>
          <w:numId w:val="2"/>
        </w:numPr>
      </w:pPr>
      <w:r>
        <w:t xml:space="preserve">Are you going to work in collaboration with someone? </w:t>
      </w:r>
    </w:p>
    <w:p w14:paraId="07A08CD2" w14:textId="77777777" w:rsidR="007131F6" w:rsidRDefault="007131F6" w:rsidP="007131F6">
      <w:pPr>
        <w:pStyle w:val="ListParagraph"/>
        <w:numPr>
          <w:ilvl w:val="0"/>
          <w:numId w:val="2"/>
        </w:numPr>
      </w:pPr>
      <w:r w:rsidRPr="007131F6">
        <w:t xml:space="preserve">Are you going to use collections? </w:t>
      </w:r>
    </w:p>
    <w:p w14:paraId="60E01FD1" w14:textId="0D9E4756" w:rsidR="007131F6" w:rsidRDefault="007131F6" w:rsidP="007131F6">
      <w:pPr>
        <w:pStyle w:val="ListParagraph"/>
        <w:numPr>
          <w:ilvl w:val="0"/>
          <w:numId w:val="2"/>
        </w:numPr>
      </w:pPr>
      <w:r>
        <w:t>Safeguarding/DBS</w:t>
      </w:r>
    </w:p>
    <w:p w14:paraId="0C237700" w14:textId="77777777" w:rsidR="007131F6" w:rsidRDefault="007131F6" w:rsidP="007131F6">
      <w:pPr>
        <w:ind w:left="360"/>
      </w:pPr>
    </w:p>
    <w:p w14:paraId="0E499AEF" w14:textId="77777777" w:rsidR="007131F6" w:rsidRDefault="007131F6" w:rsidP="007131F6"/>
    <w:p w14:paraId="02B82D1E" w14:textId="6EA7994F" w:rsidR="007131F6" w:rsidRDefault="007131F6" w:rsidP="0004733D">
      <w:pPr>
        <w:rPr>
          <w:u w:val="single"/>
        </w:rPr>
      </w:pPr>
    </w:p>
    <w:p w14:paraId="2EB15B7F" w14:textId="77777777" w:rsidR="007131F6" w:rsidRDefault="007131F6" w:rsidP="0004733D">
      <w:pPr>
        <w:rPr>
          <w:u w:val="single"/>
        </w:rPr>
      </w:pPr>
    </w:p>
    <w:p w14:paraId="607B289B" w14:textId="180A0B08" w:rsidR="005E5AD5" w:rsidRDefault="005E5AD5" w:rsidP="005E5AD5">
      <w:r w:rsidRPr="005E5AD5">
        <w:t>Reading:</w:t>
      </w:r>
      <w:r w:rsidRPr="005E5AD5">
        <w:br/>
      </w:r>
      <w:r w:rsidRPr="00092207">
        <w:t xml:space="preserve">Crooke E., 2007 Museums and Community: Ideas, Issues and Challenges, in Hooper-Greenhill E. and Kaplan F., </w:t>
      </w:r>
      <w:r w:rsidRPr="00092207">
        <w:rPr>
          <w:i/>
          <w:iCs/>
        </w:rPr>
        <w:t>Museum Meanings</w:t>
      </w:r>
      <w:r w:rsidRPr="00092207">
        <w:t>, London: Routledge</w:t>
      </w:r>
    </w:p>
    <w:p w14:paraId="5455F617" w14:textId="00CEB570" w:rsidR="004D1FD5" w:rsidRDefault="004D1FD5" w:rsidP="005E5AD5"/>
    <w:p w14:paraId="15133E71" w14:textId="1E7BC6D1" w:rsidR="004D1FD5" w:rsidRDefault="004D1FD5" w:rsidP="005E5AD5">
      <w:r w:rsidRPr="00092207">
        <w:t xml:space="preserve">Dicks B., 2000, </w:t>
      </w:r>
      <w:r w:rsidRPr="00092207">
        <w:rPr>
          <w:i/>
          <w:iCs/>
        </w:rPr>
        <w:t>Encoding and decoding the people: Circuits of communication at a local heritage museum</w:t>
      </w:r>
      <w:r w:rsidRPr="00092207">
        <w:t>, in European Journal of Communication 15(1): 61-78</w:t>
      </w:r>
    </w:p>
    <w:p w14:paraId="79DA1346" w14:textId="77777777" w:rsidR="002A4658" w:rsidRDefault="002A4658" w:rsidP="005E5AD5"/>
    <w:p w14:paraId="5A877199" w14:textId="3E2251E6" w:rsidR="005E5AD5" w:rsidRDefault="005E5AD5" w:rsidP="005E5AD5">
      <w:r w:rsidRPr="00092207">
        <w:t xml:space="preserve">Hooper-Greenhill E., 2007, Museums and Education, purpose, pedagogy, performance in </w:t>
      </w:r>
      <w:r w:rsidRPr="00092207">
        <w:br/>
        <w:t xml:space="preserve">Hooper-Greenhill E. and Kaplan F., </w:t>
      </w:r>
      <w:r w:rsidRPr="00092207">
        <w:rPr>
          <w:i/>
          <w:iCs/>
        </w:rPr>
        <w:t>Museum Meanings</w:t>
      </w:r>
      <w:r w:rsidRPr="00092207">
        <w:t>, London: Routledge</w:t>
      </w:r>
    </w:p>
    <w:p w14:paraId="45ACCCEE" w14:textId="77777777" w:rsidR="002A4658" w:rsidRDefault="002A4658" w:rsidP="005E5AD5"/>
    <w:p w14:paraId="457085ED" w14:textId="47D3AB36" w:rsidR="009A62B5" w:rsidRDefault="009A62B5" w:rsidP="005E5AD5">
      <w:r>
        <w:t xml:space="preserve">Hooper-Greenhill, E., 1999, </w:t>
      </w:r>
      <w:r w:rsidRPr="009A62B5">
        <w:rPr>
          <w:i/>
          <w:iCs/>
        </w:rPr>
        <w:t>The Educational Role of the Museum</w:t>
      </w:r>
      <w:r>
        <w:t>, Oxon: Routledge</w:t>
      </w:r>
    </w:p>
    <w:p w14:paraId="1E5C1E52" w14:textId="4F03F240" w:rsidR="006719CB" w:rsidRDefault="006719CB" w:rsidP="005E5AD5"/>
    <w:p w14:paraId="4969EB66" w14:textId="4ECE0182" w:rsidR="006719CB" w:rsidRDefault="006719CB" w:rsidP="006719CB">
      <w:r w:rsidRPr="00092207">
        <w:t xml:space="preserve">Hein, G. E., 1998, Learning in the Museum in </w:t>
      </w:r>
      <w:r w:rsidRPr="00092207">
        <w:rPr>
          <w:i/>
          <w:iCs/>
        </w:rPr>
        <w:t>Museum Meanings</w:t>
      </w:r>
      <w:r w:rsidRPr="00092207">
        <w:t xml:space="preserve"> by Hooper-Greenhill E. and </w:t>
      </w:r>
      <w:r w:rsidRPr="00092207">
        <w:br/>
        <w:t>Kaplan F., London: Routledge</w:t>
      </w:r>
    </w:p>
    <w:p w14:paraId="501CAAB9" w14:textId="77777777" w:rsidR="006719CB" w:rsidRPr="00092207" w:rsidRDefault="006719CB" w:rsidP="006719CB"/>
    <w:p w14:paraId="65715F82" w14:textId="7507FEFC" w:rsidR="006719CB" w:rsidRDefault="006719CB" w:rsidP="005E5AD5">
      <w:r w:rsidRPr="00092207">
        <w:t xml:space="preserve">Hein G. E., 2006, Museum Education in Macdonald S. (ed) </w:t>
      </w:r>
      <w:r w:rsidRPr="00092207">
        <w:rPr>
          <w:i/>
          <w:iCs/>
        </w:rPr>
        <w:t>A Companion to Museum Studies</w:t>
      </w:r>
      <w:r w:rsidRPr="00092207">
        <w:t>, Oxford: Blackwell Publishing Ltd.</w:t>
      </w:r>
    </w:p>
    <w:p w14:paraId="2ABDD9F7" w14:textId="77777777" w:rsidR="002A4658" w:rsidRDefault="002A4658" w:rsidP="005E5AD5"/>
    <w:p w14:paraId="4C91BC01" w14:textId="505FA2E9" w:rsidR="00AD3C3A" w:rsidRDefault="00E472D5" w:rsidP="00A3650E">
      <w:r>
        <w:t xml:space="preserve">Chatterjee, H., 2008, </w:t>
      </w:r>
      <w:r w:rsidRPr="00E472D5">
        <w:rPr>
          <w:i/>
          <w:iCs/>
        </w:rPr>
        <w:t>Touch in Museums</w:t>
      </w:r>
      <w:r>
        <w:rPr>
          <w:i/>
          <w:iCs/>
        </w:rPr>
        <w:t xml:space="preserve">, </w:t>
      </w:r>
      <w:r>
        <w:t>Oxford: Berg</w:t>
      </w:r>
    </w:p>
    <w:p w14:paraId="7FF997BD" w14:textId="77777777" w:rsidR="002A4658" w:rsidRDefault="002A4658" w:rsidP="00A3650E"/>
    <w:p w14:paraId="510077AE" w14:textId="648D5FEF" w:rsidR="009A62B5" w:rsidRDefault="009A62B5" w:rsidP="00A3650E">
      <w:r>
        <w:t xml:space="preserve">Geismar, H., 2018, </w:t>
      </w:r>
      <w:r w:rsidRPr="00E10658">
        <w:rPr>
          <w:i/>
          <w:iCs/>
        </w:rPr>
        <w:t>Museum Object Lessons for the Digital Age</w:t>
      </w:r>
      <w:r>
        <w:t>, London: UCL Press</w:t>
      </w:r>
      <w:r>
        <w:br/>
      </w:r>
    </w:p>
    <w:p w14:paraId="6C76F349" w14:textId="77777777" w:rsidR="006719CB" w:rsidRPr="00092207" w:rsidRDefault="006719CB" w:rsidP="006719CB">
      <w:r w:rsidRPr="00092207">
        <w:t xml:space="preserve">Smith L. and Waterton E., 2009, </w:t>
      </w:r>
      <w:r w:rsidRPr="00092207">
        <w:rPr>
          <w:i/>
          <w:iCs/>
        </w:rPr>
        <w:t>Heritage, Community and Archaeology</w:t>
      </w:r>
      <w:r w:rsidRPr="00092207">
        <w:t>, London: Gerald Duckworth &amp; Co. LTD</w:t>
      </w:r>
    </w:p>
    <w:p w14:paraId="1EA64A23" w14:textId="626D409E" w:rsidR="006719CB" w:rsidRDefault="006719CB" w:rsidP="00A3650E"/>
    <w:p w14:paraId="13B41D9A" w14:textId="77777777" w:rsidR="006719CB" w:rsidRPr="00092207" w:rsidRDefault="006719CB" w:rsidP="006719CB">
      <w:r w:rsidRPr="00092207">
        <w:lastRenderedPageBreak/>
        <w:t xml:space="preserve">Falk J.H. and Dierking D.L., 2000, </w:t>
      </w:r>
      <w:r w:rsidRPr="00092207">
        <w:rPr>
          <w:i/>
          <w:iCs/>
        </w:rPr>
        <w:t>Learning from Museums: Visitor Experiences and the Making of Meaning, Walnut Creek</w:t>
      </w:r>
      <w:r w:rsidRPr="00092207">
        <w:t>, C. A: Alta Mira</w:t>
      </w:r>
    </w:p>
    <w:p w14:paraId="1454C91D" w14:textId="77777777" w:rsidR="006719CB" w:rsidRDefault="006719CB" w:rsidP="00A3650E"/>
    <w:p w14:paraId="7D64E0AE" w14:textId="77777777" w:rsidR="009A62B5" w:rsidRDefault="009A62B5" w:rsidP="00A3650E"/>
    <w:p w14:paraId="2F8B526A" w14:textId="77777777" w:rsidR="002E5B86" w:rsidRPr="002E5B86" w:rsidRDefault="002E5B86" w:rsidP="00A3650E"/>
    <w:sectPr w:rsidR="002E5B86" w:rsidRPr="002E5B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BC7330"/>
    <w:multiLevelType w:val="hybridMultilevel"/>
    <w:tmpl w:val="86423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31BD3"/>
    <w:multiLevelType w:val="hybridMultilevel"/>
    <w:tmpl w:val="4118A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3433991">
    <w:abstractNumId w:val="0"/>
  </w:num>
  <w:num w:numId="2" w16cid:durableId="3821038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50E"/>
    <w:rsid w:val="0004733D"/>
    <w:rsid w:val="000E6680"/>
    <w:rsid w:val="002A4658"/>
    <w:rsid w:val="002E5B86"/>
    <w:rsid w:val="003A2C06"/>
    <w:rsid w:val="004D1FD5"/>
    <w:rsid w:val="005E5AD5"/>
    <w:rsid w:val="00623ACB"/>
    <w:rsid w:val="006719CB"/>
    <w:rsid w:val="006C72F0"/>
    <w:rsid w:val="007131F6"/>
    <w:rsid w:val="00807D9B"/>
    <w:rsid w:val="009A62B5"/>
    <w:rsid w:val="00A3650E"/>
    <w:rsid w:val="00AD3C3A"/>
    <w:rsid w:val="00AF4206"/>
    <w:rsid w:val="00CE1F0E"/>
    <w:rsid w:val="00E4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2088DB"/>
  <w15:chartTrackingRefBased/>
  <w15:docId w15:val="{73E7C6D9-30EB-F24E-830B-088D3CC35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5B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13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Woods</dc:creator>
  <cp:keywords/>
  <dc:description/>
  <cp:lastModifiedBy>Marie Woods</cp:lastModifiedBy>
  <cp:revision>4</cp:revision>
  <dcterms:created xsi:type="dcterms:W3CDTF">2022-11-10T17:03:00Z</dcterms:created>
  <dcterms:modified xsi:type="dcterms:W3CDTF">2022-11-10T17:06:00Z</dcterms:modified>
</cp:coreProperties>
</file>