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747070" w:themeColor="background2" w:themeShade="7F"/>
  <w:body>
    <w:p w:rsidR="007B1F10" w:rsidRPr="00FC5B2D" w:rsidRDefault="00FC5B2D">
      <w:pPr>
        <w:rPr>
          <w:b/>
        </w:rPr>
      </w:pPr>
      <w:r w:rsidRPr="00FC5B2D">
        <w:rPr>
          <w:b/>
        </w:rPr>
        <w:t xml:space="preserve">The Journal of Amitis the Scribe </w:t>
      </w:r>
      <w:r w:rsidR="00F22A62">
        <w:rPr>
          <w:b/>
        </w:rPr>
        <w:t>between</w:t>
      </w:r>
      <w:r w:rsidRPr="00FC5B2D">
        <w:rPr>
          <w:b/>
        </w:rPr>
        <w:t xml:space="preserve"> the years 225BC to 2</w:t>
      </w:r>
      <w:r w:rsidR="0072147A">
        <w:rPr>
          <w:b/>
        </w:rPr>
        <w:t>16</w:t>
      </w:r>
      <w:r w:rsidRPr="00FC5B2D">
        <w:rPr>
          <w:b/>
        </w:rPr>
        <w:t>BC</w:t>
      </w:r>
    </w:p>
    <w:p w:rsidR="00F22A62" w:rsidRDefault="00F22A62">
      <w:r>
        <w:t>The following are excerpts from the journal of Amitis the Scribe. From contemporary records, it appears that Amitis acted as an official and advisor to the Satrap of Media and Persia, Artemisia the 1</w:t>
      </w:r>
      <w:r w:rsidRPr="00F22A62">
        <w:rPr>
          <w:vertAlign w:val="superscript"/>
        </w:rPr>
        <w:t>st</w:t>
      </w:r>
      <w:r>
        <w:t xml:space="preserve">. </w:t>
      </w:r>
      <w:r w:rsidR="001676B2">
        <w:t>Amitis the scribe appears to have played an important role in the events that happened between the years 225BC and 2</w:t>
      </w:r>
      <w:r w:rsidR="008E7CBC">
        <w:t>16</w:t>
      </w:r>
      <w:r w:rsidR="001676B2">
        <w:t>BC serving as both confidant to Artemisia 1</w:t>
      </w:r>
      <w:r w:rsidR="001676B2" w:rsidRPr="001676B2">
        <w:rPr>
          <w:vertAlign w:val="superscript"/>
        </w:rPr>
        <w:t>st</w:t>
      </w:r>
      <w:r w:rsidR="001676B2">
        <w:t xml:space="preserve"> and as a diplomat in many of the major events that happened during the period. During the Seleucid Empire, records of events within Media and Persia can prove scarce, and these excerpts from the journal of Amitis the Scribe</w:t>
      </w:r>
      <w:r w:rsidR="00936B02">
        <w:t>, though fragmentary,</w:t>
      </w:r>
      <w:r w:rsidR="001676B2">
        <w:t xml:space="preserve"> provide a welcome insight into the workings of the Persian Court of Artemisia 1</w:t>
      </w:r>
      <w:r w:rsidR="001676B2" w:rsidRPr="001676B2">
        <w:rPr>
          <w:vertAlign w:val="superscript"/>
        </w:rPr>
        <w:t>st</w:t>
      </w:r>
      <w:r w:rsidR="001676B2">
        <w:t xml:space="preserve"> that might otherwise be inaccessible.  </w:t>
      </w:r>
    </w:p>
    <w:p w:rsidR="007B1F10" w:rsidRPr="007B1F10" w:rsidRDefault="00F22A62">
      <w:r>
        <w:t xml:space="preserve"> </w:t>
      </w:r>
    </w:p>
    <w:p w:rsidR="00F279B7" w:rsidRPr="006D0CF6" w:rsidRDefault="00D2725C">
      <w:pPr>
        <w:rPr>
          <w:b/>
        </w:rPr>
      </w:pPr>
      <w:r>
        <w:rPr>
          <w:b/>
        </w:rPr>
        <w:t>(</w:t>
      </w:r>
      <w:r w:rsidR="00740C93" w:rsidRPr="006D0CF6">
        <w:rPr>
          <w:b/>
        </w:rPr>
        <w:t>Week 1 &amp; 2 – Research – No Gameplay</w:t>
      </w:r>
      <w:r>
        <w:rPr>
          <w:b/>
        </w:rPr>
        <w:t>)</w:t>
      </w:r>
    </w:p>
    <w:p w:rsidR="00F279B7" w:rsidRDefault="00F279B7"/>
    <w:p w:rsidR="0085584F" w:rsidRDefault="0085584F">
      <w:pPr>
        <w:rPr>
          <w:b/>
        </w:rPr>
      </w:pPr>
      <w:r w:rsidRPr="006D0CF6">
        <w:rPr>
          <w:b/>
        </w:rPr>
        <w:t xml:space="preserve">225BC </w:t>
      </w:r>
      <w:r w:rsidR="00D2725C">
        <w:rPr>
          <w:b/>
        </w:rPr>
        <w:t>(</w:t>
      </w:r>
      <w:r w:rsidR="00D2725C" w:rsidRPr="006D0CF6">
        <w:rPr>
          <w:b/>
        </w:rPr>
        <w:t xml:space="preserve">Week 3 – </w:t>
      </w:r>
      <w:r w:rsidRPr="006D0CF6">
        <w:rPr>
          <w:b/>
        </w:rPr>
        <w:t xml:space="preserve"> First 2 hours were research </w:t>
      </w:r>
      <w:r w:rsidR="005B785D" w:rsidRPr="006D0CF6">
        <w:rPr>
          <w:b/>
        </w:rPr>
        <w:t>– No Gameplay</w:t>
      </w:r>
      <w:r w:rsidR="00D2725C">
        <w:rPr>
          <w:b/>
        </w:rPr>
        <w:t>)</w:t>
      </w:r>
    </w:p>
    <w:p w:rsidR="00DE5C59" w:rsidRPr="00F22A62" w:rsidRDefault="00154384">
      <w:r>
        <w:t>This past year has proved to be testing to the relationship that has existed between our great kingdoms, certainly it has proved to be testing personally. I can only imagine what the Satrap must be feeling in the wake of this downturn in our relationship with Queen Kleopatra’s courts at Babylon.</w:t>
      </w:r>
    </w:p>
    <w:p w:rsidR="00361E50" w:rsidRDefault="00154384">
      <w:r>
        <w:t>The l</w:t>
      </w:r>
      <w:r w:rsidR="00A84029">
        <w:t xml:space="preserve">etter </w:t>
      </w:r>
      <w:r>
        <w:t>that I was asked to send to His Royal Highness,</w:t>
      </w:r>
      <w:r w:rsidR="00A84029">
        <w:t xml:space="preserve"> </w:t>
      </w:r>
      <w:proofErr w:type="spellStart"/>
      <w:r w:rsidR="00A84029">
        <w:t>Selucus</w:t>
      </w:r>
      <w:proofErr w:type="spellEnd"/>
      <w:r w:rsidR="00A84029">
        <w:t xml:space="preserve"> III</w:t>
      </w:r>
      <w:r>
        <w:t xml:space="preserve"> by Satrap Artemisia,</w:t>
      </w:r>
      <w:r w:rsidR="00A84029">
        <w:t xml:space="preserve"> </w:t>
      </w:r>
      <w:r w:rsidR="00414916">
        <w:t>regarding the collection of</w:t>
      </w:r>
      <w:r w:rsidR="00A84029">
        <w:t xml:space="preserve"> tolls</w:t>
      </w:r>
      <w:r w:rsidR="00590156">
        <w:rPr>
          <w:rStyle w:val="FootnoteReference"/>
        </w:rPr>
        <w:footnoteReference w:id="1"/>
      </w:r>
      <w:r w:rsidR="00A84029">
        <w:t xml:space="preserve"> on the royal road </w:t>
      </w:r>
      <w:r>
        <w:t>did not receive a pleasing response. It is a pity that […] has since passed away, for negotiations always went smoother when we were in correspondence</w:t>
      </w:r>
      <w:r w:rsidR="0016106D">
        <w:rPr>
          <w:rStyle w:val="FootnoteReference"/>
        </w:rPr>
        <w:footnoteReference w:id="2"/>
      </w:r>
      <w:r>
        <w:t>.</w:t>
      </w:r>
      <w:r w:rsidR="00A84029">
        <w:t xml:space="preserve"> </w:t>
      </w:r>
      <w:r>
        <w:t>The letter was passed through</w:t>
      </w:r>
      <w:r w:rsidR="00A84029">
        <w:t xml:space="preserve"> Queen Kleopatra</w:t>
      </w:r>
      <w:r>
        <w:t>’s advisors</w:t>
      </w:r>
      <w:r w:rsidR="00A84029">
        <w:t xml:space="preserve"> residing in Babylon</w:t>
      </w:r>
      <w:r w:rsidR="00414916">
        <w:t xml:space="preserve">, </w:t>
      </w:r>
      <w:r>
        <w:t>and despite being a simple request</w:t>
      </w:r>
      <w:r w:rsidR="00414916">
        <w:t xml:space="preserve"> that </w:t>
      </w:r>
      <w:r>
        <w:t xml:space="preserve">we restructure the tolls on the Royal Road in Persia, with </w:t>
      </w:r>
      <w:r w:rsidR="00414916">
        <w:t>80% of tolls be</w:t>
      </w:r>
      <w:r>
        <w:t>ing</w:t>
      </w:r>
      <w:r w:rsidR="00414916">
        <w:t xml:space="preserve"> taken for the maintenance and the defence of the royal road and</w:t>
      </w:r>
      <w:r>
        <w:t xml:space="preserve"> for</w:t>
      </w:r>
      <w:r w:rsidR="00414916">
        <w:t xml:space="preserve"> 20% </w:t>
      </w:r>
      <w:r>
        <w:t xml:space="preserve">of the toll, </w:t>
      </w:r>
      <w:r w:rsidR="00361E50">
        <w:t xml:space="preserve">a most generous contribution on the behalf of Satrap Artemisia, </w:t>
      </w:r>
      <w:r>
        <w:t xml:space="preserve">to </w:t>
      </w:r>
      <w:r w:rsidR="00414916">
        <w:t xml:space="preserve">be given to the </w:t>
      </w:r>
      <w:r>
        <w:t>Seleucid</w:t>
      </w:r>
      <w:r w:rsidR="00414916">
        <w:t xml:space="preserve"> empire as part of the tax on the region</w:t>
      </w:r>
      <w:r w:rsidR="00361E50">
        <w:t>. It appears that the new advisor to the Queen of the Seleucid Empire is not satisfied with the existing diplomacy with our nation, perhaps they seek to gain personal prestige</w:t>
      </w:r>
      <w:r w:rsidR="0016106D">
        <w:rPr>
          <w:rStyle w:val="FootnoteReference"/>
        </w:rPr>
        <w:footnoteReference w:id="3"/>
      </w:r>
      <w:r w:rsidR="00361E50">
        <w:t>, though such foolhardy behaviour will most certainly not let such prestige last long.</w:t>
      </w:r>
    </w:p>
    <w:p w:rsidR="00A84029" w:rsidRDefault="00690CE9">
      <w:r>
        <w:t xml:space="preserve">The response from the </w:t>
      </w:r>
      <w:r w:rsidR="00361E50">
        <w:t>Seleucids most certainly</w:t>
      </w:r>
      <w:r>
        <w:t xml:space="preserve"> did not please the Satrap Artemisia</w:t>
      </w:r>
      <w:r w:rsidR="00626CB2">
        <w:rPr>
          <w:rStyle w:val="FootnoteReference"/>
        </w:rPr>
        <w:footnoteReference w:id="4"/>
      </w:r>
      <w:r>
        <w:t xml:space="preserve"> </w:t>
      </w:r>
      <w:r w:rsidR="00361E50">
        <w:t>completely disregarding the importance of</w:t>
      </w:r>
      <w:r>
        <w:t xml:space="preserve"> the maintenance and defence of the royal road in favour of asking for 100% of the tolls profits. </w:t>
      </w:r>
      <w:r w:rsidR="00361E50">
        <w:t>How does the Queen expect for us to protect the Royal Road and its travellers if we cannot set aside coin for its protection? Perhaps I shall advise Satrap Artemisia that a more personal approach</w:t>
      </w:r>
      <w:r w:rsidR="0016106D">
        <w:rPr>
          <w:rStyle w:val="FootnoteReference"/>
        </w:rPr>
        <w:footnoteReference w:id="5"/>
      </w:r>
      <w:r w:rsidR="00361E50">
        <w:t xml:space="preserve"> shall be </w:t>
      </w:r>
      <w:proofErr w:type="spellStart"/>
      <w:proofErr w:type="gramStart"/>
      <w:r w:rsidR="00361E50">
        <w:t>benefi</w:t>
      </w:r>
      <w:proofErr w:type="spellEnd"/>
      <w:r w:rsidR="00361E50">
        <w:t>[</w:t>
      </w:r>
      <w:proofErr w:type="gramEnd"/>
      <w:r w:rsidR="00361E50">
        <w:t xml:space="preserve">…] </w:t>
      </w:r>
    </w:p>
    <w:p w:rsidR="006D0CF6" w:rsidRDefault="00361E50">
      <w:r>
        <w:t xml:space="preserve">The Satrap has ordered for this </w:t>
      </w:r>
      <w:r w:rsidR="00690CE9">
        <w:t>Amitis</w:t>
      </w:r>
      <w:r w:rsidR="0016106D">
        <w:rPr>
          <w:rStyle w:val="FootnoteReference"/>
        </w:rPr>
        <w:footnoteReference w:id="6"/>
      </w:r>
      <w:r w:rsidR="00690CE9">
        <w:t xml:space="preserve"> </w:t>
      </w:r>
      <w:r>
        <w:t xml:space="preserve">to send </w:t>
      </w:r>
      <w:r w:rsidR="00690CE9">
        <w:t>envoys to Babylon to speak with Queen Kleopatra</w:t>
      </w:r>
      <w:r>
        <w:t>’s advisors</w:t>
      </w:r>
      <w:r w:rsidR="00690CE9">
        <w:t xml:space="preserve"> directly</w:t>
      </w:r>
      <w:r w:rsidR="0016106D">
        <w:rPr>
          <w:rStyle w:val="FootnoteReference"/>
        </w:rPr>
        <w:footnoteReference w:id="7"/>
      </w:r>
      <w:r w:rsidR="00690CE9">
        <w:t xml:space="preserve"> in order to explain the situation</w:t>
      </w:r>
      <w:r>
        <w:t xml:space="preserve"> in more detail</w:t>
      </w:r>
      <w:r w:rsidR="00690CE9">
        <w:t xml:space="preserve"> and to</w:t>
      </w:r>
      <w:r>
        <w:t xml:space="preserve"> better</w:t>
      </w:r>
      <w:r w:rsidR="00690CE9">
        <w:t xml:space="preserve"> negotiate </w:t>
      </w:r>
      <w:r>
        <w:t>the matter</w:t>
      </w:r>
      <w:r w:rsidR="00690CE9">
        <w:t>.</w:t>
      </w:r>
      <w:r>
        <w:t xml:space="preserve"> </w:t>
      </w:r>
      <w:r>
        <w:lastRenderedPageBreak/>
        <w:t>Hopefully the clear weather shall hold and the envoys shall traverse the Royal Road promptly</w:t>
      </w:r>
      <w:r w:rsidR="0016106D">
        <w:rPr>
          <w:rStyle w:val="FootnoteReference"/>
        </w:rPr>
        <w:footnoteReference w:id="8"/>
      </w:r>
      <w:r>
        <w:t>, I am eager to hear of the results of these negotiations.</w:t>
      </w:r>
    </w:p>
    <w:p w:rsidR="006D0CF6" w:rsidRDefault="006D0CF6"/>
    <w:p w:rsidR="0085584F" w:rsidRPr="006D0CF6" w:rsidRDefault="0085584F">
      <w:pPr>
        <w:rPr>
          <w:b/>
        </w:rPr>
      </w:pPr>
      <w:r w:rsidRPr="006D0CF6">
        <w:rPr>
          <w:b/>
        </w:rPr>
        <w:t>224-222BC</w:t>
      </w:r>
      <w:r w:rsidR="00D2725C">
        <w:rPr>
          <w:b/>
        </w:rPr>
        <w:t xml:space="preserve"> (</w:t>
      </w:r>
      <w:r w:rsidR="00D2725C" w:rsidRPr="006D0CF6">
        <w:rPr>
          <w:b/>
        </w:rPr>
        <w:t>Week 4</w:t>
      </w:r>
      <w:r w:rsidR="00D2725C">
        <w:rPr>
          <w:b/>
        </w:rPr>
        <w:t>)</w:t>
      </w:r>
    </w:p>
    <w:p w:rsidR="00695589" w:rsidRDefault="00242710">
      <w:r>
        <w:t>It is now the early days of summer, and yet despite our entreaties</w:t>
      </w:r>
      <w:r w:rsidR="00695589">
        <w:t>,</w:t>
      </w:r>
      <w:r>
        <w:t xml:space="preserve"> both by letter and in person, the Queen Kleopatra </w:t>
      </w:r>
      <w:r w:rsidR="00695589">
        <w:t>has yet to change her position on our request for a toll on the Royal Road. The diplomats in Babylon have further confused matters by</w:t>
      </w:r>
      <w:r>
        <w:t xml:space="preserve"> </w:t>
      </w:r>
      <w:r w:rsidR="00695589">
        <w:t>requesting</w:t>
      </w:r>
      <w:r w:rsidR="006D0CF6">
        <w:t xml:space="preserve"> 700 tonnes of wood in return for </w:t>
      </w:r>
      <w:r w:rsidR="00695589">
        <w:t>their permission for a toll on the road</w:t>
      </w:r>
      <w:r w:rsidR="001A7261">
        <w:t>.</w:t>
      </w:r>
      <w:r w:rsidR="00695589">
        <w:t xml:space="preserve"> Would that the Greeks would let their women speak their own mind</w:t>
      </w:r>
      <w:r w:rsidR="00C5526D">
        <w:rPr>
          <w:rStyle w:val="FootnoteReference"/>
        </w:rPr>
        <w:footnoteReference w:id="9"/>
      </w:r>
      <w:r w:rsidR="00695589">
        <w:t>! Had we been able to present our plans direct</w:t>
      </w:r>
      <w:r w:rsidR="00911495">
        <w:t>ly</w:t>
      </w:r>
      <w:r w:rsidR="00695589">
        <w:t xml:space="preserve"> to the Queen it is my belief we would have been done with this farce many months ago!</w:t>
      </w:r>
    </w:p>
    <w:p w:rsidR="00F279B7" w:rsidRDefault="00BE0DF4">
      <w:r>
        <w:t>Upon my</w:t>
      </w:r>
      <w:r w:rsidR="001A7261">
        <w:t xml:space="preserve"> presenting of </w:t>
      </w:r>
      <w:r>
        <w:t>the Babylonian</w:t>
      </w:r>
      <w:r w:rsidR="001A7261">
        <w:t xml:space="preserve"> suggestion to the Satrap Artemisia, </w:t>
      </w:r>
      <w:r>
        <w:t xml:space="preserve">to the surprise of none of her court, </w:t>
      </w:r>
      <w:r w:rsidR="001A7261">
        <w:t xml:space="preserve">she deemed </w:t>
      </w:r>
      <w:r>
        <w:t>the position of the Babylonians</w:t>
      </w:r>
      <w:r w:rsidR="001A7261">
        <w:t xml:space="preserve"> to </w:t>
      </w:r>
      <w:r>
        <w:t xml:space="preserve">be ignorant of </w:t>
      </w:r>
      <w:r w:rsidR="001A7261">
        <w:t xml:space="preserve">the position and sway that Persia and Media held within the </w:t>
      </w:r>
      <w:r w:rsidR="00FD0B1B">
        <w:t>Seleucid</w:t>
      </w:r>
      <w:r w:rsidR="001A7261">
        <w:t xml:space="preserve"> empire</w:t>
      </w:r>
      <w:r w:rsidR="00C5526D">
        <w:rPr>
          <w:rStyle w:val="FootnoteReference"/>
        </w:rPr>
        <w:footnoteReference w:id="10"/>
      </w:r>
      <w:r w:rsidR="001A7261">
        <w:t xml:space="preserve"> and ordered</w:t>
      </w:r>
      <w:r>
        <w:t xml:space="preserve"> this</w:t>
      </w:r>
      <w:r w:rsidR="001A7261">
        <w:t xml:space="preserve"> Amitis to go again to Babylon to have</w:t>
      </w:r>
      <w:r>
        <w:t xml:space="preserve"> yet</w:t>
      </w:r>
      <w:r w:rsidR="001A7261">
        <w:t xml:space="preserve"> further talks and negotiations</w:t>
      </w:r>
      <w:r w:rsidR="00C5526D">
        <w:rPr>
          <w:rStyle w:val="FootnoteReference"/>
        </w:rPr>
        <w:footnoteReference w:id="11"/>
      </w:r>
      <w:r>
        <w:t>. How I long for the time where all I had to worry myself with was the trade of the family spice in Persepolis</w:t>
      </w:r>
      <w:r w:rsidR="00296ADA">
        <w:rPr>
          <w:rStyle w:val="FootnoteReference"/>
        </w:rPr>
        <w:footnoteReference w:id="12"/>
      </w:r>
      <w:r>
        <w:t xml:space="preserve">! The trials of court life seem to me pettier than the most indecisive of merchant’s whims but yet once again I go to my duty as my Satrap commands. </w:t>
      </w:r>
    </w:p>
    <w:p w:rsidR="00AB549C" w:rsidRDefault="00AB549C">
      <w:r>
        <w:t>The organisation […] Sending of wine</w:t>
      </w:r>
      <w:r w:rsidR="00296ADA">
        <w:rPr>
          <w:rStyle w:val="FootnoteReference"/>
        </w:rPr>
        <w:footnoteReference w:id="13"/>
      </w:r>
      <w:r>
        <w:t xml:space="preserve"> […] the funeral […] Sel</w:t>
      </w:r>
      <w:r w:rsidR="00296ADA">
        <w:t>e</w:t>
      </w:r>
      <w:r>
        <w:t>ucus III […] consolations imparted to the Queen Kleopatra for her most grievous loss</w:t>
      </w:r>
      <w:r w:rsidR="00296ADA">
        <w:rPr>
          <w:rStyle w:val="FootnoteReference"/>
        </w:rPr>
        <w:footnoteReference w:id="14"/>
      </w:r>
      <w:r>
        <w:t xml:space="preserve"> […] Hopefully the loss of the emperor does not further damage our communications with the now widowed Queen of the Seleucid Empire. </w:t>
      </w:r>
    </w:p>
    <w:p w:rsidR="006D0CF6" w:rsidRDefault="00AB549C">
      <w:r>
        <w:t>One of the former Babylonian nobles,</w:t>
      </w:r>
      <w:r w:rsidR="006D0CF6">
        <w:t xml:space="preserve"> Bradonius </w:t>
      </w:r>
      <w:r>
        <w:t xml:space="preserve">has become a thorn in the side of negotiations. It would appear that on his marriage to the </w:t>
      </w:r>
      <w:r w:rsidR="003614BE">
        <w:t xml:space="preserve">Queen Kleopatra and ascension to the </w:t>
      </w:r>
      <w:r w:rsidR="00000659">
        <w:t>royal family</w:t>
      </w:r>
      <w:r w:rsidR="003614BE">
        <w:t xml:space="preserve"> of the Seleucid Empire</w:t>
      </w:r>
      <w:r w:rsidR="00DF1FA2">
        <w:t xml:space="preserve">, he </w:t>
      </w:r>
      <w:r w:rsidR="002B37C8">
        <w:t>lost any semblance of courtesy or diplomacy</w:t>
      </w:r>
      <w:r w:rsidR="00296ADA">
        <w:rPr>
          <w:rStyle w:val="FootnoteReference"/>
        </w:rPr>
        <w:footnoteReference w:id="15"/>
      </w:r>
      <w:r w:rsidR="00DF1FA2">
        <w:t>.</w:t>
      </w:r>
      <w:r w:rsidR="002B37C8">
        <w:t xml:space="preserve"> The newly named Alexander has</w:t>
      </w:r>
      <w:r w:rsidR="00DF1FA2">
        <w:t xml:space="preserve"> </w:t>
      </w:r>
      <w:r w:rsidR="001A7261">
        <w:t>d</w:t>
      </w:r>
      <w:r w:rsidR="006D0CF6">
        <w:t xml:space="preserve">emanded </w:t>
      </w:r>
      <w:r w:rsidR="002B37C8">
        <w:t xml:space="preserve">that </w:t>
      </w:r>
      <w:r w:rsidR="001A7261">
        <w:t>700 tonnes of</w:t>
      </w:r>
      <w:r w:rsidR="006D0CF6">
        <w:t xml:space="preserve"> wood</w:t>
      </w:r>
      <w:r w:rsidR="001A7261">
        <w:t xml:space="preserve"> be handed over</w:t>
      </w:r>
      <w:r w:rsidR="006D0CF6">
        <w:t xml:space="preserve"> for nothing in return</w:t>
      </w:r>
      <w:r w:rsidR="00296ADA">
        <w:rPr>
          <w:rStyle w:val="FootnoteReference"/>
        </w:rPr>
        <w:footnoteReference w:id="16"/>
      </w:r>
      <w:r w:rsidR="002B37C8">
        <w:t>. Further,</w:t>
      </w:r>
      <w:r w:rsidR="001A7261">
        <w:t xml:space="preserve"> </w:t>
      </w:r>
      <w:r w:rsidR="002B37C8">
        <w:t>implying</w:t>
      </w:r>
      <w:r w:rsidR="006D0CF6">
        <w:t xml:space="preserve"> that Media and Persia were weak, and could do nothing but accept the </w:t>
      </w:r>
      <w:r w:rsidR="00FD0B1B">
        <w:t>Seleucid</w:t>
      </w:r>
      <w:r w:rsidR="006D0CF6">
        <w:t xml:space="preserve"> Demands</w:t>
      </w:r>
      <w:r w:rsidR="001A7261">
        <w:t>.</w:t>
      </w:r>
      <w:r w:rsidR="00FD0B1B">
        <w:t xml:space="preserve"> </w:t>
      </w:r>
      <w:r w:rsidR="003B4D5A">
        <w:t>To no surprise but his own, t</w:t>
      </w:r>
      <w:r w:rsidR="00FD0B1B">
        <w:t>his</w:t>
      </w:r>
      <w:r w:rsidR="003B4D5A">
        <w:t xml:space="preserve"> has</w:t>
      </w:r>
      <w:r w:rsidR="00FD0B1B">
        <w:t xml:space="preserve"> angered the Satrap Artemisia</w:t>
      </w:r>
      <w:r w:rsidR="003B4D5A">
        <w:t xml:space="preserve"> greatly</w:t>
      </w:r>
      <w:r w:rsidR="00FD0B1B">
        <w:t xml:space="preserve"> and </w:t>
      </w:r>
      <w:r w:rsidR="003B4D5A">
        <w:t xml:space="preserve">has </w:t>
      </w:r>
      <w:r w:rsidR="00FD0B1B">
        <w:t xml:space="preserve">resulted in a temporary cessation of </w:t>
      </w:r>
      <w:r w:rsidR="003B4D5A">
        <w:t xml:space="preserve">any and all </w:t>
      </w:r>
      <w:r w:rsidR="00FD0B1B">
        <w:t>negotiations regarding the trade of wood between Persia and Media, and the Seleucid empire</w:t>
      </w:r>
      <w:r w:rsidR="00BD0A83">
        <w:rPr>
          <w:rStyle w:val="FootnoteReference"/>
        </w:rPr>
        <w:footnoteReference w:id="17"/>
      </w:r>
      <w:r w:rsidR="00FD0B1B">
        <w:t>.</w:t>
      </w:r>
      <w:r w:rsidR="003B4D5A">
        <w:t xml:space="preserve"> Certainly, we are living in interesting times indeed.</w:t>
      </w:r>
    </w:p>
    <w:p w:rsidR="00901434" w:rsidRDefault="003B4D5A">
      <w:r>
        <w:lastRenderedPageBreak/>
        <w:t>[…] o</w:t>
      </w:r>
      <w:r w:rsidR="00FD0B1B">
        <w:t>n hearing the arguments regarding the toll on the Royal road</w:t>
      </w:r>
      <w:r>
        <w:t xml:space="preserve">, and of reports on the incident with </w:t>
      </w:r>
      <w:r w:rsidR="00000659">
        <w:t>her husband</w:t>
      </w:r>
      <w:r w:rsidR="00FD0B1B">
        <w:t xml:space="preserve">, the Queen Kleopatra </w:t>
      </w:r>
      <w:r>
        <w:t xml:space="preserve">has </w:t>
      </w:r>
      <w:r w:rsidR="00FD0B1B">
        <w:t>sent a personal envoy to the court of Satrap Artemisia in order to present her final de</w:t>
      </w:r>
      <w:r w:rsidR="00901434">
        <w:t xml:space="preserve">cision </w:t>
      </w:r>
      <w:r w:rsidR="00FD0B1B">
        <w:t>regarding the t</w:t>
      </w:r>
      <w:r w:rsidR="006D44F2">
        <w:t>oll</w:t>
      </w:r>
      <w:r w:rsidR="00FD0B1B">
        <w:t>.</w:t>
      </w:r>
      <w:r w:rsidR="006D44F2">
        <w:t xml:space="preserve"> </w:t>
      </w:r>
      <w:r>
        <w:t>Perhaps as a gesture of good faith</w:t>
      </w:r>
      <w:r w:rsidR="001D1307">
        <w:rPr>
          <w:rStyle w:val="FootnoteReference"/>
        </w:rPr>
        <w:footnoteReference w:id="18"/>
      </w:r>
      <w:r>
        <w:t xml:space="preserve">, </w:t>
      </w:r>
      <w:r w:rsidR="006D44F2">
        <w:t>it</w:t>
      </w:r>
      <w:r w:rsidR="00FD0B1B">
        <w:t xml:space="preserve"> would</w:t>
      </w:r>
      <w:r>
        <w:t xml:space="preserve"> appear that she has decided that as it is</w:t>
      </w:r>
      <w:r w:rsidR="00FD0B1B">
        <w:t xml:space="preserve"> a toll and </w:t>
      </w:r>
      <w:r w:rsidR="006D44F2">
        <w:t>not a tax, and</w:t>
      </w:r>
      <w:r w:rsidR="00FD0B1B">
        <w:t xml:space="preserve"> provided that the toll would not be placed upon</w:t>
      </w:r>
      <w:r w:rsidR="006D44F2">
        <w:t xml:space="preserve"> non-traders</w:t>
      </w:r>
      <w:r w:rsidR="00FD0B1B">
        <w:t>, such as envoys or the military</w:t>
      </w:r>
      <w:r w:rsidR="001D1307">
        <w:rPr>
          <w:rStyle w:val="FootnoteReference"/>
        </w:rPr>
        <w:footnoteReference w:id="19"/>
      </w:r>
      <w:r w:rsidR="00FD0B1B">
        <w:t>, keeping</w:t>
      </w:r>
      <w:r w:rsidR="006D44F2">
        <w:t xml:space="preserve"> </w:t>
      </w:r>
      <w:r>
        <w:t xml:space="preserve">the </w:t>
      </w:r>
      <w:r w:rsidR="006D44F2">
        <w:t>80%</w:t>
      </w:r>
      <w:r w:rsidR="00FD0B1B">
        <w:t xml:space="preserve"> of the profits</w:t>
      </w:r>
      <w:r>
        <w:t xml:space="preserve"> by the Persians and Medians for the maintenance and defence of the Royal Road</w:t>
      </w:r>
      <w:r w:rsidR="00FD0B1B">
        <w:t xml:space="preserve"> is an acceptable agreement</w:t>
      </w:r>
      <w:r w:rsidR="001B5416">
        <w:rPr>
          <w:rStyle w:val="FootnoteReference"/>
        </w:rPr>
        <w:footnoteReference w:id="20"/>
      </w:r>
      <w:r w:rsidR="00FD0B1B">
        <w:t>.</w:t>
      </w:r>
      <w:r>
        <w:t xml:space="preserve"> Perhaps in future negotiations such ineffectual </w:t>
      </w:r>
      <w:r w:rsidR="00490064">
        <w:t>diplomacy</w:t>
      </w:r>
      <w:r>
        <w:t xml:space="preserve"> will not be the court of Queen Kleopatra’s first response.</w:t>
      </w:r>
    </w:p>
    <w:p w:rsidR="006D0CF6" w:rsidRDefault="00222A60">
      <w:r>
        <w:t xml:space="preserve">[…] Has it truly been three years since this Amitis was ordered to send envoys to explain the concept of a toll to the Queen Kleopatra? It appears that I have had little time that has not been involved in negotiations of late, and yet my work is never </w:t>
      </w:r>
      <w:r w:rsidR="009D6509">
        <w:t>finished. The Satrap</w:t>
      </w:r>
      <w:r w:rsidR="00D04A61">
        <w:t xml:space="preserve"> Artemisia</w:t>
      </w:r>
      <w:r w:rsidR="009D6509">
        <w:t xml:space="preserve"> has </w:t>
      </w:r>
      <w:r w:rsidR="00D04A61">
        <w:t>ordered me to search for allies in the wake of the insult given to our nation by the Seleucid Emperor</w:t>
      </w:r>
      <w:r w:rsidR="001B5416">
        <w:rPr>
          <w:rStyle w:val="FootnoteReference"/>
        </w:rPr>
        <w:footnoteReference w:id="21"/>
      </w:r>
      <w:r w:rsidR="00D04A61">
        <w:t>. It is fortunate that there have been envoys from Pergamon in recent weeks, perhaps they might be able to offer their aid</w:t>
      </w:r>
      <w:r w:rsidR="008725B8">
        <w:rPr>
          <w:rStyle w:val="FootnoteReference"/>
        </w:rPr>
        <w:footnoteReference w:id="22"/>
      </w:r>
      <w:r w:rsidR="00D04A61">
        <w:t>?</w:t>
      </w:r>
    </w:p>
    <w:p w:rsidR="000F5002" w:rsidRDefault="00D04A61">
      <w:r>
        <w:t>[…]</w:t>
      </w:r>
    </w:p>
    <w:p w:rsidR="00D04A61" w:rsidRDefault="00D04A61">
      <w:r>
        <w:t>I must admit that it has been appreciated to be able to speak with another scribe in a high position at court, even if they are not a member of our own. I and a scribe of the Pergamon Royal Court have been busy drafting a treaty to be signed at Persepolis next year</w:t>
      </w:r>
      <w:r w:rsidR="006B7523">
        <w:t xml:space="preserve"> by the Pharaoh of Egypt Ptolemy IV and the Satrap Artemisia</w:t>
      </w:r>
      <w:r>
        <w:t xml:space="preserve">. </w:t>
      </w:r>
      <w:r w:rsidR="004550BA">
        <w:t>Amongst the</w:t>
      </w:r>
      <w:r w:rsidR="006B7523">
        <w:t xml:space="preserve"> </w:t>
      </w:r>
      <w:r w:rsidR="005A389C">
        <w:t>[</w:t>
      </w:r>
      <w:r w:rsidR="006B7523">
        <w:t>pleasantries</w:t>
      </w:r>
      <w:r w:rsidR="005A389C">
        <w:t>?]</w:t>
      </w:r>
      <w:r w:rsidR="006B7523">
        <w:t xml:space="preserve"> </w:t>
      </w:r>
      <w:r w:rsidR="00C34AFF">
        <w:t>there were several key points that were agreed upon. Firstly, that there should be a marriage of Pharaoh Ptolemy IV and Alexandria, Satrap Artemisia’s daughter</w:t>
      </w:r>
      <w:r w:rsidR="008725B8">
        <w:rPr>
          <w:rStyle w:val="FootnoteReference"/>
        </w:rPr>
        <w:footnoteReference w:id="23"/>
      </w:r>
      <w:r w:rsidR="00C34AFF">
        <w:t>. Second, that the Ptolemies shall recognise Media and Persia as an independent kingdom, and Satrap Artemisia as its Queen</w:t>
      </w:r>
      <w:r w:rsidR="008725B8">
        <w:rPr>
          <w:rStyle w:val="FootnoteReference"/>
        </w:rPr>
        <w:footnoteReference w:id="24"/>
      </w:r>
      <w:r w:rsidR="00C34AFF">
        <w:t>.</w:t>
      </w:r>
      <w:r w:rsidR="005A389C">
        <w:t xml:space="preserve"> […]</w:t>
      </w:r>
      <w:r w:rsidR="00C34AFF">
        <w:t xml:space="preserve"> that in the upcoming conflict between the Ptolemaic Empire, Pergamon and the Seleucid Empire, we shall promise the Ptolemies aid</w:t>
      </w:r>
      <w:r w:rsidR="008725B8">
        <w:rPr>
          <w:rStyle w:val="FootnoteReference"/>
        </w:rPr>
        <w:footnoteReference w:id="25"/>
      </w:r>
      <w:r w:rsidR="00C34AFF">
        <w:t>, and finally that there shall be a non-aggression pact between our two kingdoms</w:t>
      </w:r>
      <w:r w:rsidR="008725B8">
        <w:rPr>
          <w:rStyle w:val="FootnoteReference"/>
        </w:rPr>
        <w:footnoteReference w:id="26"/>
      </w:r>
      <w:r w:rsidR="00C34AFF">
        <w:t xml:space="preserve">, the border of which being marked by the </w:t>
      </w:r>
      <w:r w:rsidR="005A389C">
        <w:t>[</w:t>
      </w:r>
      <w:r w:rsidR="00C34AFF">
        <w:t>Euphrates</w:t>
      </w:r>
      <w:r w:rsidR="005A389C">
        <w:t>?]</w:t>
      </w:r>
      <w:r w:rsidR="00C34AFF">
        <w:t xml:space="preserve"> River. </w:t>
      </w:r>
    </w:p>
    <w:p w:rsidR="006D44F2" w:rsidRDefault="006D44F2">
      <w:r>
        <w:t xml:space="preserve">As gesture of good faith </w:t>
      </w:r>
      <w:r w:rsidR="00C34AFF">
        <w:t xml:space="preserve">it was decided that </w:t>
      </w:r>
      <w:r>
        <w:t>Alexandria w</w:t>
      </w:r>
      <w:r w:rsidR="00C34AFF">
        <w:t xml:space="preserve">ould be married to Pharaoh Ptolemy </w:t>
      </w:r>
      <w:r>
        <w:t>IV</w:t>
      </w:r>
      <w:r w:rsidR="00C34AFF">
        <w:t xml:space="preserve"> prior to the signing of the treaty</w:t>
      </w:r>
      <w:r w:rsidR="008725B8">
        <w:rPr>
          <w:rStyle w:val="FootnoteReference"/>
        </w:rPr>
        <w:footnoteReference w:id="27"/>
      </w:r>
      <w:r w:rsidR="00C34AFF">
        <w:t>, in order to ensure that in the event of the Pharaohs death before the treaty is finalised there would be continuing good relations between our two nations, due to the close relationship between our royal families.</w:t>
      </w:r>
    </w:p>
    <w:p w:rsidR="006D44F2" w:rsidRDefault="006D44F2"/>
    <w:p w:rsidR="0085584F" w:rsidRPr="006D0CF6" w:rsidRDefault="0085584F">
      <w:pPr>
        <w:rPr>
          <w:b/>
        </w:rPr>
      </w:pPr>
      <w:r w:rsidRPr="006D0CF6">
        <w:rPr>
          <w:b/>
        </w:rPr>
        <w:t>221-219BC</w:t>
      </w:r>
      <w:r w:rsidR="00D2725C">
        <w:rPr>
          <w:b/>
        </w:rPr>
        <w:t xml:space="preserve"> (</w:t>
      </w:r>
      <w:r w:rsidR="00D2725C" w:rsidRPr="006D0CF6">
        <w:rPr>
          <w:b/>
        </w:rPr>
        <w:t>Week 5</w:t>
      </w:r>
      <w:r w:rsidR="00D2725C">
        <w:rPr>
          <w:b/>
        </w:rPr>
        <w:t>)</w:t>
      </w:r>
    </w:p>
    <w:p w:rsidR="00DB300F" w:rsidRDefault="00DB300F">
      <w:r>
        <w:lastRenderedPageBreak/>
        <w:t>[…]</w:t>
      </w:r>
    </w:p>
    <w:p w:rsidR="0099008E" w:rsidRDefault="00DB300F">
      <w:r>
        <w:t xml:space="preserve">Despite our best efforts, Pharaoh Ptolemy IV has not been able to send a representative to sign the Persepolis Treaty. </w:t>
      </w:r>
      <w:r w:rsidR="00526AA2">
        <w:t>Reports</w:t>
      </w:r>
      <w:r w:rsidR="0099008E">
        <w:t xml:space="preserve"> on events in </w:t>
      </w:r>
      <w:r w:rsidR="00C27C56">
        <w:t>Asia-Minor</w:t>
      </w:r>
      <w:r w:rsidR="0099008E">
        <w:t xml:space="preserve"> show </w:t>
      </w:r>
      <w:r w:rsidR="00526AA2">
        <w:t>that little is happening regarding the progression of conflict in Asia-Minor, it appears that whilst armies have been gathered […] little evidence for decisive action from either side […]</w:t>
      </w:r>
    </w:p>
    <w:p w:rsidR="00526AA2" w:rsidRDefault="00526AA2">
      <w:r>
        <w:t>[…]</w:t>
      </w:r>
    </w:p>
    <w:p w:rsidR="007C6355" w:rsidRDefault="00526AA2">
      <w:r>
        <w:t xml:space="preserve">Almost a year after the incident </w:t>
      </w:r>
      <w:r w:rsidR="007C6355">
        <w:t xml:space="preserve">Queen Kleopatra </w:t>
      </w:r>
      <w:r>
        <w:t xml:space="preserve">has finally sent an envoy </w:t>
      </w:r>
      <w:r w:rsidR="007C6355">
        <w:t xml:space="preserve">regarding the diplomatic incident </w:t>
      </w:r>
      <w:r>
        <w:t xml:space="preserve">with Bradonius </w:t>
      </w:r>
      <w:r w:rsidR="007C6355">
        <w:t xml:space="preserve">and </w:t>
      </w:r>
      <w:r>
        <w:t xml:space="preserve">has opened </w:t>
      </w:r>
      <w:r w:rsidR="007C6355">
        <w:t xml:space="preserve">discussions regarding </w:t>
      </w:r>
      <w:r>
        <w:t>a resolution. Given that, from all reports, Antioch is currently under siege I doubt that there will be a resolution reached in time for them to benefit from it.</w:t>
      </w:r>
    </w:p>
    <w:p w:rsidR="00526AA2" w:rsidRDefault="00526AA2">
      <w:r>
        <w:t>[…] r</w:t>
      </w:r>
      <w:r w:rsidR="0099008E">
        <w:t>eports</w:t>
      </w:r>
      <w:r>
        <w:t xml:space="preserve"> received</w:t>
      </w:r>
      <w:r w:rsidR="0099008E">
        <w:t xml:space="preserve"> from </w:t>
      </w:r>
      <w:r>
        <w:t xml:space="preserve">Asia-Minor appear to show [Pharaoh?] Ptolemy IV is withdrawing […] </w:t>
      </w:r>
      <w:r w:rsidR="0099008E">
        <w:t xml:space="preserve">Pergamon </w:t>
      </w:r>
      <w:r>
        <w:t>are still engaged in actions against the Seleucid Armies but it appears the situation is dire</w:t>
      </w:r>
      <w:r w:rsidR="0099008E">
        <w:t xml:space="preserve"> </w:t>
      </w:r>
      <w:r>
        <w:t>[…]</w:t>
      </w:r>
      <w:r w:rsidR="0099008E">
        <w:t xml:space="preserve"> </w:t>
      </w:r>
    </w:p>
    <w:p w:rsidR="001D3EC0" w:rsidRDefault="00526AA2">
      <w:r>
        <w:t>This morning there was an e</w:t>
      </w:r>
      <w:r w:rsidR="0099008E">
        <w:t>nvoy from Pergamon</w:t>
      </w:r>
      <w:r>
        <w:t xml:space="preserve"> that</w:t>
      </w:r>
      <w:r w:rsidR="0099008E">
        <w:t xml:space="preserve"> asked</w:t>
      </w:r>
      <w:r>
        <w:t xml:space="preserve"> this</w:t>
      </w:r>
      <w:r w:rsidR="0099008E">
        <w:t xml:space="preserve"> Amitis if she could pressure the Queen into invading Babylon</w:t>
      </w:r>
      <w:r w:rsidR="00CC3688">
        <w:rPr>
          <w:rStyle w:val="FootnoteReference"/>
        </w:rPr>
        <w:footnoteReference w:id="28"/>
      </w:r>
      <w:r>
        <w:t xml:space="preserve">, as had been discussed at negotiations for the Persepolis Treaty, </w:t>
      </w:r>
      <w:r w:rsidR="00505D6F">
        <w:t>given that it appears that Pharaoh Ptolemy IV’s armies are currently suppressing a revolt in Alexandria I think that perhaps Pergamon’s entreaties shall fall on deaf ears</w:t>
      </w:r>
      <w:r w:rsidR="00CC3688">
        <w:rPr>
          <w:rStyle w:val="FootnoteReference"/>
        </w:rPr>
        <w:footnoteReference w:id="29"/>
      </w:r>
      <w:r w:rsidR="00505D6F">
        <w:t xml:space="preserve">. </w:t>
      </w:r>
    </w:p>
    <w:p w:rsidR="001D3EC0" w:rsidRDefault="001D3EC0">
      <w:r>
        <w:t>[…]</w:t>
      </w:r>
    </w:p>
    <w:p w:rsidR="00A4207C" w:rsidRDefault="001D3EC0">
      <w:r>
        <w:t>This month there were f</w:t>
      </w:r>
      <w:r w:rsidR="007C6355">
        <w:t xml:space="preserve">urther </w:t>
      </w:r>
      <w:r>
        <w:t>e</w:t>
      </w:r>
      <w:r w:rsidR="00A4207C">
        <w:t>nvoy</w:t>
      </w:r>
      <w:r w:rsidR="007C6355">
        <w:t>s</w:t>
      </w:r>
      <w:r w:rsidR="00A4207C">
        <w:t xml:space="preserve"> from Queen Kleopatra regarding the </w:t>
      </w:r>
      <w:r>
        <w:t>negotiations surrounding</w:t>
      </w:r>
      <w:r w:rsidR="00A4207C">
        <w:t xml:space="preserve"> </w:t>
      </w:r>
      <w:r w:rsidR="007C6355">
        <w:t>the diplomatic incident</w:t>
      </w:r>
      <w:r>
        <w:t>, it appears that despite earlier impressions the Queen is taking an active interest in the friendship between our Kingdoms, offering much of what we might have receive should this conflict have been more successful. Perhaps it is time to cut our losses with the Ptolemies, the situation in the west has not improved and it no longer appears profitable to continue in this course of action</w:t>
      </w:r>
      <w:r w:rsidR="00CC3688">
        <w:rPr>
          <w:rStyle w:val="FootnoteReference"/>
        </w:rPr>
        <w:footnoteReference w:id="30"/>
      </w:r>
      <w:r>
        <w:t>. I shall mention this to the Queen Artemisia when next we speak.</w:t>
      </w:r>
    </w:p>
    <w:p w:rsidR="00EA5A11" w:rsidRDefault="001D3EC0">
      <w:r>
        <w:t xml:space="preserve">[…] decision has been made! It appears we shall once again be loyal subjects of the Seleucid Empire, though I suspect it is largely in part to the great numbers of concessions that have been given to us on the part of Queen Kleopatra. </w:t>
      </w:r>
      <w:r w:rsidR="00295B85">
        <w:t>It has been decided that</w:t>
      </w:r>
      <w:r w:rsidR="00EA5A11">
        <w:t>:</w:t>
      </w:r>
    </w:p>
    <w:p w:rsidR="00EA5A11" w:rsidRDefault="00295B85" w:rsidP="00EA5A11">
      <w:pPr>
        <w:pStyle w:val="ListParagraph"/>
        <w:numPr>
          <w:ilvl w:val="0"/>
          <w:numId w:val="2"/>
        </w:numPr>
      </w:pPr>
      <w:r>
        <w:t xml:space="preserve">[market?] days shall be </w:t>
      </w:r>
      <w:r w:rsidR="00EA5A11">
        <w:t>exempt from taxation</w:t>
      </w:r>
      <w:r w:rsidR="00CC3688">
        <w:rPr>
          <w:rStyle w:val="FootnoteReference"/>
        </w:rPr>
        <w:footnoteReference w:id="31"/>
      </w:r>
    </w:p>
    <w:p w:rsidR="00EA5A11" w:rsidRDefault="00EA5A11" w:rsidP="00EA5A11">
      <w:pPr>
        <w:pStyle w:val="ListParagraph"/>
        <w:numPr>
          <w:ilvl w:val="0"/>
          <w:numId w:val="2"/>
        </w:numPr>
      </w:pPr>
      <w:r>
        <w:t>T</w:t>
      </w:r>
      <w:r w:rsidR="00295B85">
        <w:t>hat the Seleucid royal family shall not try to interfere with the day to day running of Medi</w:t>
      </w:r>
      <w:r>
        <w:t>a and Persia</w:t>
      </w:r>
      <w:r w:rsidR="00CC3688">
        <w:rPr>
          <w:rStyle w:val="FootnoteReference"/>
        </w:rPr>
        <w:footnoteReference w:id="32"/>
      </w:r>
    </w:p>
    <w:p w:rsidR="00EA5A11" w:rsidRDefault="00EA5A11" w:rsidP="00EA5A11">
      <w:pPr>
        <w:pStyle w:val="ListParagraph"/>
        <w:numPr>
          <w:ilvl w:val="0"/>
          <w:numId w:val="2"/>
        </w:numPr>
      </w:pPr>
      <w:r>
        <w:t>T</w:t>
      </w:r>
      <w:r w:rsidR="00295B85">
        <w:t>hat the Seleucid Royal family shall never again approach Media and Persia with such disrespect as sh</w:t>
      </w:r>
      <w:r>
        <w:t>own in the diplomatic incident</w:t>
      </w:r>
      <w:r w:rsidR="00CC3688">
        <w:rPr>
          <w:rStyle w:val="FootnoteReference"/>
        </w:rPr>
        <w:footnoteReference w:id="33"/>
      </w:r>
    </w:p>
    <w:p w:rsidR="001D3EC0" w:rsidRDefault="00EA5A11" w:rsidP="00EA5A11">
      <w:pPr>
        <w:pStyle w:val="ListParagraph"/>
        <w:numPr>
          <w:ilvl w:val="0"/>
          <w:numId w:val="2"/>
        </w:numPr>
      </w:pPr>
      <w:r>
        <w:t>T</w:t>
      </w:r>
      <w:r w:rsidR="00295B85">
        <w:t xml:space="preserve">hat wherever possible, </w:t>
      </w:r>
      <w:r>
        <w:t>it shall be the Queen Kleopatra or her personal envoy that does handle negotiations with Persia and Media</w:t>
      </w:r>
      <w:r w:rsidR="00CC3688">
        <w:rPr>
          <w:rStyle w:val="FootnoteReference"/>
        </w:rPr>
        <w:footnoteReference w:id="34"/>
      </w:r>
    </w:p>
    <w:p w:rsidR="00EA5A11" w:rsidRDefault="00EA5A11" w:rsidP="00EA5A11">
      <w:pPr>
        <w:pStyle w:val="ListParagraph"/>
        <w:numPr>
          <w:ilvl w:val="0"/>
          <w:numId w:val="2"/>
        </w:numPr>
      </w:pPr>
      <w:r>
        <w:lastRenderedPageBreak/>
        <w:t>That Bradonius, now Alexander shall never again enter the borders of Media and Persia on pain of imprisonment</w:t>
      </w:r>
      <w:r w:rsidR="00517799">
        <w:rPr>
          <w:rStyle w:val="FootnoteReference"/>
        </w:rPr>
        <w:footnoteReference w:id="35"/>
      </w:r>
    </w:p>
    <w:p w:rsidR="00000659" w:rsidRDefault="00000659" w:rsidP="00EA5A11">
      <w:pPr>
        <w:pStyle w:val="ListParagraph"/>
        <w:numPr>
          <w:ilvl w:val="0"/>
          <w:numId w:val="2"/>
        </w:numPr>
      </w:pPr>
      <w:r>
        <w:t>That there shall be a mutual sharing of information between our two courts</w:t>
      </w:r>
      <w:r w:rsidR="00517799">
        <w:rPr>
          <w:rStyle w:val="FootnoteReference"/>
        </w:rPr>
        <w:footnoteReference w:id="36"/>
      </w:r>
    </w:p>
    <w:p w:rsidR="00000659" w:rsidRDefault="00000659" w:rsidP="00000659">
      <w:r>
        <w:t>Despite the difficult start to the relationship between our two courts, I hope that such a diplomatic incident as happened previously never again has reason to darken the relationship of our kingdoms. If for no other reason than for ease on the hand of the scribe that must draft the numerous letters, and treaties and agreements!</w:t>
      </w:r>
    </w:p>
    <w:p w:rsidR="003A73CE" w:rsidRDefault="003A73CE">
      <w:r>
        <w:t xml:space="preserve">Envoys </w:t>
      </w:r>
      <w:r w:rsidR="000E69A2">
        <w:t>[</w:t>
      </w:r>
      <w:r>
        <w:t>sent</w:t>
      </w:r>
      <w:r w:rsidR="000E69A2">
        <w:t>?] […]</w:t>
      </w:r>
      <w:r>
        <w:t xml:space="preserve"> Pergamon and Egypt regarding the Persepolis treaty</w:t>
      </w:r>
      <w:r w:rsidR="000E69A2">
        <w:t xml:space="preserve"> and how, much to the sorrow of the people of Media and Persia, we must withdraw from the [signing?]</w:t>
      </w:r>
      <w:r w:rsidR="00517799">
        <w:rPr>
          <w:rStyle w:val="FootnoteReference"/>
        </w:rPr>
        <w:footnoteReference w:id="37"/>
      </w:r>
    </w:p>
    <w:p w:rsidR="007C6355" w:rsidRDefault="00093113">
      <w:r>
        <w:t xml:space="preserve">Interesting events occurring this year! </w:t>
      </w:r>
      <w:r w:rsidR="003A73CE">
        <w:t xml:space="preserve">Due to </w:t>
      </w:r>
      <w:r>
        <w:t>ties that our royal family has</w:t>
      </w:r>
      <w:r w:rsidR="003A73CE">
        <w:t xml:space="preserve"> with both Egypt and the </w:t>
      </w:r>
      <w:r>
        <w:t>Seleucids,</w:t>
      </w:r>
      <w:r w:rsidR="003A73CE">
        <w:t xml:space="preserve"> </w:t>
      </w:r>
      <w:r w:rsidR="00BF680D">
        <w:t xml:space="preserve">Satrap Artemisia </w:t>
      </w:r>
      <w:r>
        <w:t>has been approached by her son-in-law Pharaoh Ptolemy IV</w:t>
      </w:r>
      <w:r w:rsidR="00BF680D">
        <w:t xml:space="preserve"> </w:t>
      </w:r>
      <w:r>
        <w:t xml:space="preserve">and has been </w:t>
      </w:r>
      <w:r w:rsidR="003A73CE">
        <w:t xml:space="preserve">asked to </w:t>
      </w:r>
      <w:r w:rsidR="00FB08B8">
        <w:t xml:space="preserve">organise a </w:t>
      </w:r>
      <w:r w:rsidR="007C6355">
        <w:t xml:space="preserve">Peace summit </w:t>
      </w:r>
      <w:r w:rsidR="00FB08B8">
        <w:t xml:space="preserve">between the </w:t>
      </w:r>
      <w:r>
        <w:t>Ptolemies</w:t>
      </w:r>
      <w:r w:rsidR="00FB08B8">
        <w:t xml:space="preserve"> and the </w:t>
      </w:r>
      <w:r>
        <w:t>Seleucids regarding the conflict occurring in the west</w:t>
      </w:r>
      <w:r w:rsidR="001A32D4">
        <w:rPr>
          <w:rStyle w:val="FootnoteReference"/>
        </w:rPr>
        <w:footnoteReference w:id="38"/>
      </w:r>
      <w:r w:rsidR="00C27C56">
        <w:t>.</w:t>
      </w:r>
      <w:r w:rsidR="000C55B0">
        <w:t xml:space="preserve"> As the Satrap is already involved in the safeguarding of the people and the running of the country she has personally asked this Amitis to organise both the peace summit, and the invitations! This Amitis is most honoured by the trust that her Satrap is placing in her!</w:t>
      </w:r>
    </w:p>
    <w:p w:rsidR="00E630EA" w:rsidRDefault="00C27C56" w:rsidP="004D0B84">
      <w:r>
        <w:t>The</w:t>
      </w:r>
      <w:r w:rsidR="004D0B84">
        <w:t xml:space="preserve"> negotiations were a disaster! It has transpired that the Seleucid Emperor was only using the talks as a guise to attack the Ptolemaic forces in Asia Minor! Both the Ptolemaic</w:t>
      </w:r>
      <w:r>
        <w:t xml:space="preserve"> </w:t>
      </w:r>
      <w:r w:rsidR="004D0B84">
        <w:t>representative</w:t>
      </w:r>
      <w:r>
        <w:t xml:space="preserve"> and Queen Kleopatra </w:t>
      </w:r>
      <w:r w:rsidR="004D0B84">
        <w:t>are furious at the implications and have withdrawn from the conference</w:t>
      </w:r>
      <w:r w:rsidR="00E630EA">
        <w:t>.</w:t>
      </w:r>
      <w:r w:rsidR="004D0B84">
        <w:t xml:space="preserve"> It appears that </w:t>
      </w:r>
      <w:r w:rsidR="00A03907">
        <w:t>the only way this shall end is with a death.</w:t>
      </w:r>
    </w:p>
    <w:p w:rsidR="00E630EA" w:rsidRDefault="00A03907">
      <w:r>
        <w:t xml:space="preserve">[…] </w:t>
      </w:r>
      <w:r w:rsidR="00E630EA">
        <w:t xml:space="preserve">Peace </w:t>
      </w:r>
      <w:r>
        <w:t>[failure?]</w:t>
      </w:r>
    </w:p>
    <w:p w:rsidR="00257B95" w:rsidRDefault="00257B95">
      <w:r>
        <w:t>I have sent envoys</w:t>
      </w:r>
      <w:r w:rsidR="00E630EA">
        <w:t xml:space="preserve"> to Egypt on both the behalf of Satrap Artemisia and Queen Kleopatra of the </w:t>
      </w:r>
      <w:r w:rsidR="00DC2079">
        <w:t>Seleucids</w:t>
      </w:r>
      <w:r w:rsidR="00E630EA">
        <w:t xml:space="preserve"> in order to remind the </w:t>
      </w:r>
      <w:r w:rsidR="00DC2079">
        <w:t>Ptolemaic</w:t>
      </w:r>
      <w:r w:rsidR="00E630EA">
        <w:t xml:space="preserve"> court of the proposer of the peace summit idea and to assure the </w:t>
      </w:r>
      <w:r w:rsidR="00DC2079">
        <w:t>Ptolemaic</w:t>
      </w:r>
      <w:r w:rsidR="00E630EA">
        <w:t xml:space="preserve"> court that Satrap Artemisia and Queen Kleopatra of the </w:t>
      </w:r>
      <w:r w:rsidR="00DC2079">
        <w:t>Seleucids</w:t>
      </w:r>
      <w:r w:rsidR="00E630EA">
        <w:t xml:space="preserve"> had no knowledge of the invasion plans</w:t>
      </w:r>
      <w:r w:rsidR="00782B02">
        <w:rPr>
          <w:rStyle w:val="FootnoteReference"/>
        </w:rPr>
        <w:footnoteReference w:id="39"/>
      </w:r>
      <w:r w:rsidR="00E630EA">
        <w:t>.</w:t>
      </w:r>
      <w:r>
        <w:t xml:space="preserve"> Hopefully, this shall forestall any plans for retribution for any imagined treachery on our parts […] alongside</w:t>
      </w:r>
      <w:r w:rsidR="0099008E">
        <w:t xml:space="preserve"> the</w:t>
      </w:r>
      <w:r>
        <w:t>se envoys</w:t>
      </w:r>
      <w:r w:rsidR="0099008E">
        <w:t xml:space="preserve"> </w:t>
      </w:r>
      <w:r>
        <w:t>I have</w:t>
      </w:r>
      <w:r w:rsidR="0099008E">
        <w:t xml:space="preserve"> sent to Egypt to request that the </w:t>
      </w:r>
      <w:r>
        <w:t>Satrap</w:t>
      </w:r>
      <w:r w:rsidR="0099008E">
        <w:t>s daughter and grandson be brought back to Persia and Media for their safety</w:t>
      </w:r>
      <w:r w:rsidR="00247F32">
        <w:rPr>
          <w:rStyle w:val="FootnoteReference"/>
        </w:rPr>
        <w:footnoteReference w:id="40"/>
      </w:r>
      <w:r w:rsidR="00C67FE1">
        <w:t>, as an invasion of Egyptian territories seems imminent</w:t>
      </w:r>
      <w:r w:rsidR="00C67FE1">
        <w:rPr>
          <w:rStyle w:val="FootnoteReference"/>
        </w:rPr>
        <w:footnoteReference w:id="41"/>
      </w:r>
      <w:r>
        <w:t xml:space="preserve">. </w:t>
      </w:r>
    </w:p>
    <w:p w:rsidR="0099008E" w:rsidRDefault="00257B95">
      <w:r>
        <w:t xml:space="preserve">Oh! Most tragic news that I must bring to my Satrap! </w:t>
      </w:r>
      <w:r w:rsidR="00305B90">
        <w:t>Her d</w:t>
      </w:r>
      <w:r w:rsidR="0099008E">
        <w:t>aughter dead</w:t>
      </w:r>
      <w:r w:rsidR="00305B90">
        <w:t xml:space="preserve"> in childbirth</w:t>
      </w:r>
      <w:r w:rsidR="0099008E">
        <w:t xml:space="preserve"> </w:t>
      </w:r>
      <w:r w:rsidR="00305B90">
        <w:t>and</w:t>
      </w:r>
      <w:r w:rsidR="0099008E">
        <w:t xml:space="preserve"> </w:t>
      </w:r>
      <w:r w:rsidR="00305B90">
        <w:t>her g</w:t>
      </w:r>
      <w:r w:rsidR="0099008E">
        <w:t>ran</w:t>
      </w:r>
      <w:r w:rsidR="00DC2079">
        <w:t>d</w:t>
      </w:r>
      <w:r w:rsidR="0099008E">
        <w:t xml:space="preserve">son being fostered by </w:t>
      </w:r>
      <w:r w:rsidR="00305B90">
        <w:t xml:space="preserve">his Aunt </w:t>
      </w:r>
      <w:r w:rsidR="0099008E">
        <w:t>Berenice of Egypt</w:t>
      </w:r>
      <w:r w:rsidR="00305B90">
        <w:t xml:space="preserve"> and unable to return home! I already know what my Satrap’s wishes shall be in this matter, I shall start entreating Ptolemy IV and his sister for his return</w:t>
      </w:r>
      <w:r w:rsidR="00C67FE1">
        <w:rPr>
          <w:rStyle w:val="FootnoteReference"/>
        </w:rPr>
        <w:footnoteReference w:id="42"/>
      </w:r>
      <w:r w:rsidR="00305B90">
        <w:t xml:space="preserve">! </w:t>
      </w:r>
    </w:p>
    <w:p w:rsidR="00FE24EF" w:rsidRDefault="00FE24EF"/>
    <w:p w:rsidR="0085584F" w:rsidRPr="006D0CF6" w:rsidRDefault="0085584F">
      <w:pPr>
        <w:rPr>
          <w:b/>
        </w:rPr>
      </w:pPr>
      <w:r w:rsidRPr="006D0CF6">
        <w:rPr>
          <w:b/>
        </w:rPr>
        <w:t>218-216BC</w:t>
      </w:r>
      <w:r w:rsidR="00D2725C">
        <w:rPr>
          <w:b/>
        </w:rPr>
        <w:t xml:space="preserve"> (</w:t>
      </w:r>
      <w:r w:rsidR="00D2725C" w:rsidRPr="006D0CF6">
        <w:rPr>
          <w:b/>
        </w:rPr>
        <w:t>Week 6</w:t>
      </w:r>
      <w:r w:rsidR="00D2725C">
        <w:rPr>
          <w:b/>
        </w:rPr>
        <w:t>)</w:t>
      </w:r>
    </w:p>
    <w:p w:rsidR="00F279B7" w:rsidRDefault="008644BD">
      <w:r>
        <w:lastRenderedPageBreak/>
        <w:t>In the wake of the events of the past years, the Satrap has seen fit to draw her gaze to the East, and to our neighbours in Bactria</w:t>
      </w:r>
      <w:r w:rsidR="00676D49">
        <w:rPr>
          <w:rStyle w:val="FootnoteReference"/>
        </w:rPr>
        <w:footnoteReference w:id="43"/>
      </w:r>
      <w:r>
        <w:t xml:space="preserve">. As has often been the case I have been asked to draw up a treaty, to cement the friendship between our two Nations. </w:t>
      </w:r>
    </w:p>
    <w:p w:rsidR="008644BD" w:rsidRDefault="008644BD">
      <w:r>
        <w:t>As with the treaty of Babylon this treaty has included:</w:t>
      </w:r>
    </w:p>
    <w:p w:rsidR="008644BD" w:rsidRDefault="008644BD" w:rsidP="008644BD">
      <w:pPr>
        <w:pStyle w:val="ListParagraph"/>
        <w:numPr>
          <w:ilvl w:val="0"/>
          <w:numId w:val="3"/>
        </w:numPr>
      </w:pPr>
      <w:r>
        <w:t>A non-aggression agreement between our two nations</w:t>
      </w:r>
      <w:r w:rsidR="00676D49">
        <w:rPr>
          <w:rStyle w:val="FootnoteReference"/>
        </w:rPr>
        <w:footnoteReference w:id="44"/>
      </w:r>
    </w:p>
    <w:p w:rsidR="008644BD" w:rsidRDefault="008644BD" w:rsidP="008644BD">
      <w:pPr>
        <w:pStyle w:val="ListParagraph"/>
        <w:numPr>
          <w:ilvl w:val="0"/>
          <w:numId w:val="3"/>
        </w:numPr>
      </w:pPr>
      <w:r>
        <w:t>That there shall be a mutual sharing of information between our two courts</w:t>
      </w:r>
      <w:r w:rsidR="00676D49">
        <w:rPr>
          <w:rStyle w:val="FootnoteReference"/>
        </w:rPr>
        <w:footnoteReference w:id="45"/>
      </w:r>
    </w:p>
    <w:p w:rsidR="008644BD" w:rsidRDefault="006F4138" w:rsidP="008644BD">
      <w:pPr>
        <w:pStyle w:val="ListParagraph"/>
        <w:numPr>
          <w:ilvl w:val="0"/>
          <w:numId w:val="3"/>
        </w:numPr>
      </w:pPr>
      <w:r>
        <w:t>That at a later time</w:t>
      </w:r>
      <w:r w:rsidR="00DF102F">
        <w:t>,</w:t>
      </w:r>
      <w:r>
        <w:t xml:space="preserve"> trade agreements shall be discussed between our two Nations</w:t>
      </w:r>
      <w:r w:rsidR="00676D49">
        <w:rPr>
          <w:rStyle w:val="FootnoteReference"/>
        </w:rPr>
        <w:footnoteReference w:id="46"/>
      </w:r>
    </w:p>
    <w:p w:rsidR="00D31BB1" w:rsidRDefault="006F4138">
      <w:r>
        <w:t>Finally! The Satrap’s g</w:t>
      </w:r>
      <w:r w:rsidR="00D31BB1">
        <w:t xml:space="preserve">randson </w:t>
      </w:r>
      <w:r>
        <w:t>has been</w:t>
      </w:r>
      <w:r w:rsidR="00D31BB1">
        <w:t xml:space="preserve"> allowed to come home</w:t>
      </w:r>
      <w:r>
        <w:t>! Named Ptolemy Cyrus out of deference to his two great lineages the four-year-old shall soon be at home with his family.</w:t>
      </w:r>
      <w:r w:rsidR="00D31BB1">
        <w:t xml:space="preserve"> </w:t>
      </w:r>
      <w:r>
        <w:t>Due to changes in the succession of Egypt</w:t>
      </w:r>
      <w:r w:rsidR="00DF102F">
        <w:t>, largely the death of his father</w:t>
      </w:r>
      <w:r>
        <w:t>, it has been agreed that</w:t>
      </w:r>
      <w:r w:rsidR="00D31BB1">
        <w:t xml:space="preserve"> he relinquishes claim to the Ptolemaic Throne </w:t>
      </w:r>
      <w:r>
        <w:t>in return for his release to us</w:t>
      </w:r>
      <w:r w:rsidR="00676D49">
        <w:rPr>
          <w:rStyle w:val="FootnoteReference"/>
        </w:rPr>
        <w:footnoteReference w:id="47"/>
      </w:r>
      <w:r>
        <w:t>. I suspect however, that his grandmother shall not let such ties to the throne of Egypt lie silent for very long.</w:t>
      </w:r>
    </w:p>
    <w:p w:rsidR="00DF102F" w:rsidRDefault="00DF102F">
      <w:r>
        <w:t>As with both Bactria and Babylon it has been deemed beneficial to create a treaty with our neighbours to the North-West, the Armenians, and I have been asked to draft a treaty. As with our other allies this shall include:</w:t>
      </w:r>
    </w:p>
    <w:p w:rsidR="00DF102F" w:rsidRDefault="00DF102F" w:rsidP="00DF102F">
      <w:pPr>
        <w:pStyle w:val="ListParagraph"/>
        <w:numPr>
          <w:ilvl w:val="0"/>
          <w:numId w:val="3"/>
        </w:numPr>
      </w:pPr>
      <w:r>
        <w:t xml:space="preserve"> A non-aggression agreement between our two nations</w:t>
      </w:r>
      <w:r w:rsidR="00EC4ADB">
        <w:rPr>
          <w:rStyle w:val="FootnoteReference"/>
        </w:rPr>
        <w:footnoteReference w:id="48"/>
      </w:r>
    </w:p>
    <w:p w:rsidR="00DF102F" w:rsidRDefault="00DF102F" w:rsidP="00DF102F">
      <w:pPr>
        <w:pStyle w:val="ListParagraph"/>
        <w:numPr>
          <w:ilvl w:val="0"/>
          <w:numId w:val="3"/>
        </w:numPr>
      </w:pPr>
      <w:r>
        <w:t>That there shall be a mutual sharing of information between our two courts</w:t>
      </w:r>
      <w:r w:rsidR="00EC4ADB">
        <w:rPr>
          <w:rStyle w:val="FootnoteReference"/>
        </w:rPr>
        <w:footnoteReference w:id="49"/>
      </w:r>
    </w:p>
    <w:p w:rsidR="00DF102F" w:rsidRDefault="00DF102F" w:rsidP="00DF102F">
      <w:pPr>
        <w:pStyle w:val="ListParagraph"/>
        <w:numPr>
          <w:ilvl w:val="0"/>
          <w:numId w:val="3"/>
        </w:numPr>
      </w:pPr>
      <w:r>
        <w:t>That at a later time, trade agreements shall be discussed between our two Nations</w:t>
      </w:r>
      <w:r w:rsidR="00EC4ADB">
        <w:rPr>
          <w:rStyle w:val="FootnoteReference"/>
        </w:rPr>
        <w:footnoteReference w:id="50"/>
      </w:r>
    </w:p>
    <w:p w:rsidR="001C2A9B" w:rsidRDefault="00ED54EE">
      <w:r>
        <w:t xml:space="preserve">This winter it has been required of me to act as an emissary between ourselves in Media and Persia and of our friends in </w:t>
      </w:r>
      <w:r w:rsidR="001C2A9B">
        <w:t>Bactria</w:t>
      </w:r>
      <w:r>
        <w:t>. We have been negotiating a</w:t>
      </w:r>
      <w:r w:rsidR="001C2A9B">
        <w:t xml:space="preserve"> trade deal </w:t>
      </w:r>
      <w:r>
        <w:t xml:space="preserve">between our two kingdoms, </w:t>
      </w:r>
      <w:r w:rsidR="009120D1">
        <w:t>it</w:t>
      </w:r>
      <w:r w:rsidR="00E8412F">
        <w:t xml:space="preserve"> has been agreed that in return for a supply of both elephants, and of silk</w:t>
      </w:r>
      <w:r w:rsidR="000C2C5F">
        <w:rPr>
          <w:rStyle w:val="FootnoteReference"/>
        </w:rPr>
        <w:footnoteReference w:id="51"/>
      </w:r>
      <w:r w:rsidR="00E8412F">
        <w:t>, we shall supply the Bactrians with pistachios</w:t>
      </w:r>
      <w:r w:rsidR="000C2C5F">
        <w:rPr>
          <w:rStyle w:val="FootnoteReference"/>
        </w:rPr>
        <w:footnoteReference w:id="52"/>
      </w:r>
      <w:r w:rsidR="00E8412F">
        <w:t>, and that in return for access to hydrological technology for irrigation</w:t>
      </w:r>
      <w:r w:rsidR="000C2C5F">
        <w:rPr>
          <w:rStyle w:val="FootnoteReference"/>
        </w:rPr>
        <w:footnoteReference w:id="53"/>
      </w:r>
      <w:r w:rsidR="00E8412F">
        <w:t>, the Bactrians shall allow us access to their trade routes to their far allies of India and China</w:t>
      </w:r>
      <w:r w:rsidR="000C2C5F">
        <w:rPr>
          <w:rStyle w:val="FootnoteReference"/>
        </w:rPr>
        <w:footnoteReference w:id="54"/>
      </w:r>
      <w:r w:rsidR="00E8412F">
        <w:t>.</w:t>
      </w:r>
    </w:p>
    <w:p w:rsidR="001C2A9B" w:rsidRDefault="001C2A9B"/>
    <w:p w:rsidR="007E5FEF" w:rsidRDefault="007E5FEF"/>
    <w:p w:rsidR="007E5FEF" w:rsidRDefault="007E5FEF"/>
    <w:p w:rsidR="007E5FEF" w:rsidRDefault="007E5FEF"/>
    <w:p w:rsidR="007E5FEF" w:rsidRDefault="007E5FEF"/>
    <w:sdt>
      <w:sdtPr>
        <w:id w:val="-607043014"/>
        <w:docPartObj>
          <w:docPartGallery w:val="Bibliographies"/>
          <w:docPartUnique/>
        </w:docPartObj>
      </w:sdtPr>
      <w:sdtEndPr>
        <w:rPr>
          <w:rFonts w:asciiTheme="minorHAnsi" w:eastAsiaTheme="minorEastAsia" w:hAnsiTheme="minorHAnsi" w:cstheme="minorBidi"/>
          <w:color w:val="auto"/>
          <w:sz w:val="22"/>
          <w:szCs w:val="22"/>
          <w:lang w:val="en-GB" w:eastAsia="ja-JP"/>
        </w:rPr>
      </w:sdtEndPr>
      <w:sdtContent>
        <w:p w:rsidR="0063604C" w:rsidRDefault="0063604C">
          <w:pPr>
            <w:pStyle w:val="Heading1"/>
          </w:pPr>
          <w:r>
            <w:t>Bibliography</w:t>
          </w:r>
        </w:p>
        <w:sdt>
          <w:sdtPr>
            <w:id w:val="111145805"/>
            <w:bibliography/>
          </w:sdtPr>
          <w:sdtContent>
            <w:p w:rsidR="007C2CC4" w:rsidRDefault="0063604C" w:rsidP="007C2CC4">
              <w:pPr>
                <w:pStyle w:val="Bibliography"/>
                <w:rPr>
                  <w:noProof/>
                  <w:sz w:val="24"/>
                  <w:szCs w:val="24"/>
                  <w:lang w:val="en-US"/>
                </w:rPr>
              </w:pPr>
              <w:r>
                <w:fldChar w:fldCharType="begin"/>
              </w:r>
              <w:r>
                <w:instrText xml:space="preserve"> BIBLIOGRAPHY </w:instrText>
              </w:r>
              <w:r>
                <w:fldChar w:fldCharType="separate"/>
              </w:r>
              <w:r w:rsidR="007C2CC4">
                <w:rPr>
                  <w:noProof/>
                  <w:lang w:val="en-US"/>
                </w:rPr>
                <w:t xml:space="preserve">Bertoni, D., 2014. </w:t>
              </w:r>
              <w:r w:rsidR="007C2CC4">
                <w:rPr>
                  <w:i/>
                  <w:iCs/>
                  <w:noProof/>
                  <w:lang w:val="en-US"/>
                </w:rPr>
                <w:t xml:space="preserve">The Cultivation and Conceptualization of Exotic Plants in the Greek and Roman Worlds.. </w:t>
              </w:r>
              <w:r w:rsidR="007C2CC4">
                <w:rPr>
                  <w:noProof/>
                  <w:lang w:val="en-US"/>
                </w:rPr>
                <w:t>Harvard: Harvard University.</w:t>
              </w:r>
            </w:p>
            <w:p w:rsidR="007C2CC4" w:rsidRDefault="007C2CC4" w:rsidP="007C2CC4">
              <w:pPr>
                <w:pStyle w:val="Bibliography"/>
                <w:rPr>
                  <w:noProof/>
                  <w:lang w:val="en-US"/>
                </w:rPr>
              </w:pPr>
              <w:r>
                <w:rPr>
                  <w:noProof/>
                  <w:lang w:val="en-US"/>
                </w:rPr>
                <w:t xml:space="preserve">Boyce, M., 1975. On the Zoroastrian temple cult of fire. </w:t>
              </w:r>
              <w:r>
                <w:rPr>
                  <w:i/>
                  <w:iCs/>
                  <w:noProof/>
                  <w:lang w:val="en-US"/>
                </w:rPr>
                <w:t xml:space="preserve">Journal of the American Oriental Society, </w:t>
              </w:r>
              <w:r>
                <w:rPr>
                  <w:noProof/>
                  <w:lang w:val="en-US"/>
                </w:rPr>
                <w:t>pp. 454-465.</w:t>
              </w:r>
            </w:p>
            <w:p w:rsidR="007C2CC4" w:rsidRDefault="007C2CC4" w:rsidP="007C2CC4">
              <w:pPr>
                <w:pStyle w:val="Bibliography"/>
                <w:rPr>
                  <w:noProof/>
                  <w:lang w:val="en-US"/>
                </w:rPr>
              </w:pPr>
              <w:r>
                <w:rPr>
                  <w:noProof/>
                  <w:lang w:val="en-US"/>
                </w:rPr>
                <w:t xml:space="preserve">Boyce, M. e., 1996. </w:t>
              </w:r>
              <w:r>
                <w:rPr>
                  <w:i/>
                  <w:iCs/>
                  <w:noProof/>
                  <w:lang w:val="en-US"/>
                </w:rPr>
                <w:t xml:space="preserve">A History of Zoroastrianism: The early period (Vol. 1). </w:t>
              </w:r>
              <w:r>
                <w:rPr>
                  <w:noProof/>
                  <w:lang w:val="en-US"/>
                </w:rPr>
                <w:t>s.l.:Brill.</w:t>
              </w:r>
            </w:p>
            <w:p w:rsidR="007C2CC4" w:rsidRDefault="007C2CC4" w:rsidP="007C2CC4">
              <w:pPr>
                <w:pStyle w:val="Bibliography"/>
                <w:rPr>
                  <w:noProof/>
                  <w:lang w:val="en-US"/>
                </w:rPr>
              </w:pPr>
              <w:r>
                <w:rPr>
                  <w:noProof/>
                  <w:lang w:val="en-US"/>
                </w:rPr>
                <w:t xml:space="preserve">Briant, P., 2002. </w:t>
              </w:r>
              <w:r>
                <w:rPr>
                  <w:i/>
                  <w:iCs/>
                  <w:noProof/>
                  <w:lang w:val="en-US"/>
                </w:rPr>
                <w:t xml:space="preserve">From Cyrus to Alexander: a history of the Persian Empire. </w:t>
              </w:r>
              <w:r>
                <w:rPr>
                  <w:noProof/>
                  <w:lang w:val="en-US"/>
                </w:rPr>
                <w:t>s.l.:Eisenbrauns.</w:t>
              </w:r>
            </w:p>
            <w:p w:rsidR="007C2CC4" w:rsidRDefault="007C2CC4" w:rsidP="007C2CC4">
              <w:pPr>
                <w:pStyle w:val="Bibliography"/>
                <w:rPr>
                  <w:noProof/>
                  <w:lang w:val="en-US"/>
                </w:rPr>
              </w:pPr>
              <w:r>
                <w:rPr>
                  <w:noProof/>
                  <w:lang w:val="en-US"/>
                </w:rPr>
                <w:t xml:space="preserve">Casson, L., 1994. </w:t>
              </w:r>
              <w:r>
                <w:rPr>
                  <w:i/>
                  <w:iCs/>
                  <w:noProof/>
                  <w:lang w:val="en-US"/>
                </w:rPr>
                <w:t xml:space="preserve">Travel in the ancient world. </w:t>
              </w:r>
              <w:r>
                <w:rPr>
                  <w:noProof/>
                  <w:lang w:val="en-US"/>
                </w:rPr>
                <w:t>s.l.:JHU Press..</w:t>
              </w:r>
            </w:p>
            <w:p w:rsidR="007C2CC4" w:rsidRDefault="007C2CC4" w:rsidP="007C2CC4">
              <w:pPr>
                <w:pStyle w:val="Bibliography"/>
                <w:rPr>
                  <w:noProof/>
                  <w:lang w:val="en-US"/>
                </w:rPr>
              </w:pPr>
              <w:r>
                <w:rPr>
                  <w:noProof/>
                  <w:lang w:val="en-US"/>
                </w:rPr>
                <w:t xml:space="preserve">Cohen, R., 2001. The great tradition: The spread of diplomacy in the ancient world. </w:t>
              </w:r>
              <w:r>
                <w:rPr>
                  <w:i/>
                  <w:iCs/>
                  <w:noProof/>
                  <w:lang w:val="en-US"/>
                </w:rPr>
                <w:t xml:space="preserve">Diplomacy and Statecraft, </w:t>
              </w:r>
              <w:r>
                <w:rPr>
                  <w:noProof/>
                  <w:lang w:val="en-US"/>
                </w:rPr>
                <w:t>12(1`), pp. 23-38.</w:t>
              </w:r>
            </w:p>
            <w:p w:rsidR="007C2CC4" w:rsidRDefault="007C2CC4" w:rsidP="007C2CC4">
              <w:pPr>
                <w:pStyle w:val="Bibliography"/>
                <w:rPr>
                  <w:noProof/>
                  <w:lang w:val="en-US"/>
                </w:rPr>
              </w:pPr>
              <w:r>
                <w:rPr>
                  <w:noProof/>
                  <w:lang w:val="en-US"/>
                </w:rPr>
                <w:t xml:space="preserve">Corwin, J., 2016. Borges, the Magi and Persian Histories. </w:t>
              </w:r>
              <w:r>
                <w:rPr>
                  <w:i/>
                  <w:iCs/>
                  <w:noProof/>
                  <w:lang w:val="en-US"/>
                </w:rPr>
                <w:t xml:space="preserve">Variaciones Borges: revista del Centro de Estudios y Documentación Jorge Luis Borges, </w:t>
              </w:r>
              <w:r>
                <w:rPr>
                  <w:noProof/>
                  <w:lang w:val="en-US"/>
                </w:rPr>
                <w:t>Volume 41, pp. 27-40.</w:t>
              </w:r>
            </w:p>
            <w:p w:rsidR="007C2CC4" w:rsidRDefault="007C2CC4" w:rsidP="007C2CC4">
              <w:pPr>
                <w:pStyle w:val="Bibliography"/>
                <w:rPr>
                  <w:noProof/>
                  <w:lang w:val="en-US"/>
                </w:rPr>
              </w:pPr>
              <w:r>
                <w:rPr>
                  <w:noProof/>
                  <w:lang w:val="en-US"/>
                </w:rPr>
                <w:t xml:space="preserve">Fisher, N., 1984. </w:t>
              </w:r>
              <w:r>
                <w:rPr>
                  <w:i/>
                  <w:iCs/>
                  <w:noProof/>
                  <w:lang w:val="en-US"/>
                </w:rPr>
                <w:t xml:space="preserve">Women in the Ancient World. </w:t>
              </w:r>
              <w:r>
                <w:rPr>
                  <w:noProof/>
                  <w:lang w:val="en-US"/>
                </w:rPr>
                <w:t>s.l.:s.n.</w:t>
              </w:r>
            </w:p>
            <w:p w:rsidR="007C2CC4" w:rsidRDefault="007C2CC4" w:rsidP="007C2CC4">
              <w:pPr>
                <w:pStyle w:val="Bibliography"/>
                <w:rPr>
                  <w:noProof/>
                  <w:lang w:val="en-US"/>
                </w:rPr>
              </w:pPr>
              <w:r>
                <w:rPr>
                  <w:noProof/>
                  <w:lang w:val="en-US"/>
                </w:rPr>
                <w:t xml:space="preserve">Hallock, R., 1969. </w:t>
              </w:r>
              <w:r>
                <w:rPr>
                  <w:i/>
                  <w:iCs/>
                  <w:noProof/>
                  <w:lang w:val="en-US"/>
                </w:rPr>
                <w:t xml:space="preserve">Persepolis fortification tablets (Vol. 92). </w:t>
              </w:r>
              <w:r>
                <w:rPr>
                  <w:noProof/>
                  <w:lang w:val="en-US"/>
                </w:rPr>
                <w:t>University of Chicago Press.: s.n.</w:t>
              </w:r>
            </w:p>
            <w:p w:rsidR="007C2CC4" w:rsidRDefault="007C2CC4" w:rsidP="007C2CC4">
              <w:pPr>
                <w:pStyle w:val="Bibliography"/>
                <w:rPr>
                  <w:noProof/>
                  <w:lang w:val="en-US"/>
                </w:rPr>
              </w:pPr>
              <w:r>
                <w:rPr>
                  <w:noProof/>
                  <w:lang w:val="en-US"/>
                </w:rPr>
                <w:t xml:space="preserve">Healy, J., 1990. Fischer Thomas: Molon und seine Münzen (222–220 v. Chr)(mit Aufnahmen von I. Berndt).(Kleine Hefte der Münzsammlung an der Ruhr-Universität Bochum, 9.) Pp. 30; 9 illustrations (in text) and 1 map. Bochum: Studienverlag Dr Norbert Brockmeyer, 1988 Paper DM. </w:t>
              </w:r>
              <w:r>
                <w:rPr>
                  <w:i/>
                  <w:iCs/>
                  <w:noProof/>
                  <w:lang w:val="en-US"/>
                </w:rPr>
                <w:t xml:space="preserve">The Classical Review, </w:t>
              </w:r>
              <w:r>
                <w:rPr>
                  <w:noProof/>
                  <w:lang w:val="en-US"/>
                </w:rPr>
                <w:t>40(2), p. 518.</w:t>
              </w:r>
            </w:p>
            <w:p w:rsidR="007C2CC4" w:rsidRDefault="007C2CC4" w:rsidP="007C2CC4">
              <w:pPr>
                <w:pStyle w:val="Bibliography"/>
                <w:rPr>
                  <w:noProof/>
                  <w:lang w:val="en-US"/>
                </w:rPr>
              </w:pPr>
              <w:r>
                <w:rPr>
                  <w:noProof/>
                  <w:lang w:val="en-US"/>
                </w:rPr>
                <w:t xml:space="preserve">Jones, C., 1999. </w:t>
              </w:r>
              <w:r>
                <w:rPr>
                  <w:i/>
                  <w:iCs/>
                  <w:noProof/>
                  <w:lang w:val="en-US"/>
                </w:rPr>
                <w:t xml:space="preserve">Kinship diplomacy in the ancient world (Vol. 12). </w:t>
              </w:r>
              <w:r>
                <w:rPr>
                  <w:noProof/>
                  <w:lang w:val="en-US"/>
                </w:rPr>
                <w:t>Harvard: Harvard University Press.</w:t>
              </w:r>
            </w:p>
            <w:p w:rsidR="007C2CC4" w:rsidRDefault="007C2CC4" w:rsidP="007C2CC4">
              <w:pPr>
                <w:pStyle w:val="Bibliography"/>
                <w:rPr>
                  <w:noProof/>
                  <w:lang w:val="en-US"/>
                </w:rPr>
              </w:pPr>
              <w:r>
                <w:rPr>
                  <w:noProof/>
                  <w:lang w:val="en-US"/>
                </w:rPr>
                <w:t xml:space="preserve">Kagan, D., 1995. </w:t>
              </w:r>
              <w:r>
                <w:rPr>
                  <w:i/>
                  <w:iCs/>
                  <w:noProof/>
                  <w:lang w:val="en-US"/>
                </w:rPr>
                <w:t xml:space="preserve">On the Origins of War and the Preservation of Peace. </w:t>
              </w:r>
              <w:r>
                <w:rPr>
                  <w:noProof/>
                  <w:lang w:val="en-US"/>
                </w:rPr>
                <w:t>New York: s.n.</w:t>
              </w:r>
            </w:p>
            <w:p w:rsidR="007C2CC4" w:rsidRDefault="007C2CC4" w:rsidP="007C2CC4">
              <w:pPr>
                <w:pStyle w:val="Bibliography"/>
                <w:rPr>
                  <w:noProof/>
                  <w:lang w:val="en-US"/>
                </w:rPr>
              </w:pPr>
              <w:r>
                <w:rPr>
                  <w:noProof/>
                  <w:lang w:val="en-US"/>
                </w:rPr>
                <w:t xml:space="preserve">Karimi‐Hakkak, A., 1998. Iranica heirloom: Persian literature. </w:t>
              </w:r>
              <w:r>
                <w:rPr>
                  <w:i/>
                  <w:iCs/>
                  <w:noProof/>
                  <w:lang w:val="en-US"/>
                </w:rPr>
                <w:t xml:space="preserve">Iranian Studies, </w:t>
              </w:r>
              <w:r>
                <w:rPr>
                  <w:noProof/>
                  <w:lang w:val="en-US"/>
                </w:rPr>
                <w:t>Volume 31, pp. 527-542.</w:t>
              </w:r>
            </w:p>
            <w:p w:rsidR="007C2CC4" w:rsidRDefault="007C2CC4" w:rsidP="007C2CC4">
              <w:pPr>
                <w:pStyle w:val="Bibliography"/>
                <w:rPr>
                  <w:noProof/>
                  <w:lang w:val="en-US"/>
                </w:rPr>
              </w:pPr>
              <w:r>
                <w:rPr>
                  <w:noProof/>
                  <w:lang w:val="en-US"/>
                </w:rPr>
                <w:t xml:space="preserve">Khansari, M., Moghtader, M. &amp; Yavari, M., 1998. </w:t>
              </w:r>
              <w:r>
                <w:rPr>
                  <w:i/>
                  <w:iCs/>
                  <w:noProof/>
                  <w:lang w:val="en-US"/>
                </w:rPr>
                <w:t xml:space="preserve">The Persian garden: echoes of paradise. </w:t>
              </w:r>
              <w:r>
                <w:rPr>
                  <w:noProof/>
                  <w:lang w:val="en-US"/>
                </w:rPr>
                <w:t>Washington, DC: Mage Publishers.</w:t>
              </w:r>
            </w:p>
            <w:p w:rsidR="007C2CC4" w:rsidRDefault="007C2CC4" w:rsidP="007C2CC4">
              <w:pPr>
                <w:pStyle w:val="Bibliography"/>
                <w:rPr>
                  <w:noProof/>
                  <w:lang w:val="en-US"/>
                </w:rPr>
              </w:pPr>
              <w:r>
                <w:rPr>
                  <w:noProof/>
                  <w:lang w:val="en-US"/>
                </w:rPr>
                <w:t xml:space="preserve">Mahmoudi Farahani, L., Motamed, B. &amp; Jamei, E., 2016. Persian gardens: Meanings, symbolism, and design. </w:t>
              </w:r>
              <w:r>
                <w:rPr>
                  <w:i/>
                  <w:iCs/>
                  <w:noProof/>
                  <w:lang w:val="en-US"/>
                </w:rPr>
                <w:t xml:space="preserve">Landscape online, </w:t>
              </w:r>
              <w:r>
                <w:rPr>
                  <w:noProof/>
                  <w:lang w:val="en-US"/>
                </w:rPr>
                <w:t>Volume 46, pp. 1-19.</w:t>
              </w:r>
            </w:p>
            <w:p w:rsidR="007C2CC4" w:rsidRDefault="007C2CC4" w:rsidP="007C2CC4">
              <w:pPr>
                <w:pStyle w:val="Bibliography"/>
                <w:rPr>
                  <w:noProof/>
                  <w:lang w:val="en-US"/>
                </w:rPr>
              </w:pPr>
              <w:r>
                <w:rPr>
                  <w:noProof/>
                  <w:lang w:val="en-US"/>
                </w:rPr>
                <w:t xml:space="preserve">Malandra, W. e., 1983. </w:t>
              </w:r>
              <w:r>
                <w:rPr>
                  <w:i/>
                  <w:iCs/>
                  <w:noProof/>
                  <w:lang w:val="en-US"/>
                </w:rPr>
                <w:t xml:space="preserve">An introduction to ancient Iranian religion: Readings from the Avesta and Achaemenid inscriptions (Vol. 2). </w:t>
              </w:r>
              <w:r>
                <w:rPr>
                  <w:noProof/>
                  <w:lang w:val="en-US"/>
                </w:rPr>
                <w:t>Minnesota: University of Minnesota Press.</w:t>
              </w:r>
            </w:p>
            <w:p w:rsidR="007C2CC4" w:rsidRDefault="007C2CC4" w:rsidP="007C2CC4">
              <w:pPr>
                <w:pStyle w:val="Bibliography"/>
                <w:rPr>
                  <w:noProof/>
                  <w:lang w:val="en-US"/>
                </w:rPr>
              </w:pPr>
              <w:r>
                <w:rPr>
                  <w:noProof/>
                  <w:lang w:val="en-US"/>
                </w:rPr>
                <w:t xml:space="preserve">Mallowan, M., 1972. </w:t>
              </w:r>
              <w:r>
                <w:rPr>
                  <w:i/>
                  <w:iCs/>
                  <w:noProof/>
                  <w:lang w:val="en-US"/>
                </w:rPr>
                <w:t xml:space="preserve">Cyrus the Great (558–529 BC). </w:t>
              </w:r>
              <w:r>
                <w:rPr>
                  <w:noProof/>
                  <w:lang w:val="en-US"/>
                </w:rPr>
                <w:t>10(1) ed. Iran: s.n.</w:t>
              </w:r>
            </w:p>
            <w:p w:rsidR="007C2CC4" w:rsidRDefault="007C2CC4" w:rsidP="007C2CC4">
              <w:pPr>
                <w:pStyle w:val="Bibliography"/>
                <w:rPr>
                  <w:noProof/>
                  <w:lang w:val="en-US"/>
                </w:rPr>
              </w:pPr>
              <w:r>
                <w:rPr>
                  <w:noProof/>
                  <w:lang w:val="en-US"/>
                </w:rPr>
                <w:t xml:space="preserve">Martin, D., 1996. On the cultural ecology of sky burial on the Himalayan Plateau. In: </w:t>
              </w:r>
              <w:r>
                <w:rPr>
                  <w:i/>
                  <w:iCs/>
                  <w:noProof/>
                  <w:lang w:val="en-US"/>
                </w:rPr>
                <w:t xml:space="preserve">East and West. </w:t>
              </w:r>
              <w:r>
                <w:rPr>
                  <w:noProof/>
                  <w:lang w:val="en-US"/>
                </w:rPr>
                <w:t>s.l.:s.n., pp. 353-370.</w:t>
              </w:r>
            </w:p>
            <w:p w:rsidR="007C2CC4" w:rsidRDefault="007C2CC4" w:rsidP="007C2CC4">
              <w:pPr>
                <w:pStyle w:val="Bibliography"/>
                <w:rPr>
                  <w:noProof/>
                  <w:lang w:val="en-US"/>
                </w:rPr>
              </w:pPr>
              <w:r>
                <w:rPr>
                  <w:noProof/>
                  <w:lang w:val="en-US"/>
                </w:rPr>
                <w:t xml:space="preserve">Mauss, M., 2002.. </w:t>
              </w:r>
              <w:r>
                <w:rPr>
                  <w:i/>
                  <w:iCs/>
                  <w:noProof/>
                  <w:lang w:val="en-US"/>
                </w:rPr>
                <w:t xml:space="preserve">The gift: The form and reason for exchange in archaic societies. </w:t>
              </w:r>
              <w:r>
                <w:rPr>
                  <w:noProof/>
                  <w:lang w:val="en-US"/>
                </w:rPr>
                <w:t>s.l.:Routledge.</w:t>
              </w:r>
            </w:p>
            <w:p w:rsidR="007C2CC4" w:rsidRDefault="007C2CC4" w:rsidP="007C2CC4">
              <w:pPr>
                <w:pStyle w:val="Bibliography"/>
                <w:rPr>
                  <w:noProof/>
                  <w:lang w:val="en-US"/>
                </w:rPr>
              </w:pPr>
              <w:r>
                <w:rPr>
                  <w:noProof/>
                  <w:lang w:val="en-US"/>
                </w:rPr>
                <w:t xml:space="preserve">Mosley, D., 1973. </w:t>
              </w:r>
              <w:r>
                <w:rPr>
                  <w:i/>
                  <w:iCs/>
                  <w:noProof/>
                  <w:lang w:val="en-US"/>
                </w:rPr>
                <w:t xml:space="preserve">Envoys and diplomacy in ancient Greece (Vol. 22). </w:t>
              </w:r>
              <w:r>
                <w:rPr>
                  <w:noProof/>
                  <w:lang w:val="en-US"/>
                </w:rPr>
                <w:t>s.l.:Steiner.</w:t>
              </w:r>
            </w:p>
            <w:p w:rsidR="007C2CC4" w:rsidRDefault="007C2CC4" w:rsidP="007C2CC4">
              <w:pPr>
                <w:pStyle w:val="Bibliography"/>
                <w:rPr>
                  <w:noProof/>
                  <w:lang w:val="en-US"/>
                </w:rPr>
              </w:pPr>
              <w:r>
                <w:rPr>
                  <w:noProof/>
                  <w:lang w:val="en-US"/>
                </w:rPr>
                <w:t xml:space="preserve">Nemet-Nejat, K., 1998. </w:t>
              </w:r>
              <w:r>
                <w:rPr>
                  <w:i/>
                  <w:iCs/>
                  <w:noProof/>
                  <w:lang w:val="en-US"/>
                </w:rPr>
                <w:t xml:space="preserve">Daily life in ancient Mesopotamia. </w:t>
              </w:r>
              <w:r>
                <w:rPr>
                  <w:noProof/>
                  <w:lang w:val="en-US"/>
                </w:rPr>
                <w:t>s.l.:Greenwood Publishing Group.</w:t>
              </w:r>
            </w:p>
            <w:p w:rsidR="007C2CC4" w:rsidRDefault="007C2CC4" w:rsidP="007C2CC4">
              <w:pPr>
                <w:pStyle w:val="Bibliography"/>
                <w:rPr>
                  <w:noProof/>
                  <w:lang w:val="en-US"/>
                </w:rPr>
              </w:pPr>
              <w:r>
                <w:rPr>
                  <w:noProof/>
                  <w:lang w:val="en-US"/>
                </w:rPr>
                <w:t xml:space="preserve">Nevett, L., 2001. </w:t>
              </w:r>
              <w:r>
                <w:rPr>
                  <w:i/>
                  <w:iCs/>
                  <w:noProof/>
                  <w:lang w:val="en-US"/>
                </w:rPr>
                <w:t xml:space="preserve">House and society in the ancient Greek world. </w:t>
              </w:r>
              <w:r>
                <w:rPr>
                  <w:noProof/>
                  <w:lang w:val="en-US"/>
                </w:rPr>
                <w:t>Cambridge: Cambridge University Press.</w:t>
              </w:r>
            </w:p>
            <w:p w:rsidR="007C2CC4" w:rsidRDefault="007C2CC4" w:rsidP="007C2CC4">
              <w:pPr>
                <w:pStyle w:val="Bibliography"/>
                <w:rPr>
                  <w:noProof/>
                  <w:lang w:val="en-US"/>
                </w:rPr>
              </w:pPr>
              <w:r>
                <w:rPr>
                  <w:noProof/>
                  <w:lang w:val="en-US"/>
                </w:rPr>
                <w:lastRenderedPageBreak/>
                <w:t xml:space="preserve">Phillipson, C., 1911. </w:t>
              </w:r>
              <w:r>
                <w:rPr>
                  <w:i/>
                  <w:iCs/>
                  <w:noProof/>
                  <w:lang w:val="en-US"/>
                </w:rPr>
                <w:t xml:space="preserve">The international law and custom of ancient Greece and Rome (Vol. 1). </w:t>
              </w:r>
              <w:r>
                <w:rPr>
                  <w:noProof/>
                  <w:lang w:val="en-US"/>
                </w:rPr>
                <w:t>s.l.:Macmillan and Company, limited..</w:t>
              </w:r>
            </w:p>
            <w:p w:rsidR="007C2CC4" w:rsidRDefault="007C2CC4" w:rsidP="007C2CC4">
              <w:pPr>
                <w:pStyle w:val="Bibliography"/>
                <w:rPr>
                  <w:noProof/>
                  <w:lang w:val="en-US"/>
                </w:rPr>
              </w:pPr>
              <w:r>
                <w:rPr>
                  <w:noProof/>
                  <w:lang w:val="en-US"/>
                </w:rPr>
                <w:t xml:space="preserve">Rung, E., 2015. The Language of the Achaemenid Imperial Diplomacy towards the Greeks: The Meaning of Earth and Water. Klio, 97(2), pp.503-515.. </w:t>
              </w:r>
              <w:r>
                <w:rPr>
                  <w:i/>
                  <w:iCs/>
                  <w:noProof/>
                  <w:lang w:val="en-US"/>
                </w:rPr>
                <w:t xml:space="preserve">Klio, </w:t>
              </w:r>
              <w:r>
                <w:rPr>
                  <w:noProof/>
                  <w:lang w:val="en-US"/>
                </w:rPr>
                <w:t>97(2), pp. 503-515.</w:t>
              </w:r>
            </w:p>
            <w:p w:rsidR="007C2CC4" w:rsidRDefault="007C2CC4" w:rsidP="007C2CC4">
              <w:pPr>
                <w:pStyle w:val="Bibliography"/>
                <w:rPr>
                  <w:noProof/>
                  <w:lang w:val="en-US"/>
                </w:rPr>
              </w:pPr>
              <w:r>
                <w:rPr>
                  <w:noProof/>
                  <w:lang w:val="en-US"/>
                </w:rPr>
                <w:t xml:space="preserve">Vogelsang, W., 1998. Medes, Scythians and Persians: The Rise of Darius in a North–South Perspective. </w:t>
              </w:r>
              <w:r>
                <w:rPr>
                  <w:i/>
                  <w:iCs/>
                  <w:noProof/>
                  <w:lang w:val="en-US"/>
                </w:rPr>
                <w:t xml:space="preserve">Iranica antiqua, </w:t>
              </w:r>
              <w:r>
                <w:rPr>
                  <w:noProof/>
                  <w:lang w:val="en-US"/>
                </w:rPr>
                <w:t>Volume 33, pp. 195-224.</w:t>
              </w:r>
            </w:p>
            <w:p w:rsidR="007C2CC4" w:rsidRDefault="007C2CC4" w:rsidP="007C2CC4">
              <w:pPr>
                <w:pStyle w:val="Bibliography"/>
                <w:rPr>
                  <w:noProof/>
                  <w:lang w:val="en-US"/>
                </w:rPr>
              </w:pPr>
              <w:r>
                <w:rPr>
                  <w:noProof/>
                  <w:lang w:val="en-US"/>
                </w:rPr>
                <w:t xml:space="preserve">Wiesehöfer, J., 2007. From Achaemenid imperial order to Sasanian diplomacy: war, peace, and reconciliation in pre-Islamic Iran. In: </w:t>
              </w:r>
              <w:r>
                <w:rPr>
                  <w:i/>
                  <w:iCs/>
                  <w:noProof/>
                  <w:lang w:val="en-US"/>
                </w:rPr>
                <w:t xml:space="preserve">War and Peace in the Ancient World. </w:t>
              </w:r>
              <w:r>
                <w:rPr>
                  <w:noProof/>
                  <w:lang w:val="en-US"/>
                </w:rPr>
                <w:t>s.l.:s.n., pp. 121-140.</w:t>
              </w:r>
            </w:p>
            <w:p w:rsidR="0063604C" w:rsidRDefault="0063604C" w:rsidP="007C2CC4">
              <w:r>
                <w:rPr>
                  <w:b/>
                  <w:bCs/>
                  <w:noProof/>
                </w:rPr>
                <w:fldChar w:fldCharType="end"/>
              </w:r>
            </w:p>
          </w:sdtContent>
        </w:sdt>
      </w:sdtContent>
    </w:sdt>
    <w:p w:rsidR="0063604C" w:rsidRDefault="0063604C">
      <w:bookmarkStart w:id="0" w:name="_GoBack"/>
      <w:bookmarkEnd w:id="0"/>
    </w:p>
    <w:sectPr w:rsidR="006360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56DC" w:rsidRDefault="000756DC" w:rsidP="00590156">
      <w:pPr>
        <w:spacing w:after="0" w:line="240" w:lineRule="auto"/>
      </w:pPr>
      <w:r>
        <w:separator/>
      </w:r>
    </w:p>
  </w:endnote>
  <w:endnote w:type="continuationSeparator" w:id="0">
    <w:p w:rsidR="000756DC" w:rsidRDefault="000756DC" w:rsidP="00590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56DC" w:rsidRDefault="000756DC" w:rsidP="00590156">
      <w:pPr>
        <w:spacing w:after="0" w:line="240" w:lineRule="auto"/>
      </w:pPr>
      <w:r>
        <w:separator/>
      </w:r>
    </w:p>
  </w:footnote>
  <w:footnote w:type="continuationSeparator" w:id="0">
    <w:p w:rsidR="000756DC" w:rsidRDefault="000756DC" w:rsidP="00590156">
      <w:pPr>
        <w:spacing w:after="0" w:line="240" w:lineRule="auto"/>
      </w:pPr>
      <w:r>
        <w:continuationSeparator/>
      </w:r>
    </w:p>
  </w:footnote>
  <w:footnote w:id="1">
    <w:p w:rsidR="00590156" w:rsidRDefault="00590156">
      <w:pPr>
        <w:pStyle w:val="FootnoteText"/>
      </w:pPr>
      <w:r>
        <w:rPr>
          <w:rStyle w:val="FootnoteReference"/>
        </w:rPr>
        <w:footnoteRef/>
      </w:r>
      <w:r>
        <w:t xml:space="preserve"> </w:t>
      </w:r>
      <w:sdt>
        <w:sdtPr>
          <w:id w:val="-1057933789"/>
          <w:citation/>
        </w:sdtPr>
        <w:sdtContent>
          <w:r>
            <w:fldChar w:fldCharType="begin"/>
          </w:r>
          <w:r>
            <w:instrText xml:space="preserve">CITATION Cas94 \p 70 \l 2057 </w:instrText>
          </w:r>
          <w:r>
            <w:fldChar w:fldCharType="separate"/>
          </w:r>
          <w:r w:rsidR="007C2CC4" w:rsidRPr="007C2CC4">
            <w:rPr>
              <w:noProof/>
            </w:rPr>
            <w:t>(Casson, 1994, p. 70)</w:t>
          </w:r>
          <w:r>
            <w:fldChar w:fldCharType="end"/>
          </w:r>
        </w:sdtContent>
      </w:sdt>
    </w:p>
  </w:footnote>
  <w:footnote w:id="2">
    <w:p w:rsidR="0016106D" w:rsidRDefault="0016106D">
      <w:pPr>
        <w:pStyle w:val="FootnoteText"/>
      </w:pPr>
      <w:r>
        <w:rPr>
          <w:rStyle w:val="FootnoteReference"/>
        </w:rPr>
        <w:footnoteRef/>
      </w:r>
      <w:r>
        <w:t xml:space="preserve"> </w:t>
      </w:r>
      <w:sdt>
        <w:sdtPr>
          <w:id w:val="945660940"/>
          <w:citation/>
        </w:sdtPr>
        <w:sdtContent>
          <w:r>
            <w:fldChar w:fldCharType="begin"/>
          </w:r>
          <w:r>
            <w:instrText xml:space="preserve">CITATION Cas94 \p 56 \l 2057 </w:instrText>
          </w:r>
          <w:r>
            <w:fldChar w:fldCharType="separate"/>
          </w:r>
          <w:r w:rsidR="007C2CC4" w:rsidRPr="007C2CC4">
            <w:rPr>
              <w:noProof/>
            </w:rPr>
            <w:t>(Casson, 1994, p. 56)</w:t>
          </w:r>
          <w:r>
            <w:fldChar w:fldCharType="end"/>
          </w:r>
        </w:sdtContent>
      </w:sdt>
    </w:p>
  </w:footnote>
  <w:footnote w:id="3">
    <w:p w:rsidR="0016106D" w:rsidRDefault="0016106D">
      <w:pPr>
        <w:pStyle w:val="FootnoteText"/>
      </w:pPr>
      <w:r>
        <w:rPr>
          <w:rStyle w:val="FootnoteReference"/>
        </w:rPr>
        <w:footnoteRef/>
      </w:r>
      <w:r>
        <w:t xml:space="preserve"> </w:t>
      </w:r>
      <w:sdt>
        <w:sdtPr>
          <w:id w:val="-867917425"/>
          <w:citation/>
        </w:sdtPr>
        <w:sdtContent>
          <w:r>
            <w:fldChar w:fldCharType="begin"/>
          </w:r>
          <w:r>
            <w:instrText xml:space="preserve">CITATION Coh01 \p 29 \l 2057 </w:instrText>
          </w:r>
          <w:r>
            <w:fldChar w:fldCharType="separate"/>
          </w:r>
          <w:r w:rsidR="007C2CC4" w:rsidRPr="007C2CC4">
            <w:rPr>
              <w:noProof/>
            </w:rPr>
            <w:t>(Cohen, 2001, p. 29)</w:t>
          </w:r>
          <w:r>
            <w:fldChar w:fldCharType="end"/>
          </w:r>
        </w:sdtContent>
      </w:sdt>
    </w:p>
  </w:footnote>
  <w:footnote w:id="4">
    <w:p w:rsidR="00626CB2" w:rsidRDefault="00626CB2">
      <w:pPr>
        <w:pStyle w:val="FootnoteText"/>
      </w:pPr>
      <w:r>
        <w:rPr>
          <w:rStyle w:val="FootnoteReference"/>
        </w:rPr>
        <w:footnoteRef/>
      </w:r>
      <w:r>
        <w:t xml:space="preserve"> </w:t>
      </w:r>
      <w:sdt>
        <w:sdtPr>
          <w:id w:val="-1998483994"/>
          <w:citation/>
        </w:sdtPr>
        <w:sdtContent>
          <w:r>
            <w:fldChar w:fldCharType="begin"/>
          </w:r>
          <w:r>
            <w:instrText xml:space="preserve">CITATION Wie07 \p 16 \l 2057 </w:instrText>
          </w:r>
          <w:r>
            <w:fldChar w:fldCharType="separate"/>
          </w:r>
          <w:r w:rsidR="007C2CC4" w:rsidRPr="007C2CC4">
            <w:rPr>
              <w:noProof/>
            </w:rPr>
            <w:t>(Wiesehöfer, 2007, p. 16)</w:t>
          </w:r>
          <w:r>
            <w:fldChar w:fldCharType="end"/>
          </w:r>
        </w:sdtContent>
      </w:sdt>
    </w:p>
  </w:footnote>
  <w:footnote w:id="5">
    <w:p w:rsidR="0016106D" w:rsidRDefault="0016106D">
      <w:pPr>
        <w:pStyle w:val="FootnoteText"/>
      </w:pPr>
      <w:r>
        <w:rPr>
          <w:rStyle w:val="FootnoteReference"/>
        </w:rPr>
        <w:footnoteRef/>
      </w:r>
      <w:r>
        <w:t xml:space="preserve"> </w:t>
      </w:r>
      <w:sdt>
        <w:sdtPr>
          <w:id w:val="1940707212"/>
          <w:citation/>
        </w:sdtPr>
        <w:sdtContent>
          <w:r>
            <w:fldChar w:fldCharType="begin"/>
          </w:r>
          <w:r>
            <w:instrText xml:space="preserve">CITATION Wie07 \p 19 \l 2057 </w:instrText>
          </w:r>
          <w:r>
            <w:fldChar w:fldCharType="separate"/>
          </w:r>
          <w:r w:rsidR="007C2CC4" w:rsidRPr="007C2CC4">
            <w:rPr>
              <w:noProof/>
            </w:rPr>
            <w:t>(Wiesehöfer, 2007, p. 19)</w:t>
          </w:r>
          <w:r>
            <w:fldChar w:fldCharType="end"/>
          </w:r>
        </w:sdtContent>
      </w:sdt>
      <w:r w:rsidR="00C5526D">
        <w:t xml:space="preserve"> We we’re unsure why the other group had taken this view and thought speaking in person would be a good plan</w:t>
      </w:r>
    </w:p>
  </w:footnote>
  <w:footnote w:id="6">
    <w:p w:rsidR="0016106D" w:rsidRDefault="0016106D">
      <w:pPr>
        <w:pStyle w:val="FootnoteText"/>
      </w:pPr>
      <w:r>
        <w:rPr>
          <w:rStyle w:val="FootnoteReference"/>
        </w:rPr>
        <w:footnoteRef/>
      </w:r>
      <w:r>
        <w:t xml:space="preserve"> </w:t>
      </w:r>
      <w:sdt>
        <w:sdtPr>
          <w:id w:val="-408551689"/>
          <w:citation/>
        </w:sdtPr>
        <w:sdtContent>
          <w:r>
            <w:fldChar w:fldCharType="begin"/>
          </w:r>
          <w:r>
            <w:instrText xml:space="preserve"> CITATION Hal69 \l 2057 </w:instrText>
          </w:r>
          <w:r>
            <w:fldChar w:fldCharType="separate"/>
          </w:r>
          <w:r w:rsidR="007C2CC4" w:rsidRPr="007C2CC4">
            <w:rPr>
              <w:noProof/>
            </w:rPr>
            <w:t>(Hallock, 1969)</w:t>
          </w:r>
          <w:r>
            <w:fldChar w:fldCharType="end"/>
          </w:r>
        </w:sdtContent>
      </w:sdt>
      <w:r>
        <w:t xml:space="preserve"> The writing in the third person appears to only occur when it is used to emphasise the importance that it was “this” person that was chosen to do a task. Which is why it is written in this way here.</w:t>
      </w:r>
    </w:p>
  </w:footnote>
  <w:footnote w:id="7">
    <w:p w:rsidR="0016106D" w:rsidRDefault="0016106D">
      <w:pPr>
        <w:pStyle w:val="FootnoteText"/>
      </w:pPr>
      <w:r>
        <w:rPr>
          <w:rStyle w:val="FootnoteReference"/>
        </w:rPr>
        <w:footnoteRef/>
      </w:r>
      <w:r>
        <w:t xml:space="preserve"> </w:t>
      </w:r>
      <w:sdt>
        <w:sdtPr>
          <w:id w:val="-996420927"/>
          <w:citation/>
        </w:sdtPr>
        <w:sdtContent>
          <w:r>
            <w:fldChar w:fldCharType="begin"/>
          </w:r>
          <w:r>
            <w:instrText xml:space="preserve">CITATION Run15 \p 507 \l 2057 </w:instrText>
          </w:r>
          <w:r>
            <w:fldChar w:fldCharType="separate"/>
          </w:r>
          <w:r w:rsidR="007C2CC4" w:rsidRPr="007C2CC4">
            <w:rPr>
              <w:noProof/>
            </w:rPr>
            <w:t>(Rung, 2015, p. 507)</w:t>
          </w:r>
          <w:r>
            <w:fldChar w:fldCharType="end"/>
          </w:r>
        </w:sdtContent>
      </w:sdt>
    </w:p>
  </w:footnote>
  <w:footnote w:id="8">
    <w:p w:rsidR="0016106D" w:rsidRDefault="0016106D">
      <w:pPr>
        <w:pStyle w:val="FootnoteText"/>
      </w:pPr>
      <w:r>
        <w:rPr>
          <w:rStyle w:val="FootnoteReference"/>
        </w:rPr>
        <w:footnoteRef/>
      </w:r>
      <w:r>
        <w:t xml:space="preserve"> </w:t>
      </w:r>
      <w:sdt>
        <w:sdtPr>
          <w:id w:val="-1576433397"/>
          <w:citation/>
        </w:sdtPr>
        <w:sdtContent>
          <w:r>
            <w:fldChar w:fldCharType="begin"/>
          </w:r>
          <w:r w:rsidR="008F0029">
            <w:instrText xml:space="preserve">CITATION Cas94 \p 59 \l 2057 </w:instrText>
          </w:r>
          <w:r>
            <w:fldChar w:fldCharType="separate"/>
          </w:r>
          <w:r w:rsidR="007C2CC4" w:rsidRPr="007C2CC4">
            <w:rPr>
              <w:noProof/>
            </w:rPr>
            <w:t>(Casson, 1994, p. 59)</w:t>
          </w:r>
          <w:r>
            <w:fldChar w:fldCharType="end"/>
          </w:r>
        </w:sdtContent>
      </w:sdt>
    </w:p>
  </w:footnote>
  <w:footnote w:id="9">
    <w:p w:rsidR="00C5526D" w:rsidRDefault="00C5526D">
      <w:pPr>
        <w:pStyle w:val="FootnoteText"/>
      </w:pPr>
      <w:r>
        <w:rPr>
          <w:rStyle w:val="FootnoteReference"/>
        </w:rPr>
        <w:footnoteRef/>
      </w:r>
      <w:r>
        <w:t xml:space="preserve"> </w:t>
      </w:r>
      <w:sdt>
        <w:sdtPr>
          <w:id w:val="1973478284"/>
          <w:citation/>
        </w:sdtPr>
        <w:sdtContent>
          <w:r>
            <w:fldChar w:fldCharType="begin"/>
          </w:r>
          <w:r>
            <w:instrText xml:space="preserve">CITATION Nev01 \p 24 \l 2057 </w:instrText>
          </w:r>
          <w:r>
            <w:fldChar w:fldCharType="separate"/>
          </w:r>
          <w:r w:rsidR="007C2CC4" w:rsidRPr="007C2CC4">
            <w:rPr>
              <w:noProof/>
            </w:rPr>
            <w:t>(Nevett, 2001, p. 24)</w:t>
          </w:r>
          <w:r>
            <w:fldChar w:fldCharType="end"/>
          </w:r>
        </w:sdtContent>
      </w:sdt>
    </w:p>
  </w:footnote>
  <w:footnote w:id="10">
    <w:p w:rsidR="00C5526D" w:rsidRDefault="00C5526D">
      <w:pPr>
        <w:pStyle w:val="FootnoteText"/>
      </w:pPr>
      <w:r>
        <w:rPr>
          <w:rStyle w:val="FootnoteReference"/>
        </w:rPr>
        <w:footnoteRef/>
      </w:r>
      <w:r>
        <w:t xml:space="preserve"> </w:t>
      </w:r>
      <w:sdt>
        <w:sdtPr>
          <w:id w:val="-804155058"/>
          <w:citation/>
        </w:sdtPr>
        <w:sdtContent>
          <w:r>
            <w:fldChar w:fldCharType="begin"/>
          </w:r>
          <w:r>
            <w:instrText xml:space="preserve">CITATION Bri02 \p 34 \l 2057 </w:instrText>
          </w:r>
          <w:r>
            <w:fldChar w:fldCharType="separate"/>
          </w:r>
          <w:r w:rsidR="007C2CC4" w:rsidRPr="007C2CC4">
            <w:rPr>
              <w:noProof/>
            </w:rPr>
            <w:t>(Briant, 2002, p. 34)</w:t>
          </w:r>
          <w:r>
            <w:fldChar w:fldCharType="end"/>
          </w:r>
        </w:sdtContent>
      </w:sdt>
    </w:p>
  </w:footnote>
  <w:footnote w:id="11">
    <w:p w:rsidR="00C5526D" w:rsidRDefault="00C5526D">
      <w:pPr>
        <w:pStyle w:val="FootnoteText"/>
      </w:pPr>
      <w:r>
        <w:rPr>
          <w:rStyle w:val="FootnoteReference"/>
        </w:rPr>
        <w:footnoteRef/>
      </w:r>
      <w:r>
        <w:t xml:space="preserve"> </w:t>
      </w:r>
      <w:sdt>
        <w:sdtPr>
          <w:id w:val="899492194"/>
          <w:citation/>
        </w:sdtPr>
        <w:sdtContent>
          <w:r>
            <w:fldChar w:fldCharType="begin"/>
          </w:r>
          <w:r>
            <w:instrText xml:space="preserve">CITATION Coh01 \p 27 \l 2057 </w:instrText>
          </w:r>
          <w:r>
            <w:fldChar w:fldCharType="separate"/>
          </w:r>
          <w:r w:rsidR="007C2CC4" w:rsidRPr="007C2CC4">
            <w:rPr>
              <w:noProof/>
            </w:rPr>
            <w:t>(Cohen, 2001, p. 27)</w:t>
          </w:r>
          <w:r>
            <w:fldChar w:fldCharType="end"/>
          </w:r>
        </w:sdtContent>
      </w:sdt>
      <w:r>
        <w:t xml:space="preserve"> We didn’t want to start conflict this early in the game without knowledge of exact numbers just yet, while we were surprised they kept demanding things from us, we still wanted to try a peaceful approach, similar to Zoroastrian ideas of good and bad ways to act</w:t>
      </w:r>
      <w:r w:rsidR="00296ADA">
        <w:t>.</w:t>
      </w:r>
      <w:sdt>
        <w:sdtPr>
          <w:id w:val="-2140863182"/>
          <w:citation/>
        </w:sdtPr>
        <w:sdtContent>
          <w:r>
            <w:fldChar w:fldCharType="begin"/>
          </w:r>
          <w:r>
            <w:instrText xml:space="preserve">CITATION Boy96 \p 67 \l 2057 </w:instrText>
          </w:r>
          <w:r>
            <w:fldChar w:fldCharType="separate"/>
          </w:r>
          <w:r w:rsidR="007C2CC4">
            <w:rPr>
              <w:noProof/>
            </w:rPr>
            <w:t xml:space="preserve"> </w:t>
          </w:r>
          <w:r w:rsidR="007C2CC4" w:rsidRPr="007C2CC4">
            <w:rPr>
              <w:noProof/>
            </w:rPr>
            <w:t>(Boyce, 1996, p. 67)</w:t>
          </w:r>
          <w:r>
            <w:fldChar w:fldCharType="end"/>
          </w:r>
        </w:sdtContent>
      </w:sdt>
      <w:r>
        <w:t xml:space="preserve">. </w:t>
      </w:r>
    </w:p>
  </w:footnote>
  <w:footnote w:id="12">
    <w:p w:rsidR="00296ADA" w:rsidRDefault="00296ADA">
      <w:pPr>
        <w:pStyle w:val="FootnoteText"/>
      </w:pPr>
      <w:r>
        <w:rPr>
          <w:rStyle w:val="FootnoteReference"/>
        </w:rPr>
        <w:footnoteRef/>
      </w:r>
      <w:r>
        <w:t xml:space="preserve"> </w:t>
      </w:r>
      <w:sdt>
        <w:sdtPr>
          <w:id w:val="989443044"/>
          <w:citation/>
        </w:sdtPr>
        <w:sdtContent>
          <w:r>
            <w:fldChar w:fldCharType="begin"/>
          </w:r>
          <w:r>
            <w:instrText xml:space="preserve">CITATION Nem98 \p 37 \l 2057 </w:instrText>
          </w:r>
          <w:r>
            <w:fldChar w:fldCharType="separate"/>
          </w:r>
          <w:r w:rsidR="007C2CC4" w:rsidRPr="007C2CC4">
            <w:rPr>
              <w:noProof/>
            </w:rPr>
            <w:t>(Nemet-Nejat, 1998, p. 37)</w:t>
          </w:r>
          <w:r>
            <w:fldChar w:fldCharType="end"/>
          </w:r>
        </w:sdtContent>
      </w:sdt>
      <w:r>
        <w:t xml:space="preserve"> A referral back to the origins of the character I was playing. As she came from a merchant background, her economic knowledge and understanding of local people were reasons behind decisions she made.</w:t>
      </w:r>
      <w:sdt>
        <w:sdtPr>
          <w:id w:val="-237169440"/>
          <w:citation/>
        </w:sdtPr>
        <w:sdtContent>
          <w:r>
            <w:fldChar w:fldCharType="begin"/>
          </w:r>
          <w:r>
            <w:instrText xml:space="preserve">CITATION Fis84 \p 73 \l 2057 </w:instrText>
          </w:r>
          <w:r>
            <w:fldChar w:fldCharType="separate"/>
          </w:r>
          <w:r w:rsidR="007C2CC4">
            <w:rPr>
              <w:noProof/>
            </w:rPr>
            <w:t xml:space="preserve"> </w:t>
          </w:r>
          <w:r w:rsidR="007C2CC4" w:rsidRPr="007C2CC4">
            <w:rPr>
              <w:noProof/>
            </w:rPr>
            <w:t>(Fisher, 1984, p. 73)</w:t>
          </w:r>
          <w:r>
            <w:fldChar w:fldCharType="end"/>
          </w:r>
        </w:sdtContent>
      </w:sdt>
      <w:r>
        <w:t>.</w:t>
      </w:r>
    </w:p>
  </w:footnote>
  <w:footnote w:id="13">
    <w:p w:rsidR="00296ADA" w:rsidRDefault="00296ADA">
      <w:pPr>
        <w:pStyle w:val="FootnoteText"/>
      </w:pPr>
      <w:r>
        <w:rPr>
          <w:rStyle w:val="FootnoteReference"/>
        </w:rPr>
        <w:footnoteRef/>
      </w:r>
      <w:r>
        <w:t xml:space="preserve"> </w:t>
      </w:r>
      <w:sdt>
        <w:sdtPr>
          <w:id w:val="1797027619"/>
          <w:citation/>
        </w:sdtPr>
        <w:sdtContent>
          <w:r>
            <w:fldChar w:fldCharType="begin"/>
          </w:r>
          <w:r>
            <w:instrText xml:space="preserve">CITATION Mau02 \p 49 \l 2057 </w:instrText>
          </w:r>
          <w:r>
            <w:fldChar w:fldCharType="separate"/>
          </w:r>
          <w:r w:rsidR="007C2CC4" w:rsidRPr="007C2CC4">
            <w:rPr>
              <w:noProof/>
            </w:rPr>
            <w:t>(Mauss, 2002., p. 49)</w:t>
          </w:r>
          <w:r>
            <w:fldChar w:fldCharType="end"/>
          </w:r>
        </w:sdtContent>
      </w:sdt>
      <w:r>
        <w:t xml:space="preserve"> The giving of wine to allies in order to aid in diplomatic endeavours was seen to be an appropriate way of making the Seleucids more amenable to our wishes.</w:t>
      </w:r>
    </w:p>
  </w:footnote>
  <w:footnote w:id="14">
    <w:p w:rsidR="00296ADA" w:rsidRDefault="00296ADA">
      <w:pPr>
        <w:pStyle w:val="FootnoteText"/>
      </w:pPr>
      <w:r>
        <w:rPr>
          <w:rStyle w:val="FootnoteReference"/>
        </w:rPr>
        <w:footnoteRef/>
      </w:r>
      <w:r>
        <w:t xml:space="preserve"> </w:t>
      </w:r>
      <w:sdt>
        <w:sdtPr>
          <w:id w:val="-614978027"/>
          <w:citation/>
        </w:sdtPr>
        <w:sdtContent>
          <w:r>
            <w:fldChar w:fldCharType="begin"/>
          </w:r>
          <w:r>
            <w:instrText xml:space="preserve">CITATION Coh01 \p 31 \l 2057 </w:instrText>
          </w:r>
          <w:r>
            <w:fldChar w:fldCharType="separate"/>
          </w:r>
          <w:r w:rsidR="007C2CC4" w:rsidRPr="007C2CC4">
            <w:rPr>
              <w:noProof/>
            </w:rPr>
            <w:t>(Cohen, 2001, p. 31)</w:t>
          </w:r>
          <w:r>
            <w:fldChar w:fldCharType="end"/>
          </w:r>
        </w:sdtContent>
      </w:sdt>
    </w:p>
  </w:footnote>
  <w:footnote w:id="15">
    <w:p w:rsidR="00296ADA" w:rsidRDefault="00296ADA">
      <w:pPr>
        <w:pStyle w:val="FootnoteText"/>
      </w:pPr>
      <w:r>
        <w:rPr>
          <w:rStyle w:val="FootnoteReference"/>
        </w:rPr>
        <w:footnoteRef/>
      </w:r>
      <w:r>
        <w:t xml:space="preserve"> </w:t>
      </w:r>
      <w:sdt>
        <w:sdtPr>
          <w:id w:val="731349993"/>
          <w:citation/>
        </w:sdtPr>
        <w:sdtContent>
          <w:r>
            <w:fldChar w:fldCharType="begin"/>
          </w:r>
          <w:r>
            <w:instrText xml:space="preserve">CITATION Wie07 \p 42 \l 2057 </w:instrText>
          </w:r>
          <w:r>
            <w:fldChar w:fldCharType="separate"/>
          </w:r>
          <w:r w:rsidR="007C2CC4" w:rsidRPr="007C2CC4">
            <w:rPr>
              <w:noProof/>
            </w:rPr>
            <w:t>(Wiesehöfer, 2007, p. 42)</w:t>
          </w:r>
          <w:r>
            <w:fldChar w:fldCharType="end"/>
          </w:r>
        </w:sdtContent>
      </w:sdt>
      <w:r>
        <w:t xml:space="preserve"> The use of a lack of courtesy in negotiations could be used as a justification towards double dealing.</w:t>
      </w:r>
    </w:p>
  </w:footnote>
  <w:footnote w:id="16">
    <w:p w:rsidR="00296ADA" w:rsidRDefault="00296ADA">
      <w:pPr>
        <w:pStyle w:val="FootnoteText"/>
      </w:pPr>
      <w:r>
        <w:rPr>
          <w:rStyle w:val="FootnoteReference"/>
        </w:rPr>
        <w:footnoteRef/>
      </w:r>
      <w:r>
        <w:t xml:space="preserve"> </w:t>
      </w:r>
      <w:sdt>
        <w:sdtPr>
          <w:id w:val="-1260914572"/>
          <w:citation/>
        </w:sdtPr>
        <w:sdtContent>
          <w:r w:rsidR="005958C9">
            <w:fldChar w:fldCharType="begin"/>
          </w:r>
          <w:r w:rsidR="005958C9">
            <w:instrText xml:space="preserve">CITATION Kar98 \p 528 \l 2057 </w:instrText>
          </w:r>
          <w:r w:rsidR="005958C9">
            <w:fldChar w:fldCharType="separate"/>
          </w:r>
          <w:r w:rsidR="007C2CC4" w:rsidRPr="007C2CC4">
            <w:rPr>
              <w:noProof/>
            </w:rPr>
            <w:t>(Karimi‐Hakkak, 1998, p. 528)</w:t>
          </w:r>
          <w:r w:rsidR="005958C9">
            <w:fldChar w:fldCharType="end"/>
          </w:r>
        </w:sdtContent>
      </w:sdt>
      <w:r w:rsidR="005958C9">
        <w:t xml:space="preserve"> As we didn’t originally have a name for the character, we gave him the name Bradonius, but when he later created a name, we decided that he had adopted a Greek name on his marriage and that his original character name had been changed to this new one in game as well.</w:t>
      </w:r>
    </w:p>
  </w:footnote>
  <w:footnote w:id="17">
    <w:p w:rsidR="00BD0A83" w:rsidRDefault="00BD0A83">
      <w:pPr>
        <w:pStyle w:val="FootnoteText"/>
      </w:pPr>
      <w:r>
        <w:rPr>
          <w:rStyle w:val="FootnoteReference"/>
        </w:rPr>
        <w:footnoteRef/>
      </w:r>
      <w:r>
        <w:t xml:space="preserve"> </w:t>
      </w:r>
      <w:sdt>
        <w:sdtPr>
          <w:id w:val="61841257"/>
          <w:citation/>
        </w:sdtPr>
        <w:sdtContent>
          <w:r>
            <w:fldChar w:fldCharType="begin"/>
          </w:r>
          <w:r>
            <w:instrText xml:space="preserve">CITATION Wie07 \p 42 \l 2057 </w:instrText>
          </w:r>
          <w:r>
            <w:fldChar w:fldCharType="separate"/>
          </w:r>
          <w:r w:rsidR="007C2CC4" w:rsidRPr="007C2CC4">
            <w:rPr>
              <w:noProof/>
            </w:rPr>
            <w:t>(Wiesehöfer, 2007, p. 42)</w:t>
          </w:r>
          <w:r>
            <w:fldChar w:fldCharType="end"/>
          </w:r>
        </w:sdtContent>
      </w:sdt>
    </w:p>
  </w:footnote>
  <w:footnote w:id="18">
    <w:p w:rsidR="001D1307" w:rsidRDefault="001D1307">
      <w:pPr>
        <w:pStyle w:val="FootnoteText"/>
      </w:pPr>
      <w:r>
        <w:rPr>
          <w:rStyle w:val="FootnoteReference"/>
        </w:rPr>
        <w:footnoteRef/>
      </w:r>
      <w:r>
        <w:t xml:space="preserve"> </w:t>
      </w:r>
      <w:sdt>
        <w:sdtPr>
          <w:id w:val="885062215"/>
          <w:citation/>
        </w:sdtPr>
        <w:sdtContent>
          <w:r>
            <w:fldChar w:fldCharType="begin"/>
          </w:r>
          <w:r>
            <w:instrText xml:space="preserve">CITATION Mau02 \p 21 \l 2057 </w:instrText>
          </w:r>
          <w:r>
            <w:fldChar w:fldCharType="separate"/>
          </w:r>
          <w:r w:rsidR="007C2CC4" w:rsidRPr="007C2CC4">
            <w:rPr>
              <w:noProof/>
            </w:rPr>
            <w:t>(Mauss, 2002., p. 21)</w:t>
          </w:r>
          <w:r>
            <w:fldChar w:fldCharType="end"/>
          </w:r>
        </w:sdtContent>
      </w:sdt>
    </w:p>
  </w:footnote>
  <w:footnote w:id="19">
    <w:p w:rsidR="001D1307" w:rsidRDefault="001D1307">
      <w:pPr>
        <w:pStyle w:val="FootnoteText"/>
      </w:pPr>
      <w:r>
        <w:rPr>
          <w:rStyle w:val="FootnoteReference"/>
        </w:rPr>
        <w:footnoteRef/>
      </w:r>
      <w:r>
        <w:t xml:space="preserve"> </w:t>
      </w:r>
      <w:sdt>
        <w:sdtPr>
          <w:id w:val="-1206320231"/>
          <w:citation/>
        </w:sdtPr>
        <w:sdtContent>
          <w:r>
            <w:fldChar w:fldCharType="begin"/>
          </w:r>
          <w:r>
            <w:instrText xml:space="preserve">CITATION Cas94 \p 71 \l 2057 </w:instrText>
          </w:r>
          <w:r>
            <w:fldChar w:fldCharType="separate"/>
          </w:r>
          <w:r w:rsidR="007C2CC4" w:rsidRPr="007C2CC4">
            <w:rPr>
              <w:noProof/>
            </w:rPr>
            <w:t>(Casson, 1994, p. 71)</w:t>
          </w:r>
          <w:r>
            <w:fldChar w:fldCharType="end"/>
          </w:r>
        </w:sdtContent>
      </w:sdt>
      <w:r>
        <w:t xml:space="preserve"> It was decided that in order for the Seleucids to allow the toll, we would have to compromise that they would not be effected to majorly. Not having a toll on envoys and the military was agreed as a compromise.</w:t>
      </w:r>
    </w:p>
  </w:footnote>
  <w:footnote w:id="20">
    <w:p w:rsidR="001B5416" w:rsidRDefault="001B5416">
      <w:pPr>
        <w:pStyle w:val="FootnoteText"/>
      </w:pPr>
      <w:r>
        <w:rPr>
          <w:rStyle w:val="FootnoteReference"/>
        </w:rPr>
        <w:footnoteRef/>
      </w:r>
      <w:r>
        <w:t xml:space="preserve"> </w:t>
      </w:r>
      <w:sdt>
        <w:sdtPr>
          <w:id w:val="423146443"/>
          <w:citation/>
        </w:sdtPr>
        <w:sdtContent>
          <w:r>
            <w:fldChar w:fldCharType="begin"/>
          </w:r>
          <w:r>
            <w:instrText xml:space="preserve">CITATION Mos73 \p 94 \l 2057 </w:instrText>
          </w:r>
          <w:r>
            <w:fldChar w:fldCharType="separate"/>
          </w:r>
          <w:r w:rsidR="007C2CC4" w:rsidRPr="007C2CC4">
            <w:rPr>
              <w:noProof/>
            </w:rPr>
            <w:t>(Mosley, 1973, p. 94)</w:t>
          </w:r>
          <w:r>
            <w:fldChar w:fldCharType="end"/>
          </w:r>
        </w:sdtContent>
      </w:sdt>
    </w:p>
  </w:footnote>
  <w:footnote w:id="21">
    <w:p w:rsidR="001B5416" w:rsidRDefault="001B5416">
      <w:pPr>
        <w:pStyle w:val="FootnoteText"/>
      </w:pPr>
      <w:r>
        <w:rPr>
          <w:rStyle w:val="FootnoteReference"/>
        </w:rPr>
        <w:footnoteRef/>
      </w:r>
      <w:r>
        <w:t xml:space="preserve"> </w:t>
      </w:r>
      <w:sdt>
        <w:sdtPr>
          <w:id w:val="-631714209"/>
          <w:citation/>
        </w:sdtPr>
        <w:sdtContent>
          <w:r>
            <w:fldChar w:fldCharType="begin"/>
          </w:r>
          <w:r>
            <w:instrText xml:space="preserve">CITATION Wie07 \p 42 \l 2057 </w:instrText>
          </w:r>
          <w:r>
            <w:fldChar w:fldCharType="separate"/>
          </w:r>
          <w:r w:rsidR="007C2CC4" w:rsidRPr="007C2CC4">
            <w:rPr>
              <w:noProof/>
            </w:rPr>
            <w:t>(Wiesehöfer, 2007, p. 42)</w:t>
          </w:r>
          <w:r>
            <w:fldChar w:fldCharType="end"/>
          </w:r>
        </w:sdtContent>
      </w:sdt>
      <w:r>
        <w:t xml:space="preserve"> We decided that it might be an idea to use these diplomatic failures as a justification for creating plans similar to </w:t>
      </w:r>
      <w:proofErr w:type="spellStart"/>
      <w:r>
        <w:t>Molons</w:t>
      </w:r>
      <w:proofErr w:type="spellEnd"/>
      <w:r>
        <w:t xml:space="preserve"> Revolt</w:t>
      </w:r>
      <w:sdt>
        <w:sdtPr>
          <w:id w:val="1873189088"/>
          <w:citation/>
        </w:sdtPr>
        <w:sdtContent>
          <w:r w:rsidR="00D852B0">
            <w:fldChar w:fldCharType="begin"/>
          </w:r>
          <w:r w:rsidR="00D852B0">
            <w:instrText xml:space="preserve">CITATION Hea \p 518 \l 2057 </w:instrText>
          </w:r>
          <w:r w:rsidR="00D852B0">
            <w:fldChar w:fldCharType="separate"/>
          </w:r>
          <w:r w:rsidR="007C2CC4">
            <w:rPr>
              <w:noProof/>
            </w:rPr>
            <w:t xml:space="preserve"> </w:t>
          </w:r>
          <w:r w:rsidR="007C2CC4" w:rsidRPr="007C2CC4">
            <w:rPr>
              <w:noProof/>
            </w:rPr>
            <w:t>(Healy, 1990, p. 518)</w:t>
          </w:r>
          <w:r w:rsidR="00D852B0">
            <w:fldChar w:fldCharType="end"/>
          </w:r>
        </w:sdtContent>
      </w:sdt>
      <w:r>
        <w:t xml:space="preserve"> </w:t>
      </w:r>
    </w:p>
  </w:footnote>
  <w:footnote w:id="22">
    <w:p w:rsidR="008725B8" w:rsidRDefault="008725B8">
      <w:pPr>
        <w:pStyle w:val="FootnoteText"/>
      </w:pPr>
      <w:r>
        <w:rPr>
          <w:rStyle w:val="FootnoteReference"/>
        </w:rPr>
        <w:footnoteRef/>
      </w:r>
      <w:r>
        <w:t xml:space="preserve"> </w:t>
      </w:r>
      <w:sdt>
        <w:sdtPr>
          <w:id w:val="-1724520477"/>
          <w:citation/>
        </w:sdtPr>
        <w:sdtContent>
          <w:r>
            <w:fldChar w:fldCharType="begin"/>
          </w:r>
          <w:r>
            <w:instrText xml:space="preserve">CITATION Kag95 \p 87 \l 2057 </w:instrText>
          </w:r>
          <w:r>
            <w:fldChar w:fldCharType="separate"/>
          </w:r>
          <w:r w:rsidR="007C2CC4" w:rsidRPr="007C2CC4">
            <w:rPr>
              <w:noProof/>
            </w:rPr>
            <w:t>(Kagan, 1995, p. 87)</w:t>
          </w:r>
          <w:r>
            <w:fldChar w:fldCharType="end"/>
          </w:r>
        </w:sdtContent>
      </w:sdt>
    </w:p>
  </w:footnote>
  <w:footnote w:id="23">
    <w:p w:rsidR="008725B8" w:rsidRDefault="008725B8">
      <w:pPr>
        <w:pStyle w:val="FootnoteText"/>
      </w:pPr>
      <w:r>
        <w:rPr>
          <w:rStyle w:val="FootnoteReference"/>
        </w:rPr>
        <w:footnoteRef/>
      </w:r>
      <w:r>
        <w:t xml:space="preserve"> </w:t>
      </w:r>
      <w:sdt>
        <w:sdtPr>
          <w:id w:val="-143123928"/>
          <w:citation/>
        </w:sdtPr>
        <w:sdtContent>
          <w:r>
            <w:fldChar w:fldCharType="begin"/>
          </w:r>
          <w:r>
            <w:instrText xml:space="preserve">CITATION Jon99 \p 29 \l 2057 </w:instrText>
          </w:r>
          <w:r>
            <w:fldChar w:fldCharType="separate"/>
          </w:r>
          <w:r w:rsidR="007C2CC4" w:rsidRPr="007C2CC4">
            <w:rPr>
              <w:noProof/>
            </w:rPr>
            <w:t>(Jones, 1999, p. 29)</w:t>
          </w:r>
          <w:r>
            <w:fldChar w:fldCharType="end"/>
          </w:r>
        </w:sdtContent>
      </w:sdt>
    </w:p>
  </w:footnote>
  <w:footnote w:id="24">
    <w:p w:rsidR="008725B8" w:rsidRDefault="008725B8">
      <w:pPr>
        <w:pStyle w:val="FootnoteText"/>
      </w:pPr>
      <w:r>
        <w:rPr>
          <w:rStyle w:val="FootnoteReference"/>
        </w:rPr>
        <w:footnoteRef/>
      </w:r>
      <w:r>
        <w:t xml:space="preserve"> </w:t>
      </w:r>
      <w:sdt>
        <w:sdtPr>
          <w:id w:val="1718780303"/>
          <w:citation/>
        </w:sdtPr>
        <w:sdtContent>
          <w:r>
            <w:fldChar w:fldCharType="begin"/>
          </w:r>
          <w:r>
            <w:instrText xml:space="preserve">CITATION Phi11 \p 22 \l 2057 </w:instrText>
          </w:r>
          <w:r>
            <w:fldChar w:fldCharType="separate"/>
          </w:r>
          <w:r w:rsidR="007C2CC4" w:rsidRPr="007C2CC4">
            <w:rPr>
              <w:noProof/>
            </w:rPr>
            <w:t>(Phillipson, 1911, p. 22)</w:t>
          </w:r>
          <w:r>
            <w:fldChar w:fldCharType="end"/>
          </w:r>
        </w:sdtContent>
      </w:sdt>
    </w:p>
  </w:footnote>
  <w:footnote w:id="25">
    <w:p w:rsidR="008725B8" w:rsidRDefault="008725B8">
      <w:pPr>
        <w:pStyle w:val="FootnoteText"/>
      </w:pPr>
      <w:r>
        <w:rPr>
          <w:rStyle w:val="FootnoteReference"/>
        </w:rPr>
        <w:footnoteRef/>
      </w:r>
      <w:r>
        <w:t xml:space="preserve"> </w:t>
      </w:r>
      <w:sdt>
        <w:sdtPr>
          <w:id w:val="-252355307"/>
          <w:citation/>
        </w:sdtPr>
        <w:sdtContent>
          <w:r>
            <w:fldChar w:fldCharType="begin"/>
          </w:r>
          <w:r>
            <w:instrText xml:space="preserve">CITATION Wie07 \p 40 \l 2057 </w:instrText>
          </w:r>
          <w:r>
            <w:fldChar w:fldCharType="separate"/>
          </w:r>
          <w:r w:rsidR="007C2CC4" w:rsidRPr="007C2CC4">
            <w:rPr>
              <w:noProof/>
            </w:rPr>
            <w:t>(Wiesehöfer, 2007, p. 40)</w:t>
          </w:r>
          <w:r>
            <w:fldChar w:fldCharType="end"/>
          </w:r>
        </w:sdtContent>
      </w:sdt>
    </w:p>
  </w:footnote>
  <w:footnote w:id="26">
    <w:p w:rsidR="008725B8" w:rsidRDefault="008725B8">
      <w:pPr>
        <w:pStyle w:val="FootnoteText"/>
      </w:pPr>
      <w:r>
        <w:rPr>
          <w:rStyle w:val="FootnoteReference"/>
        </w:rPr>
        <w:footnoteRef/>
      </w:r>
      <w:r>
        <w:t xml:space="preserve"> </w:t>
      </w:r>
      <w:sdt>
        <w:sdtPr>
          <w:id w:val="-1951928710"/>
          <w:citation/>
        </w:sdtPr>
        <w:sdtContent>
          <w:r>
            <w:fldChar w:fldCharType="begin"/>
          </w:r>
          <w:r>
            <w:instrText xml:space="preserve">CITATION Coh01 \p 29 \l 2057 </w:instrText>
          </w:r>
          <w:r>
            <w:fldChar w:fldCharType="separate"/>
          </w:r>
          <w:r w:rsidR="007C2CC4" w:rsidRPr="007C2CC4">
            <w:rPr>
              <w:noProof/>
            </w:rPr>
            <w:t>(Cohen, 2001, p. 29)</w:t>
          </w:r>
          <w:r>
            <w:fldChar w:fldCharType="end"/>
          </w:r>
        </w:sdtContent>
      </w:sdt>
    </w:p>
  </w:footnote>
  <w:footnote w:id="27">
    <w:p w:rsidR="008725B8" w:rsidRDefault="008725B8">
      <w:pPr>
        <w:pStyle w:val="FootnoteText"/>
      </w:pPr>
      <w:r>
        <w:rPr>
          <w:rStyle w:val="FootnoteReference"/>
        </w:rPr>
        <w:footnoteRef/>
      </w:r>
      <w:r>
        <w:t xml:space="preserve"> </w:t>
      </w:r>
      <w:sdt>
        <w:sdtPr>
          <w:id w:val="-1030884281"/>
          <w:citation/>
        </w:sdtPr>
        <w:sdtContent>
          <w:r>
            <w:fldChar w:fldCharType="begin"/>
          </w:r>
          <w:r>
            <w:instrText xml:space="preserve">CITATION Jon99 \p 32 \l 2057 </w:instrText>
          </w:r>
          <w:r>
            <w:fldChar w:fldCharType="separate"/>
          </w:r>
          <w:r w:rsidR="007C2CC4" w:rsidRPr="007C2CC4">
            <w:rPr>
              <w:noProof/>
            </w:rPr>
            <w:t>(Jones, 1999, p. 32)</w:t>
          </w:r>
          <w:r>
            <w:fldChar w:fldCharType="end"/>
          </w:r>
        </w:sdtContent>
      </w:sdt>
    </w:p>
  </w:footnote>
  <w:footnote w:id="28">
    <w:p w:rsidR="00CC3688" w:rsidRDefault="00CC3688">
      <w:pPr>
        <w:pStyle w:val="FootnoteText"/>
      </w:pPr>
      <w:r>
        <w:rPr>
          <w:rStyle w:val="FootnoteReference"/>
        </w:rPr>
        <w:footnoteRef/>
      </w:r>
      <w:r>
        <w:t xml:space="preserve"> </w:t>
      </w:r>
      <w:sdt>
        <w:sdtPr>
          <w:id w:val="522369666"/>
          <w:citation/>
        </w:sdtPr>
        <w:sdtContent>
          <w:r>
            <w:fldChar w:fldCharType="begin"/>
          </w:r>
          <w:r>
            <w:instrText xml:space="preserve">CITATION Mos73 \p 79 \l 2057 </w:instrText>
          </w:r>
          <w:r>
            <w:fldChar w:fldCharType="separate"/>
          </w:r>
          <w:r w:rsidR="007C2CC4" w:rsidRPr="007C2CC4">
            <w:rPr>
              <w:noProof/>
            </w:rPr>
            <w:t>(Mosley, 1973, p. 79)</w:t>
          </w:r>
          <w:r>
            <w:fldChar w:fldCharType="end"/>
          </w:r>
        </w:sdtContent>
      </w:sdt>
    </w:p>
  </w:footnote>
  <w:footnote w:id="29">
    <w:p w:rsidR="00CC3688" w:rsidRDefault="00CC3688">
      <w:pPr>
        <w:pStyle w:val="FootnoteText"/>
      </w:pPr>
      <w:r>
        <w:rPr>
          <w:rStyle w:val="FootnoteReference"/>
        </w:rPr>
        <w:footnoteRef/>
      </w:r>
      <w:r>
        <w:t xml:space="preserve"> </w:t>
      </w:r>
      <w:sdt>
        <w:sdtPr>
          <w:id w:val="1847902660"/>
          <w:citation/>
        </w:sdtPr>
        <w:sdtContent>
          <w:r>
            <w:fldChar w:fldCharType="begin"/>
          </w:r>
          <w:r>
            <w:instrText xml:space="preserve">CITATION Coh01 \p 24 \l 2057 </w:instrText>
          </w:r>
          <w:r>
            <w:fldChar w:fldCharType="separate"/>
          </w:r>
          <w:r w:rsidR="007C2CC4" w:rsidRPr="007C2CC4">
            <w:rPr>
              <w:noProof/>
            </w:rPr>
            <w:t>(Cohen, 2001, p. 24)</w:t>
          </w:r>
          <w:r>
            <w:fldChar w:fldCharType="end"/>
          </w:r>
        </w:sdtContent>
      </w:sdt>
      <w:r>
        <w:t xml:space="preserve"> Given the situation we thought that it might be a good idea to return to playing the loyal members of the Seleucid Empire, as they didn’t know we had been negotiating with Pergamon and Egypt, we didn’t see that we had much to lose given the event at the time.</w:t>
      </w:r>
    </w:p>
  </w:footnote>
  <w:footnote w:id="30">
    <w:p w:rsidR="00CC3688" w:rsidRDefault="00CC3688">
      <w:pPr>
        <w:pStyle w:val="FootnoteText"/>
      </w:pPr>
      <w:r>
        <w:rPr>
          <w:rStyle w:val="FootnoteReference"/>
        </w:rPr>
        <w:footnoteRef/>
      </w:r>
      <w:r>
        <w:t xml:space="preserve"> </w:t>
      </w:r>
      <w:sdt>
        <w:sdtPr>
          <w:id w:val="-1809616273"/>
          <w:citation/>
        </w:sdtPr>
        <w:sdtContent>
          <w:r>
            <w:fldChar w:fldCharType="begin"/>
          </w:r>
          <w:r>
            <w:instrText xml:space="preserve">CITATION Bri02 \p 34 \l 2057 </w:instrText>
          </w:r>
          <w:r>
            <w:fldChar w:fldCharType="separate"/>
          </w:r>
          <w:r w:rsidR="007C2CC4" w:rsidRPr="007C2CC4">
            <w:rPr>
              <w:noProof/>
            </w:rPr>
            <w:t>(Briant, 2002, p. 34)</w:t>
          </w:r>
          <w:r>
            <w:fldChar w:fldCharType="end"/>
          </w:r>
        </w:sdtContent>
      </w:sdt>
    </w:p>
  </w:footnote>
  <w:footnote w:id="31">
    <w:p w:rsidR="00CC3688" w:rsidRDefault="00CC3688">
      <w:pPr>
        <w:pStyle w:val="FootnoteText"/>
      </w:pPr>
      <w:r>
        <w:rPr>
          <w:rStyle w:val="FootnoteReference"/>
        </w:rPr>
        <w:footnoteRef/>
      </w:r>
      <w:r>
        <w:t xml:space="preserve"> </w:t>
      </w:r>
      <w:sdt>
        <w:sdtPr>
          <w:id w:val="127131132"/>
          <w:citation/>
        </w:sdtPr>
        <w:sdtContent>
          <w:r>
            <w:fldChar w:fldCharType="begin"/>
          </w:r>
          <w:r>
            <w:instrText xml:space="preserve">CITATION Hal69 \p 672 \l 2057 </w:instrText>
          </w:r>
          <w:r>
            <w:fldChar w:fldCharType="separate"/>
          </w:r>
          <w:r w:rsidR="007C2CC4" w:rsidRPr="007C2CC4">
            <w:rPr>
              <w:noProof/>
            </w:rPr>
            <w:t>(Hallock, 1969, p. 672)</w:t>
          </w:r>
          <w:r>
            <w:fldChar w:fldCharType="end"/>
          </w:r>
        </w:sdtContent>
      </w:sdt>
    </w:p>
  </w:footnote>
  <w:footnote w:id="32">
    <w:p w:rsidR="00CC3688" w:rsidRDefault="00CC3688">
      <w:pPr>
        <w:pStyle w:val="FootnoteText"/>
      </w:pPr>
      <w:r>
        <w:rPr>
          <w:rStyle w:val="FootnoteReference"/>
        </w:rPr>
        <w:footnoteRef/>
      </w:r>
      <w:r>
        <w:t xml:space="preserve"> </w:t>
      </w:r>
      <w:sdt>
        <w:sdtPr>
          <w:id w:val="-1308155985"/>
          <w:citation/>
        </w:sdtPr>
        <w:sdtContent>
          <w:r>
            <w:fldChar w:fldCharType="begin"/>
          </w:r>
          <w:r>
            <w:instrText xml:space="preserve">CITATION Mal72 \p 31 \l 2057 </w:instrText>
          </w:r>
          <w:r>
            <w:fldChar w:fldCharType="separate"/>
          </w:r>
          <w:r w:rsidR="007C2CC4" w:rsidRPr="007C2CC4">
            <w:rPr>
              <w:noProof/>
            </w:rPr>
            <w:t>(Mallowan, 1972, p. 31)</w:t>
          </w:r>
          <w:r>
            <w:fldChar w:fldCharType="end"/>
          </w:r>
        </w:sdtContent>
      </w:sdt>
    </w:p>
  </w:footnote>
  <w:footnote w:id="33">
    <w:p w:rsidR="00CC3688" w:rsidRDefault="00CC3688">
      <w:pPr>
        <w:pStyle w:val="FootnoteText"/>
      </w:pPr>
      <w:r>
        <w:rPr>
          <w:rStyle w:val="FootnoteReference"/>
        </w:rPr>
        <w:footnoteRef/>
      </w:r>
      <w:r>
        <w:t xml:space="preserve"> </w:t>
      </w:r>
      <w:sdt>
        <w:sdtPr>
          <w:id w:val="1695577135"/>
          <w:citation/>
        </w:sdtPr>
        <w:sdtContent>
          <w:r>
            <w:fldChar w:fldCharType="begin"/>
          </w:r>
          <w:r>
            <w:instrText xml:space="preserve">CITATION Mos73 \p 49 \l 2057 </w:instrText>
          </w:r>
          <w:r>
            <w:fldChar w:fldCharType="separate"/>
          </w:r>
          <w:r w:rsidR="007C2CC4" w:rsidRPr="007C2CC4">
            <w:rPr>
              <w:noProof/>
            </w:rPr>
            <w:t>(Mosley, 1973, p. 49)</w:t>
          </w:r>
          <w:r>
            <w:fldChar w:fldCharType="end"/>
          </w:r>
        </w:sdtContent>
      </w:sdt>
    </w:p>
  </w:footnote>
  <w:footnote w:id="34">
    <w:p w:rsidR="00CC3688" w:rsidRDefault="00CC3688">
      <w:pPr>
        <w:pStyle w:val="FootnoteText"/>
      </w:pPr>
      <w:r>
        <w:rPr>
          <w:rStyle w:val="FootnoteReference"/>
        </w:rPr>
        <w:footnoteRef/>
      </w:r>
      <w:r>
        <w:t xml:space="preserve"> </w:t>
      </w:r>
      <w:sdt>
        <w:sdtPr>
          <w:id w:val="-1871917649"/>
          <w:citation/>
        </w:sdtPr>
        <w:sdtContent>
          <w:r>
            <w:fldChar w:fldCharType="begin"/>
          </w:r>
          <w:r>
            <w:instrText xml:space="preserve">CITATION Mos73 \p 41 \l 2057 </w:instrText>
          </w:r>
          <w:r>
            <w:fldChar w:fldCharType="separate"/>
          </w:r>
          <w:r w:rsidR="007C2CC4" w:rsidRPr="007C2CC4">
            <w:rPr>
              <w:noProof/>
            </w:rPr>
            <w:t>(Mosley, 1973, p. 41)</w:t>
          </w:r>
          <w:r>
            <w:fldChar w:fldCharType="end"/>
          </w:r>
        </w:sdtContent>
      </w:sdt>
    </w:p>
  </w:footnote>
  <w:footnote w:id="35">
    <w:p w:rsidR="00517799" w:rsidRDefault="00517799">
      <w:pPr>
        <w:pStyle w:val="FootnoteText"/>
      </w:pPr>
      <w:r>
        <w:rPr>
          <w:rStyle w:val="FootnoteReference"/>
        </w:rPr>
        <w:footnoteRef/>
      </w:r>
      <w:r>
        <w:t xml:space="preserve"> </w:t>
      </w:r>
      <w:sdt>
        <w:sdtPr>
          <w:id w:val="2036232185"/>
          <w:citation/>
        </w:sdtPr>
        <w:sdtContent>
          <w:r>
            <w:fldChar w:fldCharType="begin"/>
          </w:r>
          <w:r>
            <w:instrText xml:space="preserve">CITATION Phi11 \p 31 \l 2057 </w:instrText>
          </w:r>
          <w:r>
            <w:fldChar w:fldCharType="separate"/>
          </w:r>
          <w:r w:rsidR="007C2CC4" w:rsidRPr="007C2CC4">
            <w:rPr>
              <w:noProof/>
            </w:rPr>
            <w:t>(Phillipson, 1911, p. 31)</w:t>
          </w:r>
          <w:r>
            <w:fldChar w:fldCharType="end"/>
          </w:r>
        </w:sdtContent>
      </w:sdt>
    </w:p>
  </w:footnote>
  <w:footnote w:id="36">
    <w:p w:rsidR="00517799" w:rsidRDefault="00517799">
      <w:pPr>
        <w:pStyle w:val="FootnoteText"/>
      </w:pPr>
      <w:r>
        <w:rPr>
          <w:rStyle w:val="FootnoteReference"/>
        </w:rPr>
        <w:footnoteRef/>
      </w:r>
      <w:r>
        <w:t xml:space="preserve"> </w:t>
      </w:r>
      <w:sdt>
        <w:sdtPr>
          <w:id w:val="149406450"/>
          <w:citation/>
        </w:sdtPr>
        <w:sdtContent>
          <w:r>
            <w:fldChar w:fldCharType="begin"/>
          </w:r>
          <w:r>
            <w:instrText xml:space="preserve">CITATION Coh01 \p 29 \l 2057 </w:instrText>
          </w:r>
          <w:r>
            <w:fldChar w:fldCharType="separate"/>
          </w:r>
          <w:r w:rsidR="007C2CC4" w:rsidRPr="007C2CC4">
            <w:rPr>
              <w:noProof/>
            </w:rPr>
            <w:t>(Cohen, 2001, p. 29)</w:t>
          </w:r>
          <w:r>
            <w:fldChar w:fldCharType="end"/>
          </w:r>
        </w:sdtContent>
      </w:sdt>
    </w:p>
  </w:footnote>
  <w:footnote w:id="37">
    <w:p w:rsidR="00517799" w:rsidRDefault="00517799">
      <w:pPr>
        <w:pStyle w:val="FootnoteText"/>
      </w:pPr>
      <w:r>
        <w:rPr>
          <w:rStyle w:val="FootnoteReference"/>
        </w:rPr>
        <w:footnoteRef/>
      </w:r>
      <w:r>
        <w:t xml:space="preserve"> </w:t>
      </w:r>
      <w:sdt>
        <w:sdtPr>
          <w:id w:val="-1390495892"/>
          <w:citation/>
        </w:sdtPr>
        <w:sdtContent>
          <w:r>
            <w:fldChar w:fldCharType="begin"/>
          </w:r>
          <w:r>
            <w:instrText xml:space="preserve">CITATION Jon99 \p 21-23 \l 2057 </w:instrText>
          </w:r>
          <w:r>
            <w:fldChar w:fldCharType="separate"/>
          </w:r>
          <w:r w:rsidR="007C2CC4" w:rsidRPr="007C2CC4">
            <w:rPr>
              <w:noProof/>
            </w:rPr>
            <w:t>(Jones, 1999, pp. 21-23)</w:t>
          </w:r>
          <w:r>
            <w:fldChar w:fldCharType="end"/>
          </w:r>
        </w:sdtContent>
      </w:sdt>
    </w:p>
  </w:footnote>
  <w:footnote w:id="38">
    <w:p w:rsidR="001A32D4" w:rsidRDefault="001A32D4">
      <w:pPr>
        <w:pStyle w:val="FootnoteText"/>
      </w:pPr>
      <w:r>
        <w:rPr>
          <w:rStyle w:val="FootnoteReference"/>
        </w:rPr>
        <w:footnoteRef/>
      </w:r>
      <w:r>
        <w:t xml:space="preserve"> </w:t>
      </w:r>
      <w:sdt>
        <w:sdtPr>
          <w:id w:val="230823030"/>
          <w:citation/>
        </w:sdtPr>
        <w:sdtContent>
          <w:r>
            <w:fldChar w:fldCharType="begin"/>
          </w:r>
          <w:r>
            <w:instrText xml:space="preserve">CITATION Kag95 \p 54 \l 2057 </w:instrText>
          </w:r>
          <w:r>
            <w:fldChar w:fldCharType="separate"/>
          </w:r>
          <w:r w:rsidR="007C2CC4" w:rsidRPr="007C2CC4">
            <w:rPr>
              <w:noProof/>
            </w:rPr>
            <w:t>(Kagan, 1995, p. 54)</w:t>
          </w:r>
          <w:r>
            <w:fldChar w:fldCharType="end"/>
          </w:r>
        </w:sdtContent>
      </w:sdt>
      <w:sdt>
        <w:sdtPr>
          <w:id w:val="85740225"/>
          <w:citation/>
        </w:sdtPr>
        <w:sdtContent>
          <w:r>
            <w:fldChar w:fldCharType="begin"/>
          </w:r>
          <w:r>
            <w:instrText xml:space="preserve">CITATION Boy75 \p 456 \l 2057 </w:instrText>
          </w:r>
          <w:r>
            <w:fldChar w:fldCharType="separate"/>
          </w:r>
          <w:r w:rsidR="007C2CC4">
            <w:rPr>
              <w:noProof/>
            </w:rPr>
            <w:t xml:space="preserve"> </w:t>
          </w:r>
          <w:r w:rsidR="007C2CC4" w:rsidRPr="007C2CC4">
            <w:rPr>
              <w:noProof/>
            </w:rPr>
            <w:t>(Boyce, 1975, p. 456)</w:t>
          </w:r>
          <w:r>
            <w:fldChar w:fldCharType="end"/>
          </w:r>
        </w:sdtContent>
      </w:sdt>
    </w:p>
  </w:footnote>
  <w:footnote w:id="39">
    <w:p w:rsidR="00782B02" w:rsidRDefault="00782B02">
      <w:pPr>
        <w:pStyle w:val="FootnoteText"/>
      </w:pPr>
      <w:r>
        <w:rPr>
          <w:rStyle w:val="FootnoteReference"/>
        </w:rPr>
        <w:footnoteRef/>
      </w:r>
      <w:r>
        <w:t xml:space="preserve"> </w:t>
      </w:r>
      <w:sdt>
        <w:sdtPr>
          <w:id w:val="2141462019"/>
          <w:citation/>
        </w:sdtPr>
        <w:sdtContent>
          <w:r>
            <w:fldChar w:fldCharType="begin"/>
          </w:r>
          <w:r>
            <w:instrText xml:space="preserve">CITATION Jon99 \p 22 \l 2057 </w:instrText>
          </w:r>
          <w:r>
            <w:fldChar w:fldCharType="separate"/>
          </w:r>
          <w:r w:rsidR="007C2CC4" w:rsidRPr="007C2CC4">
            <w:rPr>
              <w:noProof/>
            </w:rPr>
            <w:t>(Jones, 1999, p. 22)</w:t>
          </w:r>
          <w:r>
            <w:fldChar w:fldCharType="end"/>
          </w:r>
        </w:sdtContent>
      </w:sdt>
    </w:p>
  </w:footnote>
  <w:footnote w:id="40">
    <w:p w:rsidR="00247F32" w:rsidRDefault="00247F32">
      <w:pPr>
        <w:pStyle w:val="FootnoteText"/>
      </w:pPr>
      <w:r>
        <w:rPr>
          <w:rStyle w:val="FootnoteReference"/>
        </w:rPr>
        <w:footnoteRef/>
      </w:r>
      <w:r>
        <w:t xml:space="preserve"> </w:t>
      </w:r>
      <w:sdt>
        <w:sdtPr>
          <w:id w:val="-417026314"/>
          <w:citation/>
        </w:sdtPr>
        <w:sdtContent>
          <w:r>
            <w:fldChar w:fldCharType="begin"/>
          </w:r>
          <w:r>
            <w:instrText xml:space="preserve">CITATION Jon99 \p 46 \l 2057 </w:instrText>
          </w:r>
          <w:r>
            <w:fldChar w:fldCharType="separate"/>
          </w:r>
          <w:r w:rsidR="007C2CC4" w:rsidRPr="007C2CC4">
            <w:rPr>
              <w:noProof/>
            </w:rPr>
            <w:t>(Jones, 1999, p. 46)</w:t>
          </w:r>
          <w:r>
            <w:fldChar w:fldCharType="end"/>
          </w:r>
        </w:sdtContent>
      </w:sdt>
    </w:p>
  </w:footnote>
  <w:footnote w:id="41">
    <w:p w:rsidR="00C67FE1" w:rsidRDefault="00C67FE1">
      <w:pPr>
        <w:pStyle w:val="FootnoteText"/>
      </w:pPr>
      <w:r>
        <w:rPr>
          <w:rStyle w:val="FootnoteReference"/>
        </w:rPr>
        <w:footnoteRef/>
      </w:r>
      <w:r>
        <w:t xml:space="preserve"> </w:t>
      </w:r>
      <w:sdt>
        <w:sdtPr>
          <w:id w:val="730430911"/>
          <w:citation/>
        </w:sdtPr>
        <w:sdtContent>
          <w:r>
            <w:fldChar w:fldCharType="begin"/>
          </w:r>
          <w:r>
            <w:instrText xml:space="preserve">CITATION Kag95 \p 91 \l 2057 </w:instrText>
          </w:r>
          <w:r>
            <w:fldChar w:fldCharType="separate"/>
          </w:r>
          <w:r w:rsidR="007C2CC4" w:rsidRPr="007C2CC4">
            <w:rPr>
              <w:noProof/>
            </w:rPr>
            <w:t>(Kagan, 1995, p. 91)</w:t>
          </w:r>
          <w:r>
            <w:fldChar w:fldCharType="end"/>
          </w:r>
        </w:sdtContent>
      </w:sdt>
    </w:p>
  </w:footnote>
  <w:footnote w:id="42">
    <w:p w:rsidR="00C67FE1" w:rsidRDefault="00C67FE1">
      <w:pPr>
        <w:pStyle w:val="FootnoteText"/>
      </w:pPr>
      <w:r>
        <w:rPr>
          <w:rStyle w:val="FootnoteReference"/>
        </w:rPr>
        <w:footnoteRef/>
      </w:r>
      <w:r>
        <w:t xml:space="preserve"> </w:t>
      </w:r>
      <w:sdt>
        <w:sdtPr>
          <w:id w:val="905877904"/>
          <w:citation/>
        </w:sdtPr>
        <w:sdtContent>
          <w:r>
            <w:fldChar w:fldCharType="begin"/>
          </w:r>
          <w:r>
            <w:instrText xml:space="preserve">CITATION Jon99 \p 35 \l 2057 </w:instrText>
          </w:r>
          <w:r>
            <w:fldChar w:fldCharType="separate"/>
          </w:r>
          <w:r w:rsidR="007C2CC4" w:rsidRPr="007C2CC4">
            <w:rPr>
              <w:noProof/>
            </w:rPr>
            <w:t>(Jones, 1999, p. 35)</w:t>
          </w:r>
          <w:r>
            <w:fldChar w:fldCharType="end"/>
          </w:r>
        </w:sdtContent>
      </w:sdt>
    </w:p>
  </w:footnote>
  <w:footnote w:id="43">
    <w:p w:rsidR="00676D49" w:rsidRDefault="00676D49">
      <w:pPr>
        <w:pStyle w:val="FootnoteText"/>
      </w:pPr>
      <w:r>
        <w:rPr>
          <w:rStyle w:val="FootnoteReference"/>
        </w:rPr>
        <w:footnoteRef/>
      </w:r>
      <w:r>
        <w:t xml:space="preserve"> </w:t>
      </w:r>
      <w:sdt>
        <w:sdtPr>
          <w:id w:val="-1801147298"/>
          <w:citation/>
        </w:sdtPr>
        <w:sdtContent>
          <w:r>
            <w:fldChar w:fldCharType="begin"/>
          </w:r>
          <w:r>
            <w:instrText xml:space="preserve">CITATION Cor16 \p 29 \l 2057 </w:instrText>
          </w:r>
          <w:r>
            <w:fldChar w:fldCharType="separate"/>
          </w:r>
          <w:r w:rsidR="007C2CC4" w:rsidRPr="007C2CC4">
            <w:rPr>
              <w:noProof/>
            </w:rPr>
            <w:t>(Corwin, 2016, p. 29)</w:t>
          </w:r>
          <w:r>
            <w:fldChar w:fldCharType="end"/>
          </w:r>
        </w:sdtContent>
      </w:sdt>
    </w:p>
  </w:footnote>
  <w:footnote w:id="44">
    <w:p w:rsidR="00676D49" w:rsidRDefault="00676D49">
      <w:pPr>
        <w:pStyle w:val="FootnoteText"/>
      </w:pPr>
      <w:r>
        <w:rPr>
          <w:rStyle w:val="FootnoteReference"/>
        </w:rPr>
        <w:footnoteRef/>
      </w:r>
      <w:r>
        <w:t xml:space="preserve"> </w:t>
      </w:r>
      <w:sdt>
        <w:sdtPr>
          <w:id w:val="1206368980"/>
          <w:citation/>
        </w:sdtPr>
        <w:sdtContent>
          <w:r>
            <w:fldChar w:fldCharType="begin"/>
          </w:r>
          <w:r>
            <w:instrText xml:space="preserve">CITATION Coh01 \p 29 \l 2057 </w:instrText>
          </w:r>
          <w:r>
            <w:fldChar w:fldCharType="separate"/>
          </w:r>
          <w:r w:rsidR="007C2CC4" w:rsidRPr="007C2CC4">
            <w:rPr>
              <w:noProof/>
            </w:rPr>
            <w:t>(Cohen, 2001, p. 29)</w:t>
          </w:r>
          <w:r>
            <w:fldChar w:fldCharType="end"/>
          </w:r>
        </w:sdtContent>
      </w:sdt>
    </w:p>
  </w:footnote>
  <w:footnote w:id="45">
    <w:p w:rsidR="00676D49" w:rsidRDefault="00676D49">
      <w:pPr>
        <w:pStyle w:val="FootnoteText"/>
      </w:pPr>
      <w:r>
        <w:rPr>
          <w:rStyle w:val="FootnoteReference"/>
        </w:rPr>
        <w:footnoteRef/>
      </w:r>
      <w:r>
        <w:t xml:space="preserve"> </w:t>
      </w:r>
      <w:sdt>
        <w:sdtPr>
          <w:id w:val="-1446152165"/>
          <w:citation/>
        </w:sdtPr>
        <w:sdtContent>
          <w:r>
            <w:fldChar w:fldCharType="begin"/>
          </w:r>
          <w:r>
            <w:instrText xml:space="preserve">CITATION Coh01 \p 29 \l 2057 </w:instrText>
          </w:r>
          <w:r>
            <w:fldChar w:fldCharType="separate"/>
          </w:r>
          <w:r w:rsidR="007C2CC4" w:rsidRPr="007C2CC4">
            <w:rPr>
              <w:noProof/>
            </w:rPr>
            <w:t>(Cohen, 2001, p. 29)</w:t>
          </w:r>
          <w:r>
            <w:fldChar w:fldCharType="end"/>
          </w:r>
        </w:sdtContent>
      </w:sdt>
    </w:p>
  </w:footnote>
  <w:footnote w:id="46">
    <w:p w:rsidR="00676D49" w:rsidRDefault="00676D49">
      <w:pPr>
        <w:pStyle w:val="FootnoteText"/>
      </w:pPr>
      <w:r>
        <w:rPr>
          <w:rStyle w:val="FootnoteReference"/>
        </w:rPr>
        <w:footnoteRef/>
      </w:r>
      <w:r>
        <w:t xml:space="preserve"> </w:t>
      </w:r>
      <w:sdt>
        <w:sdtPr>
          <w:id w:val="-1891721015"/>
          <w:citation/>
        </w:sdtPr>
        <w:sdtContent>
          <w:r>
            <w:fldChar w:fldCharType="begin"/>
          </w:r>
          <w:r>
            <w:instrText xml:space="preserve">CITATION Wie07 \p 129 \l 2057 </w:instrText>
          </w:r>
          <w:r>
            <w:fldChar w:fldCharType="separate"/>
          </w:r>
          <w:r w:rsidR="007C2CC4" w:rsidRPr="007C2CC4">
            <w:rPr>
              <w:noProof/>
            </w:rPr>
            <w:t>(Wiesehöfer, 2007, p. 129)</w:t>
          </w:r>
          <w:r>
            <w:fldChar w:fldCharType="end"/>
          </w:r>
        </w:sdtContent>
      </w:sdt>
    </w:p>
  </w:footnote>
  <w:footnote w:id="47">
    <w:p w:rsidR="00676D49" w:rsidRDefault="00676D49">
      <w:pPr>
        <w:pStyle w:val="FootnoteText"/>
      </w:pPr>
      <w:r>
        <w:rPr>
          <w:rStyle w:val="FootnoteReference"/>
        </w:rPr>
        <w:footnoteRef/>
      </w:r>
      <w:r>
        <w:t xml:space="preserve"> </w:t>
      </w:r>
      <w:sdt>
        <w:sdtPr>
          <w:id w:val="-1437051159"/>
          <w:citation/>
        </w:sdtPr>
        <w:sdtContent>
          <w:r>
            <w:fldChar w:fldCharType="begin"/>
          </w:r>
          <w:r>
            <w:instrText xml:space="preserve">CITATION Jon99 \p 45 \l 2057 </w:instrText>
          </w:r>
          <w:r>
            <w:fldChar w:fldCharType="separate"/>
          </w:r>
          <w:r w:rsidR="007C2CC4" w:rsidRPr="007C2CC4">
            <w:rPr>
              <w:noProof/>
            </w:rPr>
            <w:t>(Jones, 1999, p. 45)</w:t>
          </w:r>
          <w:r>
            <w:fldChar w:fldCharType="end"/>
          </w:r>
        </w:sdtContent>
      </w:sdt>
    </w:p>
  </w:footnote>
  <w:footnote w:id="48">
    <w:p w:rsidR="00EC4ADB" w:rsidRDefault="00EC4ADB">
      <w:pPr>
        <w:pStyle w:val="FootnoteText"/>
      </w:pPr>
      <w:r>
        <w:rPr>
          <w:rStyle w:val="FootnoteReference"/>
        </w:rPr>
        <w:footnoteRef/>
      </w:r>
      <w:r>
        <w:t xml:space="preserve"> </w:t>
      </w:r>
      <w:sdt>
        <w:sdtPr>
          <w:id w:val="-311327097"/>
          <w:citation/>
        </w:sdtPr>
        <w:sdtContent>
          <w:r>
            <w:fldChar w:fldCharType="begin"/>
          </w:r>
          <w:r>
            <w:instrText xml:space="preserve">CITATION Coh01 \p 29 \l 2057 </w:instrText>
          </w:r>
          <w:r>
            <w:fldChar w:fldCharType="separate"/>
          </w:r>
          <w:r w:rsidR="007C2CC4" w:rsidRPr="007C2CC4">
            <w:rPr>
              <w:noProof/>
            </w:rPr>
            <w:t>(Cohen, 2001, p. 29)</w:t>
          </w:r>
          <w:r>
            <w:fldChar w:fldCharType="end"/>
          </w:r>
        </w:sdtContent>
      </w:sdt>
    </w:p>
  </w:footnote>
  <w:footnote w:id="49">
    <w:p w:rsidR="00EC4ADB" w:rsidRDefault="00EC4ADB">
      <w:pPr>
        <w:pStyle w:val="FootnoteText"/>
      </w:pPr>
      <w:r>
        <w:rPr>
          <w:rStyle w:val="FootnoteReference"/>
        </w:rPr>
        <w:footnoteRef/>
      </w:r>
      <w:r>
        <w:t xml:space="preserve"> </w:t>
      </w:r>
      <w:sdt>
        <w:sdtPr>
          <w:id w:val="-1364901263"/>
          <w:citation/>
        </w:sdtPr>
        <w:sdtContent>
          <w:r>
            <w:fldChar w:fldCharType="begin"/>
          </w:r>
          <w:r>
            <w:instrText xml:space="preserve">CITATION Run15 \p 35 \l 2057 </w:instrText>
          </w:r>
          <w:r>
            <w:fldChar w:fldCharType="separate"/>
          </w:r>
          <w:r w:rsidR="007C2CC4" w:rsidRPr="007C2CC4">
            <w:rPr>
              <w:noProof/>
            </w:rPr>
            <w:t>(Rung, 2015, p. 35)</w:t>
          </w:r>
          <w:r>
            <w:fldChar w:fldCharType="end"/>
          </w:r>
        </w:sdtContent>
      </w:sdt>
    </w:p>
  </w:footnote>
  <w:footnote w:id="50">
    <w:p w:rsidR="00EC4ADB" w:rsidRDefault="00EC4ADB">
      <w:pPr>
        <w:pStyle w:val="FootnoteText"/>
      </w:pPr>
      <w:r>
        <w:rPr>
          <w:rStyle w:val="FootnoteReference"/>
        </w:rPr>
        <w:footnoteRef/>
      </w:r>
      <w:r>
        <w:t xml:space="preserve"> </w:t>
      </w:r>
      <w:sdt>
        <w:sdtPr>
          <w:id w:val="1365022407"/>
          <w:citation/>
        </w:sdtPr>
        <w:sdtContent>
          <w:r>
            <w:fldChar w:fldCharType="begin"/>
          </w:r>
          <w:r>
            <w:instrText xml:space="preserve">CITATION Wie07 \p 129 \l 2057 </w:instrText>
          </w:r>
          <w:r>
            <w:fldChar w:fldCharType="separate"/>
          </w:r>
          <w:r w:rsidR="007C2CC4" w:rsidRPr="007C2CC4">
            <w:rPr>
              <w:noProof/>
            </w:rPr>
            <w:t>(Wiesehöfer, 2007, p. 129)</w:t>
          </w:r>
          <w:r>
            <w:fldChar w:fldCharType="end"/>
          </w:r>
        </w:sdtContent>
      </w:sdt>
    </w:p>
  </w:footnote>
  <w:footnote w:id="51">
    <w:p w:rsidR="000C2C5F" w:rsidRDefault="000C2C5F">
      <w:pPr>
        <w:pStyle w:val="FootnoteText"/>
      </w:pPr>
      <w:r>
        <w:rPr>
          <w:rStyle w:val="FootnoteReference"/>
        </w:rPr>
        <w:footnoteRef/>
      </w:r>
      <w:r>
        <w:t xml:space="preserve"> </w:t>
      </w:r>
      <w:sdt>
        <w:sdtPr>
          <w:id w:val="-279032358"/>
          <w:citation/>
        </w:sdtPr>
        <w:sdtContent>
          <w:r>
            <w:fldChar w:fldCharType="begin"/>
          </w:r>
          <w:r>
            <w:instrText xml:space="preserve">CITATION Vog98 \p 27 \l 2057 </w:instrText>
          </w:r>
          <w:r>
            <w:fldChar w:fldCharType="separate"/>
          </w:r>
          <w:r w:rsidR="007C2CC4" w:rsidRPr="007C2CC4">
            <w:rPr>
              <w:noProof/>
            </w:rPr>
            <w:t>(Vogelsang, 1998, p. 27)</w:t>
          </w:r>
          <w:r>
            <w:fldChar w:fldCharType="end"/>
          </w:r>
        </w:sdtContent>
      </w:sdt>
    </w:p>
  </w:footnote>
  <w:footnote w:id="52">
    <w:p w:rsidR="000C2C5F" w:rsidRDefault="000C2C5F">
      <w:pPr>
        <w:pStyle w:val="FootnoteText"/>
      </w:pPr>
      <w:r>
        <w:rPr>
          <w:rStyle w:val="FootnoteReference"/>
        </w:rPr>
        <w:footnoteRef/>
      </w:r>
      <w:r>
        <w:t xml:space="preserve"> </w:t>
      </w:r>
      <w:sdt>
        <w:sdtPr>
          <w:id w:val="347611461"/>
          <w:citation/>
        </w:sdtPr>
        <w:sdtContent>
          <w:r>
            <w:fldChar w:fldCharType="begin"/>
          </w:r>
          <w:r>
            <w:instrText xml:space="preserve">CITATION Ber14 \p 6 \l 2057 </w:instrText>
          </w:r>
          <w:r>
            <w:fldChar w:fldCharType="separate"/>
          </w:r>
          <w:r w:rsidR="007C2CC4" w:rsidRPr="007C2CC4">
            <w:rPr>
              <w:noProof/>
            </w:rPr>
            <w:t>(Bertoni, 2014, p. 6)</w:t>
          </w:r>
          <w:r>
            <w:fldChar w:fldCharType="end"/>
          </w:r>
        </w:sdtContent>
      </w:sdt>
    </w:p>
  </w:footnote>
  <w:footnote w:id="53">
    <w:p w:rsidR="000C2C5F" w:rsidRDefault="000C2C5F">
      <w:pPr>
        <w:pStyle w:val="FootnoteText"/>
      </w:pPr>
      <w:r>
        <w:rPr>
          <w:rStyle w:val="FootnoteReference"/>
        </w:rPr>
        <w:footnoteRef/>
      </w:r>
      <w:r>
        <w:t xml:space="preserve"> </w:t>
      </w:r>
      <w:sdt>
        <w:sdtPr>
          <w:id w:val="590896977"/>
          <w:citation/>
        </w:sdtPr>
        <w:sdtContent>
          <w:r>
            <w:fldChar w:fldCharType="begin"/>
          </w:r>
          <w:r>
            <w:instrText xml:space="preserve">CITATION Kha98 \p 5 \l 2057 </w:instrText>
          </w:r>
          <w:r>
            <w:fldChar w:fldCharType="separate"/>
          </w:r>
          <w:r w:rsidR="007C2CC4" w:rsidRPr="007C2CC4">
            <w:rPr>
              <w:noProof/>
            </w:rPr>
            <w:t>(Khansari, et al., 1998, p. 5)</w:t>
          </w:r>
          <w:r>
            <w:fldChar w:fldCharType="end"/>
          </w:r>
        </w:sdtContent>
      </w:sdt>
    </w:p>
  </w:footnote>
  <w:footnote w:id="54">
    <w:p w:rsidR="000C2C5F" w:rsidRDefault="000C2C5F">
      <w:pPr>
        <w:pStyle w:val="FootnoteText"/>
      </w:pPr>
      <w:r>
        <w:rPr>
          <w:rStyle w:val="FootnoteReference"/>
        </w:rPr>
        <w:footnoteRef/>
      </w:r>
      <w:r>
        <w:t xml:space="preserve"> </w:t>
      </w:r>
      <w:sdt>
        <w:sdtPr>
          <w:id w:val="-1228149862"/>
          <w:citation/>
        </w:sdtPr>
        <w:sdtContent>
          <w:r>
            <w:fldChar w:fldCharType="begin"/>
          </w:r>
          <w:r>
            <w:instrText xml:space="preserve">CITATION Cas94 \p 12 \l 2057 </w:instrText>
          </w:r>
          <w:r>
            <w:fldChar w:fldCharType="separate"/>
          </w:r>
          <w:r w:rsidR="007C2CC4" w:rsidRPr="007C2CC4">
            <w:rPr>
              <w:noProof/>
            </w:rPr>
            <w:t>(Casson, 1994, p. 12)</w:t>
          </w:r>
          <w:r>
            <w:fldChar w:fldCharType="end"/>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4E0F4F"/>
    <w:multiLevelType w:val="hybridMultilevel"/>
    <w:tmpl w:val="FDC62272"/>
    <w:lvl w:ilvl="0" w:tplc="C7443704">
      <w:start w:val="9"/>
      <w:numFmt w:val="bullet"/>
      <w:lvlText w:val="-"/>
      <w:lvlJc w:val="left"/>
      <w:pPr>
        <w:ind w:left="405" w:hanging="360"/>
      </w:pPr>
      <w:rPr>
        <w:rFonts w:ascii="Calibri" w:eastAsiaTheme="minorEastAsia" w:hAnsi="Calibri"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3CE5579C"/>
    <w:multiLevelType w:val="hybridMultilevel"/>
    <w:tmpl w:val="70947C36"/>
    <w:lvl w:ilvl="0" w:tplc="C7443704">
      <w:start w:val="9"/>
      <w:numFmt w:val="bullet"/>
      <w:lvlText w:val="-"/>
      <w:lvlJc w:val="left"/>
      <w:pPr>
        <w:ind w:left="405"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997AED"/>
    <w:multiLevelType w:val="hybridMultilevel"/>
    <w:tmpl w:val="43F0E2AE"/>
    <w:lvl w:ilvl="0" w:tplc="C7443704">
      <w:start w:val="9"/>
      <w:numFmt w:val="bullet"/>
      <w:lvlText w:val="-"/>
      <w:lvlJc w:val="left"/>
      <w:pPr>
        <w:ind w:left="450" w:hanging="360"/>
      </w:pPr>
      <w:rPr>
        <w:rFonts w:ascii="Calibri" w:eastAsiaTheme="minorEastAsia" w:hAnsi="Calibri" w:cstheme="minorBid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C93"/>
    <w:rsid w:val="00000659"/>
    <w:rsid w:val="00016904"/>
    <w:rsid w:val="000756DC"/>
    <w:rsid w:val="000927A9"/>
    <w:rsid w:val="00093113"/>
    <w:rsid w:val="000C2C5F"/>
    <w:rsid w:val="000C3A9B"/>
    <w:rsid w:val="000C55B0"/>
    <w:rsid w:val="000C6978"/>
    <w:rsid w:val="000E69A2"/>
    <w:rsid w:val="000F5002"/>
    <w:rsid w:val="00154384"/>
    <w:rsid w:val="0016106D"/>
    <w:rsid w:val="001676B2"/>
    <w:rsid w:val="001806A7"/>
    <w:rsid w:val="001A32D4"/>
    <w:rsid w:val="001A7261"/>
    <w:rsid w:val="001B5416"/>
    <w:rsid w:val="001C2A9B"/>
    <w:rsid w:val="001D1307"/>
    <w:rsid w:val="001D3EC0"/>
    <w:rsid w:val="001F0394"/>
    <w:rsid w:val="00222A60"/>
    <w:rsid w:val="00236664"/>
    <w:rsid w:val="00242710"/>
    <w:rsid w:val="00247F32"/>
    <w:rsid w:val="00257B95"/>
    <w:rsid w:val="00266567"/>
    <w:rsid w:val="00295B85"/>
    <w:rsid w:val="00296ADA"/>
    <w:rsid w:val="002A180A"/>
    <w:rsid w:val="002A4E68"/>
    <w:rsid w:val="002B37C8"/>
    <w:rsid w:val="002B5F93"/>
    <w:rsid w:val="002D0AC8"/>
    <w:rsid w:val="002D0D71"/>
    <w:rsid w:val="00305B90"/>
    <w:rsid w:val="00334DCB"/>
    <w:rsid w:val="00336854"/>
    <w:rsid w:val="00355D70"/>
    <w:rsid w:val="003614BE"/>
    <w:rsid w:val="00361E50"/>
    <w:rsid w:val="003A73CE"/>
    <w:rsid w:val="003B4D5A"/>
    <w:rsid w:val="00414916"/>
    <w:rsid w:val="00424ED3"/>
    <w:rsid w:val="004316D3"/>
    <w:rsid w:val="004513E1"/>
    <w:rsid w:val="004550BA"/>
    <w:rsid w:val="00490064"/>
    <w:rsid w:val="004D0B84"/>
    <w:rsid w:val="00505D6F"/>
    <w:rsid w:val="00517799"/>
    <w:rsid w:val="00526AA2"/>
    <w:rsid w:val="0054785A"/>
    <w:rsid w:val="00590156"/>
    <w:rsid w:val="005958C9"/>
    <w:rsid w:val="005A389C"/>
    <w:rsid w:val="005B785D"/>
    <w:rsid w:val="00626CB2"/>
    <w:rsid w:val="00630266"/>
    <w:rsid w:val="0063604C"/>
    <w:rsid w:val="00676D49"/>
    <w:rsid w:val="00690CE9"/>
    <w:rsid w:val="00695589"/>
    <w:rsid w:val="006B7523"/>
    <w:rsid w:val="006D0CF6"/>
    <w:rsid w:val="006D44F2"/>
    <w:rsid w:val="006F4138"/>
    <w:rsid w:val="006F61AB"/>
    <w:rsid w:val="00707FC9"/>
    <w:rsid w:val="0072147A"/>
    <w:rsid w:val="00723023"/>
    <w:rsid w:val="00723B52"/>
    <w:rsid w:val="00740C93"/>
    <w:rsid w:val="00782B02"/>
    <w:rsid w:val="007B0122"/>
    <w:rsid w:val="007B1F10"/>
    <w:rsid w:val="007C2CC4"/>
    <w:rsid w:val="007C6355"/>
    <w:rsid w:val="007E5FEF"/>
    <w:rsid w:val="00821735"/>
    <w:rsid w:val="00836BAE"/>
    <w:rsid w:val="0085584F"/>
    <w:rsid w:val="008644BD"/>
    <w:rsid w:val="008725B8"/>
    <w:rsid w:val="008D34F5"/>
    <w:rsid w:val="008E7CBC"/>
    <w:rsid w:val="008F0029"/>
    <w:rsid w:val="00901434"/>
    <w:rsid w:val="00911495"/>
    <w:rsid w:val="009120D1"/>
    <w:rsid w:val="00912CAA"/>
    <w:rsid w:val="00931633"/>
    <w:rsid w:val="00936B02"/>
    <w:rsid w:val="009675A0"/>
    <w:rsid w:val="0099008E"/>
    <w:rsid w:val="00996513"/>
    <w:rsid w:val="009D6509"/>
    <w:rsid w:val="00A03907"/>
    <w:rsid w:val="00A4207C"/>
    <w:rsid w:val="00A578EF"/>
    <w:rsid w:val="00A84029"/>
    <w:rsid w:val="00AA7F17"/>
    <w:rsid w:val="00AB549C"/>
    <w:rsid w:val="00AD2DDA"/>
    <w:rsid w:val="00B104EB"/>
    <w:rsid w:val="00B61E21"/>
    <w:rsid w:val="00BB12BD"/>
    <w:rsid w:val="00BD0A83"/>
    <w:rsid w:val="00BE0DF4"/>
    <w:rsid w:val="00BF680D"/>
    <w:rsid w:val="00C27C56"/>
    <w:rsid w:val="00C34AFF"/>
    <w:rsid w:val="00C4340A"/>
    <w:rsid w:val="00C5526D"/>
    <w:rsid w:val="00C55E96"/>
    <w:rsid w:val="00C67FE1"/>
    <w:rsid w:val="00C91712"/>
    <w:rsid w:val="00CC3688"/>
    <w:rsid w:val="00CF3889"/>
    <w:rsid w:val="00D04A61"/>
    <w:rsid w:val="00D17F38"/>
    <w:rsid w:val="00D2725C"/>
    <w:rsid w:val="00D31BB1"/>
    <w:rsid w:val="00D852B0"/>
    <w:rsid w:val="00DB300F"/>
    <w:rsid w:val="00DB3DA1"/>
    <w:rsid w:val="00DC2079"/>
    <w:rsid w:val="00DE5C59"/>
    <w:rsid w:val="00DF102F"/>
    <w:rsid w:val="00DF1FA2"/>
    <w:rsid w:val="00E253C3"/>
    <w:rsid w:val="00E630EA"/>
    <w:rsid w:val="00E8412F"/>
    <w:rsid w:val="00EA5A11"/>
    <w:rsid w:val="00EC4ADB"/>
    <w:rsid w:val="00ED54EE"/>
    <w:rsid w:val="00F1011F"/>
    <w:rsid w:val="00F107E2"/>
    <w:rsid w:val="00F22A62"/>
    <w:rsid w:val="00F279B7"/>
    <w:rsid w:val="00F4326B"/>
    <w:rsid w:val="00F54429"/>
    <w:rsid w:val="00F70986"/>
    <w:rsid w:val="00FB08B8"/>
    <w:rsid w:val="00FC5B2D"/>
    <w:rsid w:val="00FD0B1B"/>
    <w:rsid w:val="00FE24EF"/>
    <w:rsid w:val="00FE45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D7305"/>
  <w15:chartTrackingRefBased/>
  <w15:docId w15:val="{C5933FEE-A07E-403E-967F-A12FBA872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04C"/>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3A9B"/>
    <w:pPr>
      <w:ind w:left="720"/>
      <w:contextualSpacing/>
    </w:pPr>
  </w:style>
  <w:style w:type="character" w:customStyle="1" w:styleId="Heading1Char">
    <w:name w:val="Heading 1 Char"/>
    <w:basedOn w:val="DefaultParagraphFont"/>
    <w:link w:val="Heading1"/>
    <w:uiPriority w:val="9"/>
    <w:rsid w:val="0063604C"/>
    <w:rPr>
      <w:rFonts w:asciiTheme="majorHAnsi" w:eastAsiaTheme="majorEastAsia" w:hAnsiTheme="majorHAnsi" w:cstheme="majorBidi"/>
      <w:color w:val="2E74B5" w:themeColor="accent1" w:themeShade="BF"/>
      <w:sz w:val="32"/>
      <w:szCs w:val="32"/>
      <w:lang w:val="en-US" w:eastAsia="en-US"/>
    </w:rPr>
  </w:style>
  <w:style w:type="paragraph" w:styleId="FootnoteText">
    <w:name w:val="footnote text"/>
    <w:basedOn w:val="Normal"/>
    <w:link w:val="FootnoteTextChar"/>
    <w:uiPriority w:val="99"/>
    <w:semiHidden/>
    <w:unhideWhenUsed/>
    <w:rsid w:val="005901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0156"/>
    <w:rPr>
      <w:sz w:val="20"/>
      <w:szCs w:val="20"/>
    </w:rPr>
  </w:style>
  <w:style w:type="character" w:styleId="FootnoteReference">
    <w:name w:val="footnote reference"/>
    <w:basedOn w:val="DefaultParagraphFont"/>
    <w:uiPriority w:val="99"/>
    <w:semiHidden/>
    <w:unhideWhenUsed/>
    <w:rsid w:val="00590156"/>
    <w:rPr>
      <w:vertAlign w:val="superscript"/>
    </w:rPr>
  </w:style>
  <w:style w:type="paragraph" w:styleId="Bibliography">
    <w:name w:val="Bibliography"/>
    <w:basedOn w:val="Normal"/>
    <w:next w:val="Normal"/>
    <w:uiPriority w:val="37"/>
    <w:unhideWhenUsed/>
    <w:rsid w:val="00590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40848">
      <w:bodyDiv w:val="1"/>
      <w:marLeft w:val="0"/>
      <w:marRight w:val="0"/>
      <w:marTop w:val="0"/>
      <w:marBottom w:val="0"/>
      <w:divBdr>
        <w:top w:val="none" w:sz="0" w:space="0" w:color="auto"/>
        <w:left w:val="none" w:sz="0" w:space="0" w:color="auto"/>
        <w:bottom w:val="none" w:sz="0" w:space="0" w:color="auto"/>
        <w:right w:val="none" w:sz="0" w:space="0" w:color="auto"/>
      </w:divBdr>
    </w:div>
    <w:div w:id="23754926">
      <w:bodyDiv w:val="1"/>
      <w:marLeft w:val="0"/>
      <w:marRight w:val="0"/>
      <w:marTop w:val="0"/>
      <w:marBottom w:val="0"/>
      <w:divBdr>
        <w:top w:val="none" w:sz="0" w:space="0" w:color="auto"/>
        <w:left w:val="none" w:sz="0" w:space="0" w:color="auto"/>
        <w:bottom w:val="none" w:sz="0" w:space="0" w:color="auto"/>
        <w:right w:val="none" w:sz="0" w:space="0" w:color="auto"/>
      </w:divBdr>
    </w:div>
    <w:div w:id="37555449">
      <w:bodyDiv w:val="1"/>
      <w:marLeft w:val="0"/>
      <w:marRight w:val="0"/>
      <w:marTop w:val="0"/>
      <w:marBottom w:val="0"/>
      <w:divBdr>
        <w:top w:val="none" w:sz="0" w:space="0" w:color="auto"/>
        <w:left w:val="none" w:sz="0" w:space="0" w:color="auto"/>
        <w:bottom w:val="none" w:sz="0" w:space="0" w:color="auto"/>
        <w:right w:val="none" w:sz="0" w:space="0" w:color="auto"/>
      </w:divBdr>
    </w:div>
    <w:div w:id="44523964">
      <w:bodyDiv w:val="1"/>
      <w:marLeft w:val="0"/>
      <w:marRight w:val="0"/>
      <w:marTop w:val="0"/>
      <w:marBottom w:val="0"/>
      <w:divBdr>
        <w:top w:val="none" w:sz="0" w:space="0" w:color="auto"/>
        <w:left w:val="none" w:sz="0" w:space="0" w:color="auto"/>
        <w:bottom w:val="none" w:sz="0" w:space="0" w:color="auto"/>
        <w:right w:val="none" w:sz="0" w:space="0" w:color="auto"/>
      </w:divBdr>
    </w:div>
    <w:div w:id="62996110">
      <w:bodyDiv w:val="1"/>
      <w:marLeft w:val="0"/>
      <w:marRight w:val="0"/>
      <w:marTop w:val="0"/>
      <w:marBottom w:val="0"/>
      <w:divBdr>
        <w:top w:val="none" w:sz="0" w:space="0" w:color="auto"/>
        <w:left w:val="none" w:sz="0" w:space="0" w:color="auto"/>
        <w:bottom w:val="none" w:sz="0" w:space="0" w:color="auto"/>
        <w:right w:val="none" w:sz="0" w:space="0" w:color="auto"/>
      </w:divBdr>
    </w:div>
    <w:div w:id="64034713">
      <w:bodyDiv w:val="1"/>
      <w:marLeft w:val="0"/>
      <w:marRight w:val="0"/>
      <w:marTop w:val="0"/>
      <w:marBottom w:val="0"/>
      <w:divBdr>
        <w:top w:val="none" w:sz="0" w:space="0" w:color="auto"/>
        <w:left w:val="none" w:sz="0" w:space="0" w:color="auto"/>
        <w:bottom w:val="none" w:sz="0" w:space="0" w:color="auto"/>
        <w:right w:val="none" w:sz="0" w:space="0" w:color="auto"/>
      </w:divBdr>
    </w:div>
    <w:div w:id="75366463">
      <w:bodyDiv w:val="1"/>
      <w:marLeft w:val="0"/>
      <w:marRight w:val="0"/>
      <w:marTop w:val="0"/>
      <w:marBottom w:val="0"/>
      <w:divBdr>
        <w:top w:val="none" w:sz="0" w:space="0" w:color="auto"/>
        <w:left w:val="none" w:sz="0" w:space="0" w:color="auto"/>
        <w:bottom w:val="none" w:sz="0" w:space="0" w:color="auto"/>
        <w:right w:val="none" w:sz="0" w:space="0" w:color="auto"/>
      </w:divBdr>
    </w:div>
    <w:div w:id="83459991">
      <w:bodyDiv w:val="1"/>
      <w:marLeft w:val="0"/>
      <w:marRight w:val="0"/>
      <w:marTop w:val="0"/>
      <w:marBottom w:val="0"/>
      <w:divBdr>
        <w:top w:val="none" w:sz="0" w:space="0" w:color="auto"/>
        <w:left w:val="none" w:sz="0" w:space="0" w:color="auto"/>
        <w:bottom w:val="none" w:sz="0" w:space="0" w:color="auto"/>
        <w:right w:val="none" w:sz="0" w:space="0" w:color="auto"/>
      </w:divBdr>
    </w:div>
    <w:div w:id="97138607">
      <w:bodyDiv w:val="1"/>
      <w:marLeft w:val="0"/>
      <w:marRight w:val="0"/>
      <w:marTop w:val="0"/>
      <w:marBottom w:val="0"/>
      <w:divBdr>
        <w:top w:val="none" w:sz="0" w:space="0" w:color="auto"/>
        <w:left w:val="none" w:sz="0" w:space="0" w:color="auto"/>
        <w:bottom w:val="none" w:sz="0" w:space="0" w:color="auto"/>
        <w:right w:val="none" w:sz="0" w:space="0" w:color="auto"/>
      </w:divBdr>
    </w:div>
    <w:div w:id="99692965">
      <w:bodyDiv w:val="1"/>
      <w:marLeft w:val="0"/>
      <w:marRight w:val="0"/>
      <w:marTop w:val="0"/>
      <w:marBottom w:val="0"/>
      <w:divBdr>
        <w:top w:val="none" w:sz="0" w:space="0" w:color="auto"/>
        <w:left w:val="none" w:sz="0" w:space="0" w:color="auto"/>
        <w:bottom w:val="none" w:sz="0" w:space="0" w:color="auto"/>
        <w:right w:val="none" w:sz="0" w:space="0" w:color="auto"/>
      </w:divBdr>
    </w:div>
    <w:div w:id="104884945">
      <w:bodyDiv w:val="1"/>
      <w:marLeft w:val="0"/>
      <w:marRight w:val="0"/>
      <w:marTop w:val="0"/>
      <w:marBottom w:val="0"/>
      <w:divBdr>
        <w:top w:val="none" w:sz="0" w:space="0" w:color="auto"/>
        <w:left w:val="none" w:sz="0" w:space="0" w:color="auto"/>
        <w:bottom w:val="none" w:sz="0" w:space="0" w:color="auto"/>
        <w:right w:val="none" w:sz="0" w:space="0" w:color="auto"/>
      </w:divBdr>
    </w:div>
    <w:div w:id="105733183">
      <w:bodyDiv w:val="1"/>
      <w:marLeft w:val="0"/>
      <w:marRight w:val="0"/>
      <w:marTop w:val="0"/>
      <w:marBottom w:val="0"/>
      <w:divBdr>
        <w:top w:val="none" w:sz="0" w:space="0" w:color="auto"/>
        <w:left w:val="none" w:sz="0" w:space="0" w:color="auto"/>
        <w:bottom w:val="none" w:sz="0" w:space="0" w:color="auto"/>
        <w:right w:val="none" w:sz="0" w:space="0" w:color="auto"/>
      </w:divBdr>
    </w:div>
    <w:div w:id="124780756">
      <w:bodyDiv w:val="1"/>
      <w:marLeft w:val="0"/>
      <w:marRight w:val="0"/>
      <w:marTop w:val="0"/>
      <w:marBottom w:val="0"/>
      <w:divBdr>
        <w:top w:val="none" w:sz="0" w:space="0" w:color="auto"/>
        <w:left w:val="none" w:sz="0" w:space="0" w:color="auto"/>
        <w:bottom w:val="none" w:sz="0" w:space="0" w:color="auto"/>
        <w:right w:val="none" w:sz="0" w:space="0" w:color="auto"/>
      </w:divBdr>
    </w:div>
    <w:div w:id="153420011">
      <w:bodyDiv w:val="1"/>
      <w:marLeft w:val="0"/>
      <w:marRight w:val="0"/>
      <w:marTop w:val="0"/>
      <w:marBottom w:val="0"/>
      <w:divBdr>
        <w:top w:val="none" w:sz="0" w:space="0" w:color="auto"/>
        <w:left w:val="none" w:sz="0" w:space="0" w:color="auto"/>
        <w:bottom w:val="none" w:sz="0" w:space="0" w:color="auto"/>
        <w:right w:val="none" w:sz="0" w:space="0" w:color="auto"/>
      </w:divBdr>
    </w:div>
    <w:div w:id="170682035">
      <w:bodyDiv w:val="1"/>
      <w:marLeft w:val="0"/>
      <w:marRight w:val="0"/>
      <w:marTop w:val="0"/>
      <w:marBottom w:val="0"/>
      <w:divBdr>
        <w:top w:val="none" w:sz="0" w:space="0" w:color="auto"/>
        <w:left w:val="none" w:sz="0" w:space="0" w:color="auto"/>
        <w:bottom w:val="none" w:sz="0" w:space="0" w:color="auto"/>
        <w:right w:val="none" w:sz="0" w:space="0" w:color="auto"/>
      </w:divBdr>
    </w:div>
    <w:div w:id="171915533">
      <w:bodyDiv w:val="1"/>
      <w:marLeft w:val="0"/>
      <w:marRight w:val="0"/>
      <w:marTop w:val="0"/>
      <w:marBottom w:val="0"/>
      <w:divBdr>
        <w:top w:val="none" w:sz="0" w:space="0" w:color="auto"/>
        <w:left w:val="none" w:sz="0" w:space="0" w:color="auto"/>
        <w:bottom w:val="none" w:sz="0" w:space="0" w:color="auto"/>
        <w:right w:val="none" w:sz="0" w:space="0" w:color="auto"/>
      </w:divBdr>
    </w:div>
    <w:div w:id="174155286">
      <w:bodyDiv w:val="1"/>
      <w:marLeft w:val="0"/>
      <w:marRight w:val="0"/>
      <w:marTop w:val="0"/>
      <w:marBottom w:val="0"/>
      <w:divBdr>
        <w:top w:val="none" w:sz="0" w:space="0" w:color="auto"/>
        <w:left w:val="none" w:sz="0" w:space="0" w:color="auto"/>
        <w:bottom w:val="none" w:sz="0" w:space="0" w:color="auto"/>
        <w:right w:val="none" w:sz="0" w:space="0" w:color="auto"/>
      </w:divBdr>
    </w:div>
    <w:div w:id="193730739">
      <w:bodyDiv w:val="1"/>
      <w:marLeft w:val="0"/>
      <w:marRight w:val="0"/>
      <w:marTop w:val="0"/>
      <w:marBottom w:val="0"/>
      <w:divBdr>
        <w:top w:val="none" w:sz="0" w:space="0" w:color="auto"/>
        <w:left w:val="none" w:sz="0" w:space="0" w:color="auto"/>
        <w:bottom w:val="none" w:sz="0" w:space="0" w:color="auto"/>
        <w:right w:val="none" w:sz="0" w:space="0" w:color="auto"/>
      </w:divBdr>
    </w:div>
    <w:div w:id="200630814">
      <w:bodyDiv w:val="1"/>
      <w:marLeft w:val="0"/>
      <w:marRight w:val="0"/>
      <w:marTop w:val="0"/>
      <w:marBottom w:val="0"/>
      <w:divBdr>
        <w:top w:val="none" w:sz="0" w:space="0" w:color="auto"/>
        <w:left w:val="none" w:sz="0" w:space="0" w:color="auto"/>
        <w:bottom w:val="none" w:sz="0" w:space="0" w:color="auto"/>
        <w:right w:val="none" w:sz="0" w:space="0" w:color="auto"/>
      </w:divBdr>
    </w:div>
    <w:div w:id="207765652">
      <w:bodyDiv w:val="1"/>
      <w:marLeft w:val="0"/>
      <w:marRight w:val="0"/>
      <w:marTop w:val="0"/>
      <w:marBottom w:val="0"/>
      <w:divBdr>
        <w:top w:val="none" w:sz="0" w:space="0" w:color="auto"/>
        <w:left w:val="none" w:sz="0" w:space="0" w:color="auto"/>
        <w:bottom w:val="none" w:sz="0" w:space="0" w:color="auto"/>
        <w:right w:val="none" w:sz="0" w:space="0" w:color="auto"/>
      </w:divBdr>
    </w:div>
    <w:div w:id="223101887">
      <w:bodyDiv w:val="1"/>
      <w:marLeft w:val="0"/>
      <w:marRight w:val="0"/>
      <w:marTop w:val="0"/>
      <w:marBottom w:val="0"/>
      <w:divBdr>
        <w:top w:val="none" w:sz="0" w:space="0" w:color="auto"/>
        <w:left w:val="none" w:sz="0" w:space="0" w:color="auto"/>
        <w:bottom w:val="none" w:sz="0" w:space="0" w:color="auto"/>
        <w:right w:val="none" w:sz="0" w:space="0" w:color="auto"/>
      </w:divBdr>
    </w:div>
    <w:div w:id="231696276">
      <w:bodyDiv w:val="1"/>
      <w:marLeft w:val="0"/>
      <w:marRight w:val="0"/>
      <w:marTop w:val="0"/>
      <w:marBottom w:val="0"/>
      <w:divBdr>
        <w:top w:val="none" w:sz="0" w:space="0" w:color="auto"/>
        <w:left w:val="none" w:sz="0" w:space="0" w:color="auto"/>
        <w:bottom w:val="none" w:sz="0" w:space="0" w:color="auto"/>
        <w:right w:val="none" w:sz="0" w:space="0" w:color="auto"/>
      </w:divBdr>
    </w:div>
    <w:div w:id="236475743">
      <w:bodyDiv w:val="1"/>
      <w:marLeft w:val="0"/>
      <w:marRight w:val="0"/>
      <w:marTop w:val="0"/>
      <w:marBottom w:val="0"/>
      <w:divBdr>
        <w:top w:val="none" w:sz="0" w:space="0" w:color="auto"/>
        <w:left w:val="none" w:sz="0" w:space="0" w:color="auto"/>
        <w:bottom w:val="none" w:sz="0" w:space="0" w:color="auto"/>
        <w:right w:val="none" w:sz="0" w:space="0" w:color="auto"/>
      </w:divBdr>
    </w:div>
    <w:div w:id="238910708">
      <w:bodyDiv w:val="1"/>
      <w:marLeft w:val="0"/>
      <w:marRight w:val="0"/>
      <w:marTop w:val="0"/>
      <w:marBottom w:val="0"/>
      <w:divBdr>
        <w:top w:val="none" w:sz="0" w:space="0" w:color="auto"/>
        <w:left w:val="none" w:sz="0" w:space="0" w:color="auto"/>
        <w:bottom w:val="none" w:sz="0" w:space="0" w:color="auto"/>
        <w:right w:val="none" w:sz="0" w:space="0" w:color="auto"/>
      </w:divBdr>
    </w:div>
    <w:div w:id="254632791">
      <w:bodyDiv w:val="1"/>
      <w:marLeft w:val="0"/>
      <w:marRight w:val="0"/>
      <w:marTop w:val="0"/>
      <w:marBottom w:val="0"/>
      <w:divBdr>
        <w:top w:val="none" w:sz="0" w:space="0" w:color="auto"/>
        <w:left w:val="none" w:sz="0" w:space="0" w:color="auto"/>
        <w:bottom w:val="none" w:sz="0" w:space="0" w:color="auto"/>
        <w:right w:val="none" w:sz="0" w:space="0" w:color="auto"/>
      </w:divBdr>
    </w:div>
    <w:div w:id="256836343">
      <w:bodyDiv w:val="1"/>
      <w:marLeft w:val="0"/>
      <w:marRight w:val="0"/>
      <w:marTop w:val="0"/>
      <w:marBottom w:val="0"/>
      <w:divBdr>
        <w:top w:val="none" w:sz="0" w:space="0" w:color="auto"/>
        <w:left w:val="none" w:sz="0" w:space="0" w:color="auto"/>
        <w:bottom w:val="none" w:sz="0" w:space="0" w:color="auto"/>
        <w:right w:val="none" w:sz="0" w:space="0" w:color="auto"/>
      </w:divBdr>
    </w:div>
    <w:div w:id="271010699">
      <w:bodyDiv w:val="1"/>
      <w:marLeft w:val="0"/>
      <w:marRight w:val="0"/>
      <w:marTop w:val="0"/>
      <w:marBottom w:val="0"/>
      <w:divBdr>
        <w:top w:val="none" w:sz="0" w:space="0" w:color="auto"/>
        <w:left w:val="none" w:sz="0" w:space="0" w:color="auto"/>
        <w:bottom w:val="none" w:sz="0" w:space="0" w:color="auto"/>
        <w:right w:val="none" w:sz="0" w:space="0" w:color="auto"/>
      </w:divBdr>
    </w:div>
    <w:div w:id="275871848">
      <w:bodyDiv w:val="1"/>
      <w:marLeft w:val="0"/>
      <w:marRight w:val="0"/>
      <w:marTop w:val="0"/>
      <w:marBottom w:val="0"/>
      <w:divBdr>
        <w:top w:val="none" w:sz="0" w:space="0" w:color="auto"/>
        <w:left w:val="none" w:sz="0" w:space="0" w:color="auto"/>
        <w:bottom w:val="none" w:sz="0" w:space="0" w:color="auto"/>
        <w:right w:val="none" w:sz="0" w:space="0" w:color="auto"/>
      </w:divBdr>
    </w:div>
    <w:div w:id="283730356">
      <w:bodyDiv w:val="1"/>
      <w:marLeft w:val="0"/>
      <w:marRight w:val="0"/>
      <w:marTop w:val="0"/>
      <w:marBottom w:val="0"/>
      <w:divBdr>
        <w:top w:val="none" w:sz="0" w:space="0" w:color="auto"/>
        <w:left w:val="none" w:sz="0" w:space="0" w:color="auto"/>
        <w:bottom w:val="none" w:sz="0" w:space="0" w:color="auto"/>
        <w:right w:val="none" w:sz="0" w:space="0" w:color="auto"/>
      </w:divBdr>
    </w:div>
    <w:div w:id="294943550">
      <w:bodyDiv w:val="1"/>
      <w:marLeft w:val="0"/>
      <w:marRight w:val="0"/>
      <w:marTop w:val="0"/>
      <w:marBottom w:val="0"/>
      <w:divBdr>
        <w:top w:val="none" w:sz="0" w:space="0" w:color="auto"/>
        <w:left w:val="none" w:sz="0" w:space="0" w:color="auto"/>
        <w:bottom w:val="none" w:sz="0" w:space="0" w:color="auto"/>
        <w:right w:val="none" w:sz="0" w:space="0" w:color="auto"/>
      </w:divBdr>
    </w:div>
    <w:div w:id="299573392">
      <w:bodyDiv w:val="1"/>
      <w:marLeft w:val="0"/>
      <w:marRight w:val="0"/>
      <w:marTop w:val="0"/>
      <w:marBottom w:val="0"/>
      <w:divBdr>
        <w:top w:val="none" w:sz="0" w:space="0" w:color="auto"/>
        <w:left w:val="none" w:sz="0" w:space="0" w:color="auto"/>
        <w:bottom w:val="none" w:sz="0" w:space="0" w:color="auto"/>
        <w:right w:val="none" w:sz="0" w:space="0" w:color="auto"/>
      </w:divBdr>
    </w:div>
    <w:div w:id="315455063">
      <w:bodyDiv w:val="1"/>
      <w:marLeft w:val="0"/>
      <w:marRight w:val="0"/>
      <w:marTop w:val="0"/>
      <w:marBottom w:val="0"/>
      <w:divBdr>
        <w:top w:val="none" w:sz="0" w:space="0" w:color="auto"/>
        <w:left w:val="none" w:sz="0" w:space="0" w:color="auto"/>
        <w:bottom w:val="none" w:sz="0" w:space="0" w:color="auto"/>
        <w:right w:val="none" w:sz="0" w:space="0" w:color="auto"/>
      </w:divBdr>
    </w:div>
    <w:div w:id="332799996">
      <w:bodyDiv w:val="1"/>
      <w:marLeft w:val="0"/>
      <w:marRight w:val="0"/>
      <w:marTop w:val="0"/>
      <w:marBottom w:val="0"/>
      <w:divBdr>
        <w:top w:val="none" w:sz="0" w:space="0" w:color="auto"/>
        <w:left w:val="none" w:sz="0" w:space="0" w:color="auto"/>
        <w:bottom w:val="none" w:sz="0" w:space="0" w:color="auto"/>
        <w:right w:val="none" w:sz="0" w:space="0" w:color="auto"/>
      </w:divBdr>
    </w:div>
    <w:div w:id="338891157">
      <w:bodyDiv w:val="1"/>
      <w:marLeft w:val="0"/>
      <w:marRight w:val="0"/>
      <w:marTop w:val="0"/>
      <w:marBottom w:val="0"/>
      <w:divBdr>
        <w:top w:val="none" w:sz="0" w:space="0" w:color="auto"/>
        <w:left w:val="none" w:sz="0" w:space="0" w:color="auto"/>
        <w:bottom w:val="none" w:sz="0" w:space="0" w:color="auto"/>
        <w:right w:val="none" w:sz="0" w:space="0" w:color="auto"/>
      </w:divBdr>
    </w:div>
    <w:div w:id="343676643">
      <w:bodyDiv w:val="1"/>
      <w:marLeft w:val="0"/>
      <w:marRight w:val="0"/>
      <w:marTop w:val="0"/>
      <w:marBottom w:val="0"/>
      <w:divBdr>
        <w:top w:val="none" w:sz="0" w:space="0" w:color="auto"/>
        <w:left w:val="none" w:sz="0" w:space="0" w:color="auto"/>
        <w:bottom w:val="none" w:sz="0" w:space="0" w:color="auto"/>
        <w:right w:val="none" w:sz="0" w:space="0" w:color="auto"/>
      </w:divBdr>
    </w:div>
    <w:div w:id="353045918">
      <w:bodyDiv w:val="1"/>
      <w:marLeft w:val="0"/>
      <w:marRight w:val="0"/>
      <w:marTop w:val="0"/>
      <w:marBottom w:val="0"/>
      <w:divBdr>
        <w:top w:val="none" w:sz="0" w:space="0" w:color="auto"/>
        <w:left w:val="none" w:sz="0" w:space="0" w:color="auto"/>
        <w:bottom w:val="none" w:sz="0" w:space="0" w:color="auto"/>
        <w:right w:val="none" w:sz="0" w:space="0" w:color="auto"/>
      </w:divBdr>
    </w:div>
    <w:div w:id="360474693">
      <w:bodyDiv w:val="1"/>
      <w:marLeft w:val="0"/>
      <w:marRight w:val="0"/>
      <w:marTop w:val="0"/>
      <w:marBottom w:val="0"/>
      <w:divBdr>
        <w:top w:val="none" w:sz="0" w:space="0" w:color="auto"/>
        <w:left w:val="none" w:sz="0" w:space="0" w:color="auto"/>
        <w:bottom w:val="none" w:sz="0" w:space="0" w:color="auto"/>
        <w:right w:val="none" w:sz="0" w:space="0" w:color="auto"/>
      </w:divBdr>
    </w:div>
    <w:div w:id="361250586">
      <w:bodyDiv w:val="1"/>
      <w:marLeft w:val="0"/>
      <w:marRight w:val="0"/>
      <w:marTop w:val="0"/>
      <w:marBottom w:val="0"/>
      <w:divBdr>
        <w:top w:val="none" w:sz="0" w:space="0" w:color="auto"/>
        <w:left w:val="none" w:sz="0" w:space="0" w:color="auto"/>
        <w:bottom w:val="none" w:sz="0" w:space="0" w:color="auto"/>
        <w:right w:val="none" w:sz="0" w:space="0" w:color="auto"/>
      </w:divBdr>
    </w:div>
    <w:div w:id="368800146">
      <w:bodyDiv w:val="1"/>
      <w:marLeft w:val="0"/>
      <w:marRight w:val="0"/>
      <w:marTop w:val="0"/>
      <w:marBottom w:val="0"/>
      <w:divBdr>
        <w:top w:val="none" w:sz="0" w:space="0" w:color="auto"/>
        <w:left w:val="none" w:sz="0" w:space="0" w:color="auto"/>
        <w:bottom w:val="none" w:sz="0" w:space="0" w:color="auto"/>
        <w:right w:val="none" w:sz="0" w:space="0" w:color="auto"/>
      </w:divBdr>
    </w:div>
    <w:div w:id="374889747">
      <w:bodyDiv w:val="1"/>
      <w:marLeft w:val="0"/>
      <w:marRight w:val="0"/>
      <w:marTop w:val="0"/>
      <w:marBottom w:val="0"/>
      <w:divBdr>
        <w:top w:val="none" w:sz="0" w:space="0" w:color="auto"/>
        <w:left w:val="none" w:sz="0" w:space="0" w:color="auto"/>
        <w:bottom w:val="none" w:sz="0" w:space="0" w:color="auto"/>
        <w:right w:val="none" w:sz="0" w:space="0" w:color="auto"/>
      </w:divBdr>
    </w:div>
    <w:div w:id="382752315">
      <w:bodyDiv w:val="1"/>
      <w:marLeft w:val="0"/>
      <w:marRight w:val="0"/>
      <w:marTop w:val="0"/>
      <w:marBottom w:val="0"/>
      <w:divBdr>
        <w:top w:val="none" w:sz="0" w:space="0" w:color="auto"/>
        <w:left w:val="none" w:sz="0" w:space="0" w:color="auto"/>
        <w:bottom w:val="none" w:sz="0" w:space="0" w:color="auto"/>
        <w:right w:val="none" w:sz="0" w:space="0" w:color="auto"/>
      </w:divBdr>
    </w:div>
    <w:div w:id="388305145">
      <w:bodyDiv w:val="1"/>
      <w:marLeft w:val="0"/>
      <w:marRight w:val="0"/>
      <w:marTop w:val="0"/>
      <w:marBottom w:val="0"/>
      <w:divBdr>
        <w:top w:val="none" w:sz="0" w:space="0" w:color="auto"/>
        <w:left w:val="none" w:sz="0" w:space="0" w:color="auto"/>
        <w:bottom w:val="none" w:sz="0" w:space="0" w:color="auto"/>
        <w:right w:val="none" w:sz="0" w:space="0" w:color="auto"/>
      </w:divBdr>
    </w:div>
    <w:div w:id="400175093">
      <w:bodyDiv w:val="1"/>
      <w:marLeft w:val="0"/>
      <w:marRight w:val="0"/>
      <w:marTop w:val="0"/>
      <w:marBottom w:val="0"/>
      <w:divBdr>
        <w:top w:val="none" w:sz="0" w:space="0" w:color="auto"/>
        <w:left w:val="none" w:sz="0" w:space="0" w:color="auto"/>
        <w:bottom w:val="none" w:sz="0" w:space="0" w:color="auto"/>
        <w:right w:val="none" w:sz="0" w:space="0" w:color="auto"/>
      </w:divBdr>
    </w:div>
    <w:div w:id="405298766">
      <w:bodyDiv w:val="1"/>
      <w:marLeft w:val="0"/>
      <w:marRight w:val="0"/>
      <w:marTop w:val="0"/>
      <w:marBottom w:val="0"/>
      <w:divBdr>
        <w:top w:val="none" w:sz="0" w:space="0" w:color="auto"/>
        <w:left w:val="none" w:sz="0" w:space="0" w:color="auto"/>
        <w:bottom w:val="none" w:sz="0" w:space="0" w:color="auto"/>
        <w:right w:val="none" w:sz="0" w:space="0" w:color="auto"/>
      </w:divBdr>
    </w:div>
    <w:div w:id="405802090">
      <w:bodyDiv w:val="1"/>
      <w:marLeft w:val="0"/>
      <w:marRight w:val="0"/>
      <w:marTop w:val="0"/>
      <w:marBottom w:val="0"/>
      <w:divBdr>
        <w:top w:val="none" w:sz="0" w:space="0" w:color="auto"/>
        <w:left w:val="none" w:sz="0" w:space="0" w:color="auto"/>
        <w:bottom w:val="none" w:sz="0" w:space="0" w:color="auto"/>
        <w:right w:val="none" w:sz="0" w:space="0" w:color="auto"/>
      </w:divBdr>
    </w:div>
    <w:div w:id="430470727">
      <w:bodyDiv w:val="1"/>
      <w:marLeft w:val="0"/>
      <w:marRight w:val="0"/>
      <w:marTop w:val="0"/>
      <w:marBottom w:val="0"/>
      <w:divBdr>
        <w:top w:val="none" w:sz="0" w:space="0" w:color="auto"/>
        <w:left w:val="none" w:sz="0" w:space="0" w:color="auto"/>
        <w:bottom w:val="none" w:sz="0" w:space="0" w:color="auto"/>
        <w:right w:val="none" w:sz="0" w:space="0" w:color="auto"/>
      </w:divBdr>
    </w:div>
    <w:div w:id="437453818">
      <w:bodyDiv w:val="1"/>
      <w:marLeft w:val="0"/>
      <w:marRight w:val="0"/>
      <w:marTop w:val="0"/>
      <w:marBottom w:val="0"/>
      <w:divBdr>
        <w:top w:val="none" w:sz="0" w:space="0" w:color="auto"/>
        <w:left w:val="none" w:sz="0" w:space="0" w:color="auto"/>
        <w:bottom w:val="none" w:sz="0" w:space="0" w:color="auto"/>
        <w:right w:val="none" w:sz="0" w:space="0" w:color="auto"/>
      </w:divBdr>
    </w:div>
    <w:div w:id="467358192">
      <w:bodyDiv w:val="1"/>
      <w:marLeft w:val="0"/>
      <w:marRight w:val="0"/>
      <w:marTop w:val="0"/>
      <w:marBottom w:val="0"/>
      <w:divBdr>
        <w:top w:val="none" w:sz="0" w:space="0" w:color="auto"/>
        <w:left w:val="none" w:sz="0" w:space="0" w:color="auto"/>
        <w:bottom w:val="none" w:sz="0" w:space="0" w:color="auto"/>
        <w:right w:val="none" w:sz="0" w:space="0" w:color="auto"/>
      </w:divBdr>
    </w:div>
    <w:div w:id="474762761">
      <w:bodyDiv w:val="1"/>
      <w:marLeft w:val="0"/>
      <w:marRight w:val="0"/>
      <w:marTop w:val="0"/>
      <w:marBottom w:val="0"/>
      <w:divBdr>
        <w:top w:val="none" w:sz="0" w:space="0" w:color="auto"/>
        <w:left w:val="none" w:sz="0" w:space="0" w:color="auto"/>
        <w:bottom w:val="none" w:sz="0" w:space="0" w:color="auto"/>
        <w:right w:val="none" w:sz="0" w:space="0" w:color="auto"/>
      </w:divBdr>
    </w:div>
    <w:div w:id="489709768">
      <w:bodyDiv w:val="1"/>
      <w:marLeft w:val="0"/>
      <w:marRight w:val="0"/>
      <w:marTop w:val="0"/>
      <w:marBottom w:val="0"/>
      <w:divBdr>
        <w:top w:val="none" w:sz="0" w:space="0" w:color="auto"/>
        <w:left w:val="none" w:sz="0" w:space="0" w:color="auto"/>
        <w:bottom w:val="none" w:sz="0" w:space="0" w:color="auto"/>
        <w:right w:val="none" w:sz="0" w:space="0" w:color="auto"/>
      </w:divBdr>
    </w:div>
    <w:div w:id="491915770">
      <w:bodyDiv w:val="1"/>
      <w:marLeft w:val="0"/>
      <w:marRight w:val="0"/>
      <w:marTop w:val="0"/>
      <w:marBottom w:val="0"/>
      <w:divBdr>
        <w:top w:val="none" w:sz="0" w:space="0" w:color="auto"/>
        <w:left w:val="none" w:sz="0" w:space="0" w:color="auto"/>
        <w:bottom w:val="none" w:sz="0" w:space="0" w:color="auto"/>
        <w:right w:val="none" w:sz="0" w:space="0" w:color="auto"/>
      </w:divBdr>
    </w:div>
    <w:div w:id="509025868">
      <w:bodyDiv w:val="1"/>
      <w:marLeft w:val="0"/>
      <w:marRight w:val="0"/>
      <w:marTop w:val="0"/>
      <w:marBottom w:val="0"/>
      <w:divBdr>
        <w:top w:val="none" w:sz="0" w:space="0" w:color="auto"/>
        <w:left w:val="none" w:sz="0" w:space="0" w:color="auto"/>
        <w:bottom w:val="none" w:sz="0" w:space="0" w:color="auto"/>
        <w:right w:val="none" w:sz="0" w:space="0" w:color="auto"/>
      </w:divBdr>
    </w:div>
    <w:div w:id="511720670">
      <w:bodyDiv w:val="1"/>
      <w:marLeft w:val="0"/>
      <w:marRight w:val="0"/>
      <w:marTop w:val="0"/>
      <w:marBottom w:val="0"/>
      <w:divBdr>
        <w:top w:val="none" w:sz="0" w:space="0" w:color="auto"/>
        <w:left w:val="none" w:sz="0" w:space="0" w:color="auto"/>
        <w:bottom w:val="none" w:sz="0" w:space="0" w:color="auto"/>
        <w:right w:val="none" w:sz="0" w:space="0" w:color="auto"/>
      </w:divBdr>
    </w:div>
    <w:div w:id="548687464">
      <w:bodyDiv w:val="1"/>
      <w:marLeft w:val="0"/>
      <w:marRight w:val="0"/>
      <w:marTop w:val="0"/>
      <w:marBottom w:val="0"/>
      <w:divBdr>
        <w:top w:val="none" w:sz="0" w:space="0" w:color="auto"/>
        <w:left w:val="none" w:sz="0" w:space="0" w:color="auto"/>
        <w:bottom w:val="none" w:sz="0" w:space="0" w:color="auto"/>
        <w:right w:val="none" w:sz="0" w:space="0" w:color="auto"/>
      </w:divBdr>
    </w:div>
    <w:div w:id="555051146">
      <w:bodyDiv w:val="1"/>
      <w:marLeft w:val="0"/>
      <w:marRight w:val="0"/>
      <w:marTop w:val="0"/>
      <w:marBottom w:val="0"/>
      <w:divBdr>
        <w:top w:val="none" w:sz="0" w:space="0" w:color="auto"/>
        <w:left w:val="none" w:sz="0" w:space="0" w:color="auto"/>
        <w:bottom w:val="none" w:sz="0" w:space="0" w:color="auto"/>
        <w:right w:val="none" w:sz="0" w:space="0" w:color="auto"/>
      </w:divBdr>
    </w:div>
    <w:div w:id="556087178">
      <w:bodyDiv w:val="1"/>
      <w:marLeft w:val="0"/>
      <w:marRight w:val="0"/>
      <w:marTop w:val="0"/>
      <w:marBottom w:val="0"/>
      <w:divBdr>
        <w:top w:val="none" w:sz="0" w:space="0" w:color="auto"/>
        <w:left w:val="none" w:sz="0" w:space="0" w:color="auto"/>
        <w:bottom w:val="none" w:sz="0" w:space="0" w:color="auto"/>
        <w:right w:val="none" w:sz="0" w:space="0" w:color="auto"/>
      </w:divBdr>
    </w:div>
    <w:div w:id="563567232">
      <w:bodyDiv w:val="1"/>
      <w:marLeft w:val="0"/>
      <w:marRight w:val="0"/>
      <w:marTop w:val="0"/>
      <w:marBottom w:val="0"/>
      <w:divBdr>
        <w:top w:val="none" w:sz="0" w:space="0" w:color="auto"/>
        <w:left w:val="none" w:sz="0" w:space="0" w:color="auto"/>
        <w:bottom w:val="none" w:sz="0" w:space="0" w:color="auto"/>
        <w:right w:val="none" w:sz="0" w:space="0" w:color="auto"/>
      </w:divBdr>
    </w:div>
    <w:div w:id="566765248">
      <w:bodyDiv w:val="1"/>
      <w:marLeft w:val="0"/>
      <w:marRight w:val="0"/>
      <w:marTop w:val="0"/>
      <w:marBottom w:val="0"/>
      <w:divBdr>
        <w:top w:val="none" w:sz="0" w:space="0" w:color="auto"/>
        <w:left w:val="none" w:sz="0" w:space="0" w:color="auto"/>
        <w:bottom w:val="none" w:sz="0" w:space="0" w:color="auto"/>
        <w:right w:val="none" w:sz="0" w:space="0" w:color="auto"/>
      </w:divBdr>
    </w:div>
    <w:div w:id="568081624">
      <w:bodyDiv w:val="1"/>
      <w:marLeft w:val="0"/>
      <w:marRight w:val="0"/>
      <w:marTop w:val="0"/>
      <w:marBottom w:val="0"/>
      <w:divBdr>
        <w:top w:val="none" w:sz="0" w:space="0" w:color="auto"/>
        <w:left w:val="none" w:sz="0" w:space="0" w:color="auto"/>
        <w:bottom w:val="none" w:sz="0" w:space="0" w:color="auto"/>
        <w:right w:val="none" w:sz="0" w:space="0" w:color="auto"/>
      </w:divBdr>
    </w:div>
    <w:div w:id="585575036">
      <w:bodyDiv w:val="1"/>
      <w:marLeft w:val="0"/>
      <w:marRight w:val="0"/>
      <w:marTop w:val="0"/>
      <w:marBottom w:val="0"/>
      <w:divBdr>
        <w:top w:val="none" w:sz="0" w:space="0" w:color="auto"/>
        <w:left w:val="none" w:sz="0" w:space="0" w:color="auto"/>
        <w:bottom w:val="none" w:sz="0" w:space="0" w:color="auto"/>
        <w:right w:val="none" w:sz="0" w:space="0" w:color="auto"/>
      </w:divBdr>
    </w:div>
    <w:div w:id="601112492">
      <w:bodyDiv w:val="1"/>
      <w:marLeft w:val="0"/>
      <w:marRight w:val="0"/>
      <w:marTop w:val="0"/>
      <w:marBottom w:val="0"/>
      <w:divBdr>
        <w:top w:val="none" w:sz="0" w:space="0" w:color="auto"/>
        <w:left w:val="none" w:sz="0" w:space="0" w:color="auto"/>
        <w:bottom w:val="none" w:sz="0" w:space="0" w:color="auto"/>
        <w:right w:val="none" w:sz="0" w:space="0" w:color="auto"/>
      </w:divBdr>
    </w:div>
    <w:div w:id="602878140">
      <w:bodyDiv w:val="1"/>
      <w:marLeft w:val="0"/>
      <w:marRight w:val="0"/>
      <w:marTop w:val="0"/>
      <w:marBottom w:val="0"/>
      <w:divBdr>
        <w:top w:val="none" w:sz="0" w:space="0" w:color="auto"/>
        <w:left w:val="none" w:sz="0" w:space="0" w:color="auto"/>
        <w:bottom w:val="none" w:sz="0" w:space="0" w:color="auto"/>
        <w:right w:val="none" w:sz="0" w:space="0" w:color="auto"/>
      </w:divBdr>
    </w:div>
    <w:div w:id="610670251">
      <w:bodyDiv w:val="1"/>
      <w:marLeft w:val="0"/>
      <w:marRight w:val="0"/>
      <w:marTop w:val="0"/>
      <w:marBottom w:val="0"/>
      <w:divBdr>
        <w:top w:val="none" w:sz="0" w:space="0" w:color="auto"/>
        <w:left w:val="none" w:sz="0" w:space="0" w:color="auto"/>
        <w:bottom w:val="none" w:sz="0" w:space="0" w:color="auto"/>
        <w:right w:val="none" w:sz="0" w:space="0" w:color="auto"/>
      </w:divBdr>
    </w:div>
    <w:div w:id="616839054">
      <w:bodyDiv w:val="1"/>
      <w:marLeft w:val="0"/>
      <w:marRight w:val="0"/>
      <w:marTop w:val="0"/>
      <w:marBottom w:val="0"/>
      <w:divBdr>
        <w:top w:val="none" w:sz="0" w:space="0" w:color="auto"/>
        <w:left w:val="none" w:sz="0" w:space="0" w:color="auto"/>
        <w:bottom w:val="none" w:sz="0" w:space="0" w:color="auto"/>
        <w:right w:val="none" w:sz="0" w:space="0" w:color="auto"/>
      </w:divBdr>
    </w:div>
    <w:div w:id="620958341">
      <w:bodyDiv w:val="1"/>
      <w:marLeft w:val="0"/>
      <w:marRight w:val="0"/>
      <w:marTop w:val="0"/>
      <w:marBottom w:val="0"/>
      <w:divBdr>
        <w:top w:val="none" w:sz="0" w:space="0" w:color="auto"/>
        <w:left w:val="none" w:sz="0" w:space="0" w:color="auto"/>
        <w:bottom w:val="none" w:sz="0" w:space="0" w:color="auto"/>
        <w:right w:val="none" w:sz="0" w:space="0" w:color="auto"/>
      </w:divBdr>
    </w:div>
    <w:div w:id="647445447">
      <w:bodyDiv w:val="1"/>
      <w:marLeft w:val="0"/>
      <w:marRight w:val="0"/>
      <w:marTop w:val="0"/>
      <w:marBottom w:val="0"/>
      <w:divBdr>
        <w:top w:val="none" w:sz="0" w:space="0" w:color="auto"/>
        <w:left w:val="none" w:sz="0" w:space="0" w:color="auto"/>
        <w:bottom w:val="none" w:sz="0" w:space="0" w:color="auto"/>
        <w:right w:val="none" w:sz="0" w:space="0" w:color="auto"/>
      </w:divBdr>
    </w:div>
    <w:div w:id="652491856">
      <w:bodyDiv w:val="1"/>
      <w:marLeft w:val="0"/>
      <w:marRight w:val="0"/>
      <w:marTop w:val="0"/>
      <w:marBottom w:val="0"/>
      <w:divBdr>
        <w:top w:val="none" w:sz="0" w:space="0" w:color="auto"/>
        <w:left w:val="none" w:sz="0" w:space="0" w:color="auto"/>
        <w:bottom w:val="none" w:sz="0" w:space="0" w:color="auto"/>
        <w:right w:val="none" w:sz="0" w:space="0" w:color="auto"/>
      </w:divBdr>
    </w:div>
    <w:div w:id="658269102">
      <w:bodyDiv w:val="1"/>
      <w:marLeft w:val="0"/>
      <w:marRight w:val="0"/>
      <w:marTop w:val="0"/>
      <w:marBottom w:val="0"/>
      <w:divBdr>
        <w:top w:val="none" w:sz="0" w:space="0" w:color="auto"/>
        <w:left w:val="none" w:sz="0" w:space="0" w:color="auto"/>
        <w:bottom w:val="none" w:sz="0" w:space="0" w:color="auto"/>
        <w:right w:val="none" w:sz="0" w:space="0" w:color="auto"/>
      </w:divBdr>
    </w:div>
    <w:div w:id="687174631">
      <w:bodyDiv w:val="1"/>
      <w:marLeft w:val="0"/>
      <w:marRight w:val="0"/>
      <w:marTop w:val="0"/>
      <w:marBottom w:val="0"/>
      <w:divBdr>
        <w:top w:val="none" w:sz="0" w:space="0" w:color="auto"/>
        <w:left w:val="none" w:sz="0" w:space="0" w:color="auto"/>
        <w:bottom w:val="none" w:sz="0" w:space="0" w:color="auto"/>
        <w:right w:val="none" w:sz="0" w:space="0" w:color="auto"/>
      </w:divBdr>
    </w:div>
    <w:div w:id="697705266">
      <w:bodyDiv w:val="1"/>
      <w:marLeft w:val="0"/>
      <w:marRight w:val="0"/>
      <w:marTop w:val="0"/>
      <w:marBottom w:val="0"/>
      <w:divBdr>
        <w:top w:val="none" w:sz="0" w:space="0" w:color="auto"/>
        <w:left w:val="none" w:sz="0" w:space="0" w:color="auto"/>
        <w:bottom w:val="none" w:sz="0" w:space="0" w:color="auto"/>
        <w:right w:val="none" w:sz="0" w:space="0" w:color="auto"/>
      </w:divBdr>
    </w:div>
    <w:div w:id="706681750">
      <w:bodyDiv w:val="1"/>
      <w:marLeft w:val="0"/>
      <w:marRight w:val="0"/>
      <w:marTop w:val="0"/>
      <w:marBottom w:val="0"/>
      <w:divBdr>
        <w:top w:val="none" w:sz="0" w:space="0" w:color="auto"/>
        <w:left w:val="none" w:sz="0" w:space="0" w:color="auto"/>
        <w:bottom w:val="none" w:sz="0" w:space="0" w:color="auto"/>
        <w:right w:val="none" w:sz="0" w:space="0" w:color="auto"/>
      </w:divBdr>
    </w:div>
    <w:div w:id="734010506">
      <w:bodyDiv w:val="1"/>
      <w:marLeft w:val="0"/>
      <w:marRight w:val="0"/>
      <w:marTop w:val="0"/>
      <w:marBottom w:val="0"/>
      <w:divBdr>
        <w:top w:val="none" w:sz="0" w:space="0" w:color="auto"/>
        <w:left w:val="none" w:sz="0" w:space="0" w:color="auto"/>
        <w:bottom w:val="none" w:sz="0" w:space="0" w:color="auto"/>
        <w:right w:val="none" w:sz="0" w:space="0" w:color="auto"/>
      </w:divBdr>
    </w:div>
    <w:div w:id="734860381">
      <w:bodyDiv w:val="1"/>
      <w:marLeft w:val="0"/>
      <w:marRight w:val="0"/>
      <w:marTop w:val="0"/>
      <w:marBottom w:val="0"/>
      <w:divBdr>
        <w:top w:val="none" w:sz="0" w:space="0" w:color="auto"/>
        <w:left w:val="none" w:sz="0" w:space="0" w:color="auto"/>
        <w:bottom w:val="none" w:sz="0" w:space="0" w:color="auto"/>
        <w:right w:val="none" w:sz="0" w:space="0" w:color="auto"/>
      </w:divBdr>
    </w:div>
    <w:div w:id="787507342">
      <w:bodyDiv w:val="1"/>
      <w:marLeft w:val="0"/>
      <w:marRight w:val="0"/>
      <w:marTop w:val="0"/>
      <w:marBottom w:val="0"/>
      <w:divBdr>
        <w:top w:val="none" w:sz="0" w:space="0" w:color="auto"/>
        <w:left w:val="none" w:sz="0" w:space="0" w:color="auto"/>
        <w:bottom w:val="none" w:sz="0" w:space="0" w:color="auto"/>
        <w:right w:val="none" w:sz="0" w:space="0" w:color="auto"/>
      </w:divBdr>
    </w:div>
    <w:div w:id="799112060">
      <w:bodyDiv w:val="1"/>
      <w:marLeft w:val="0"/>
      <w:marRight w:val="0"/>
      <w:marTop w:val="0"/>
      <w:marBottom w:val="0"/>
      <w:divBdr>
        <w:top w:val="none" w:sz="0" w:space="0" w:color="auto"/>
        <w:left w:val="none" w:sz="0" w:space="0" w:color="auto"/>
        <w:bottom w:val="none" w:sz="0" w:space="0" w:color="auto"/>
        <w:right w:val="none" w:sz="0" w:space="0" w:color="auto"/>
      </w:divBdr>
    </w:div>
    <w:div w:id="813451170">
      <w:bodyDiv w:val="1"/>
      <w:marLeft w:val="0"/>
      <w:marRight w:val="0"/>
      <w:marTop w:val="0"/>
      <w:marBottom w:val="0"/>
      <w:divBdr>
        <w:top w:val="none" w:sz="0" w:space="0" w:color="auto"/>
        <w:left w:val="none" w:sz="0" w:space="0" w:color="auto"/>
        <w:bottom w:val="none" w:sz="0" w:space="0" w:color="auto"/>
        <w:right w:val="none" w:sz="0" w:space="0" w:color="auto"/>
      </w:divBdr>
    </w:div>
    <w:div w:id="815998707">
      <w:bodyDiv w:val="1"/>
      <w:marLeft w:val="0"/>
      <w:marRight w:val="0"/>
      <w:marTop w:val="0"/>
      <w:marBottom w:val="0"/>
      <w:divBdr>
        <w:top w:val="none" w:sz="0" w:space="0" w:color="auto"/>
        <w:left w:val="none" w:sz="0" w:space="0" w:color="auto"/>
        <w:bottom w:val="none" w:sz="0" w:space="0" w:color="auto"/>
        <w:right w:val="none" w:sz="0" w:space="0" w:color="auto"/>
      </w:divBdr>
    </w:div>
    <w:div w:id="826475401">
      <w:bodyDiv w:val="1"/>
      <w:marLeft w:val="0"/>
      <w:marRight w:val="0"/>
      <w:marTop w:val="0"/>
      <w:marBottom w:val="0"/>
      <w:divBdr>
        <w:top w:val="none" w:sz="0" w:space="0" w:color="auto"/>
        <w:left w:val="none" w:sz="0" w:space="0" w:color="auto"/>
        <w:bottom w:val="none" w:sz="0" w:space="0" w:color="auto"/>
        <w:right w:val="none" w:sz="0" w:space="0" w:color="auto"/>
      </w:divBdr>
    </w:div>
    <w:div w:id="867525569">
      <w:bodyDiv w:val="1"/>
      <w:marLeft w:val="0"/>
      <w:marRight w:val="0"/>
      <w:marTop w:val="0"/>
      <w:marBottom w:val="0"/>
      <w:divBdr>
        <w:top w:val="none" w:sz="0" w:space="0" w:color="auto"/>
        <w:left w:val="none" w:sz="0" w:space="0" w:color="auto"/>
        <w:bottom w:val="none" w:sz="0" w:space="0" w:color="auto"/>
        <w:right w:val="none" w:sz="0" w:space="0" w:color="auto"/>
      </w:divBdr>
    </w:div>
    <w:div w:id="877857950">
      <w:bodyDiv w:val="1"/>
      <w:marLeft w:val="0"/>
      <w:marRight w:val="0"/>
      <w:marTop w:val="0"/>
      <w:marBottom w:val="0"/>
      <w:divBdr>
        <w:top w:val="none" w:sz="0" w:space="0" w:color="auto"/>
        <w:left w:val="none" w:sz="0" w:space="0" w:color="auto"/>
        <w:bottom w:val="none" w:sz="0" w:space="0" w:color="auto"/>
        <w:right w:val="none" w:sz="0" w:space="0" w:color="auto"/>
      </w:divBdr>
    </w:div>
    <w:div w:id="878206345">
      <w:bodyDiv w:val="1"/>
      <w:marLeft w:val="0"/>
      <w:marRight w:val="0"/>
      <w:marTop w:val="0"/>
      <w:marBottom w:val="0"/>
      <w:divBdr>
        <w:top w:val="none" w:sz="0" w:space="0" w:color="auto"/>
        <w:left w:val="none" w:sz="0" w:space="0" w:color="auto"/>
        <w:bottom w:val="none" w:sz="0" w:space="0" w:color="auto"/>
        <w:right w:val="none" w:sz="0" w:space="0" w:color="auto"/>
      </w:divBdr>
    </w:div>
    <w:div w:id="885947212">
      <w:bodyDiv w:val="1"/>
      <w:marLeft w:val="0"/>
      <w:marRight w:val="0"/>
      <w:marTop w:val="0"/>
      <w:marBottom w:val="0"/>
      <w:divBdr>
        <w:top w:val="none" w:sz="0" w:space="0" w:color="auto"/>
        <w:left w:val="none" w:sz="0" w:space="0" w:color="auto"/>
        <w:bottom w:val="none" w:sz="0" w:space="0" w:color="auto"/>
        <w:right w:val="none" w:sz="0" w:space="0" w:color="auto"/>
      </w:divBdr>
    </w:div>
    <w:div w:id="889535986">
      <w:bodyDiv w:val="1"/>
      <w:marLeft w:val="0"/>
      <w:marRight w:val="0"/>
      <w:marTop w:val="0"/>
      <w:marBottom w:val="0"/>
      <w:divBdr>
        <w:top w:val="none" w:sz="0" w:space="0" w:color="auto"/>
        <w:left w:val="none" w:sz="0" w:space="0" w:color="auto"/>
        <w:bottom w:val="none" w:sz="0" w:space="0" w:color="auto"/>
        <w:right w:val="none" w:sz="0" w:space="0" w:color="auto"/>
      </w:divBdr>
    </w:div>
    <w:div w:id="893203605">
      <w:bodyDiv w:val="1"/>
      <w:marLeft w:val="0"/>
      <w:marRight w:val="0"/>
      <w:marTop w:val="0"/>
      <w:marBottom w:val="0"/>
      <w:divBdr>
        <w:top w:val="none" w:sz="0" w:space="0" w:color="auto"/>
        <w:left w:val="none" w:sz="0" w:space="0" w:color="auto"/>
        <w:bottom w:val="none" w:sz="0" w:space="0" w:color="auto"/>
        <w:right w:val="none" w:sz="0" w:space="0" w:color="auto"/>
      </w:divBdr>
    </w:div>
    <w:div w:id="924806537">
      <w:bodyDiv w:val="1"/>
      <w:marLeft w:val="0"/>
      <w:marRight w:val="0"/>
      <w:marTop w:val="0"/>
      <w:marBottom w:val="0"/>
      <w:divBdr>
        <w:top w:val="none" w:sz="0" w:space="0" w:color="auto"/>
        <w:left w:val="none" w:sz="0" w:space="0" w:color="auto"/>
        <w:bottom w:val="none" w:sz="0" w:space="0" w:color="auto"/>
        <w:right w:val="none" w:sz="0" w:space="0" w:color="auto"/>
      </w:divBdr>
    </w:div>
    <w:div w:id="926116035">
      <w:bodyDiv w:val="1"/>
      <w:marLeft w:val="0"/>
      <w:marRight w:val="0"/>
      <w:marTop w:val="0"/>
      <w:marBottom w:val="0"/>
      <w:divBdr>
        <w:top w:val="none" w:sz="0" w:space="0" w:color="auto"/>
        <w:left w:val="none" w:sz="0" w:space="0" w:color="auto"/>
        <w:bottom w:val="none" w:sz="0" w:space="0" w:color="auto"/>
        <w:right w:val="none" w:sz="0" w:space="0" w:color="auto"/>
      </w:divBdr>
    </w:div>
    <w:div w:id="929000175">
      <w:bodyDiv w:val="1"/>
      <w:marLeft w:val="0"/>
      <w:marRight w:val="0"/>
      <w:marTop w:val="0"/>
      <w:marBottom w:val="0"/>
      <w:divBdr>
        <w:top w:val="none" w:sz="0" w:space="0" w:color="auto"/>
        <w:left w:val="none" w:sz="0" w:space="0" w:color="auto"/>
        <w:bottom w:val="none" w:sz="0" w:space="0" w:color="auto"/>
        <w:right w:val="none" w:sz="0" w:space="0" w:color="auto"/>
      </w:divBdr>
    </w:div>
    <w:div w:id="932130066">
      <w:bodyDiv w:val="1"/>
      <w:marLeft w:val="0"/>
      <w:marRight w:val="0"/>
      <w:marTop w:val="0"/>
      <w:marBottom w:val="0"/>
      <w:divBdr>
        <w:top w:val="none" w:sz="0" w:space="0" w:color="auto"/>
        <w:left w:val="none" w:sz="0" w:space="0" w:color="auto"/>
        <w:bottom w:val="none" w:sz="0" w:space="0" w:color="auto"/>
        <w:right w:val="none" w:sz="0" w:space="0" w:color="auto"/>
      </w:divBdr>
    </w:div>
    <w:div w:id="948198557">
      <w:bodyDiv w:val="1"/>
      <w:marLeft w:val="0"/>
      <w:marRight w:val="0"/>
      <w:marTop w:val="0"/>
      <w:marBottom w:val="0"/>
      <w:divBdr>
        <w:top w:val="none" w:sz="0" w:space="0" w:color="auto"/>
        <w:left w:val="none" w:sz="0" w:space="0" w:color="auto"/>
        <w:bottom w:val="none" w:sz="0" w:space="0" w:color="auto"/>
        <w:right w:val="none" w:sz="0" w:space="0" w:color="auto"/>
      </w:divBdr>
    </w:div>
    <w:div w:id="950354503">
      <w:bodyDiv w:val="1"/>
      <w:marLeft w:val="0"/>
      <w:marRight w:val="0"/>
      <w:marTop w:val="0"/>
      <w:marBottom w:val="0"/>
      <w:divBdr>
        <w:top w:val="none" w:sz="0" w:space="0" w:color="auto"/>
        <w:left w:val="none" w:sz="0" w:space="0" w:color="auto"/>
        <w:bottom w:val="none" w:sz="0" w:space="0" w:color="auto"/>
        <w:right w:val="none" w:sz="0" w:space="0" w:color="auto"/>
      </w:divBdr>
    </w:div>
    <w:div w:id="968703806">
      <w:bodyDiv w:val="1"/>
      <w:marLeft w:val="0"/>
      <w:marRight w:val="0"/>
      <w:marTop w:val="0"/>
      <w:marBottom w:val="0"/>
      <w:divBdr>
        <w:top w:val="none" w:sz="0" w:space="0" w:color="auto"/>
        <w:left w:val="none" w:sz="0" w:space="0" w:color="auto"/>
        <w:bottom w:val="none" w:sz="0" w:space="0" w:color="auto"/>
        <w:right w:val="none" w:sz="0" w:space="0" w:color="auto"/>
      </w:divBdr>
    </w:div>
    <w:div w:id="995109321">
      <w:bodyDiv w:val="1"/>
      <w:marLeft w:val="0"/>
      <w:marRight w:val="0"/>
      <w:marTop w:val="0"/>
      <w:marBottom w:val="0"/>
      <w:divBdr>
        <w:top w:val="none" w:sz="0" w:space="0" w:color="auto"/>
        <w:left w:val="none" w:sz="0" w:space="0" w:color="auto"/>
        <w:bottom w:val="none" w:sz="0" w:space="0" w:color="auto"/>
        <w:right w:val="none" w:sz="0" w:space="0" w:color="auto"/>
      </w:divBdr>
    </w:div>
    <w:div w:id="995841854">
      <w:bodyDiv w:val="1"/>
      <w:marLeft w:val="0"/>
      <w:marRight w:val="0"/>
      <w:marTop w:val="0"/>
      <w:marBottom w:val="0"/>
      <w:divBdr>
        <w:top w:val="none" w:sz="0" w:space="0" w:color="auto"/>
        <w:left w:val="none" w:sz="0" w:space="0" w:color="auto"/>
        <w:bottom w:val="none" w:sz="0" w:space="0" w:color="auto"/>
        <w:right w:val="none" w:sz="0" w:space="0" w:color="auto"/>
      </w:divBdr>
    </w:div>
    <w:div w:id="999115788">
      <w:bodyDiv w:val="1"/>
      <w:marLeft w:val="0"/>
      <w:marRight w:val="0"/>
      <w:marTop w:val="0"/>
      <w:marBottom w:val="0"/>
      <w:divBdr>
        <w:top w:val="none" w:sz="0" w:space="0" w:color="auto"/>
        <w:left w:val="none" w:sz="0" w:space="0" w:color="auto"/>
        <w:bottom w:val="none" w:sz="0" w:space="0" w:color="auto"/>
        <w:right w:val="none" w:sz="0" w:space="0" w:color="auto"/>
      </w:divBdr>
    </w:div>
    <w:div w:id="1000542828">
      <w:bodyDiv w:val="1"/>
      <w:marLeft w:val="0"/>
      <w:marRight w:val="0"/>
      <w:marTop w:val="0"/>
      <w:marBottom w:val="0"/>
      <w:divBdr>
        <w:top w:val="none" w:sz="0" w:space="0" w:color="auto"/>
        <w:left w:val="none" w:sz="0" w:space="0" w:color="auto"/>
        <w:bottom w:val="none" w:sz="0" w:space="0" w:color="auto"/>
        <w:right w:val="none" w:sz="0" w:space="0" w:color="auto"/>
      </w:divBdr>
    </w:div>
    <w:div w:id="1015688281">
      <w:bodyDiv w:val="1"/>
      <w:marLeft w:val="0"/>
      <w:marRight w:val="0"/>
      <w:marTop w:val="0"/>
      <w:marBottom w:val="0"/>
      <w:divBdr>
        <w:top w:val="none" w:sz="0" w:space="0" w:color="auto"/>
        <w:left w:val="none" w:sz="0" w:space="0" w:color="auto"/>
        <w:bottom w:val="none" w:sz="0" w:space="0" w:color="auto"/>
        <w:right w:val="none" w:sz="0" w:space="0" w:color="auto"/>
      </w:divBdr>
    </w:div>
    <w:div w:id="1048070424">
      <w:bodyDiv w:val="1"/>
      <w:marLeft w:val="0"/>
      <w:marRight w:val="0"/>
      <w:marTop w:val="0"/>
      <w:marBottom w:val="0"/>
      <w:divBdr>
        <w:top w:val="none" w:sz="0" w:space="0" w:color="auto"/>
        <w:left w:val="none" w:sz="0" w:space="0" w:color="auto"/>
        <w:bottom w:val="none" w:sz="0" w:space="0" w:color="auto"/>
        <w:right w:val="none" w:sz="0" w:space="0" w:color="auto"/>
      </w:divBdr>
    </w:div>
    <w:div w:id="1061708161">
      <w:bodyDiv w:val="1"/>
      <w:marLeft w:val="0"/>
      <w:marRight w:val="0"/>
      <w:marTop w:val="0"/>
      <w:marBottom w:val="0"/>
      <w:divBdr>
        <w:top w:val="none" w:sz="0" w:space="0" w:color="auto"/>
        <w:left w:val="none" w:sz="0" w:space="0" w:color="auto"/>
        <w:bottom w:val="none" w:sz="0" w:space="0" w:color="auto"/>
        <w:right w:val="none" w:sz="0" w:space="0" w:color="auto"/>
      </w:divBdr>
    </w:div>
    <w:div w:id="1069226554">
      <w:bodyDiv w:val="1"/>
      <w:marLeft w:val="0"/>
      <w:marRight w:val="0"/>
      <w:marTop w:val="0"/>
      <w:marBottom w:val="0"/>
      <w:divBdr>
        <w:top w:val="none" w:sz="0" w:space="0" w:color="auto"/>
        <w:left w:val="none" w:sz="0" w:space="0" w:color="auto"/>
        <w:bottom w:val="none" w:sz="0" w:space="0" w:color="auto"/>
        <w:right w:val="none" w:sz="0" w:space="0" w:color="auto"/>
      </w:divBdr>
    </w:div>
    <w:div w:id="1102338310">
      <w:bodyDiv w:val="1"/>
      <w:marLeft w:val="0"/>
      <w:marRight w:val="0"/>
      <w:marTop w:val="0"/>
      <w:marBottom w:val="0"/>
      <w:divBdr>
        <w:top w:val="none" w:sz="0" w:space="0" w:color="auto"/>
        <w:left w:val="none" w:sz="0" w:space="0" w:color="auto"/>
        <w:bottom w:val="none" w:sz="0" w:space="0" w:color="auto"/>
        <w:right w:val="none" w:sz="0" w:space="0" w:color="auto"/>
      </w:divBdr>
    </w:div>
    <w:div w:id="1111972850">
      <w:bodyDiv w:val="1"/>
      <w:marLeft w:val="0"/>
      <w:marRight w:val="0"/>
      <w:marTop w:val="0"/>
      <w:marBottom w:val="0"/>
      <w:divBdr>
        <w:top w:val="none" w:sz="0" w:space="0" w:color="auto"/>
        <w:left w:val="none" w:sz="0" w:space="0" w:color="auto"/>
        <w:bottom w:val="none" w:sz="0" w:space="0" w:color="auto"/>
        <w:right w:val="none" w:sz="0" w:space="0" w:color="auto"/>
      </w:divBdr>
    </w:div>
    <w:div w:id="1113135157">
      <w:bodyDiv w:val="1"/>
      <w:marLeft w:val="0"/>
      <w:marRight w:val="0"/>
      <w:marTop w:val="0"/>
      <w:marBottom w:val="0"/>
      <w:divBdr>
        <w:top w:val="none" w:sz="0" w:space="0" w:color="auto"/>
        <w:left w:val="none" w:sz="0" w:space="0" w:color="auto"/>
        <w:bottom w:val="none" w:sz="0" w:space="0" w:color="auto"/>
        <w:right w:val="none" w:sz="0" w:space="0" w:color="auto"/>
      </w:divBdr>
    </w:div>
    <w:div w:id="1130436093">
      <w:bodyDiv w:val="1"/>
      <w:marLeft w:val="0"/>
      <w:marRight w:val="0"/>
      <w:marTop w:val="0"/>
      <w:marBottom w:val="0"/>
      <w:divBdr>
        <w:top w:val="none" w:sz="0" w:space="0" w:color="auto"/>
        <w:left w:val="none" w:sz="0" w:space="0" w:color="auto"/>
        <w:bottom w:val="none" w:sz="0" w:space="0" w:color="auto"/>
        <w:right w:val="none" w:sz="0" w:space="0" w:color="auto"/>
      </w:divBdr>
    </w:div>
    <w:div w:id="1133248848">
      <w:bodyDiv w:val="1"/>
      <w:marLeft w:val="0"/>
      <w:marRight w:val="0"/>
      <w:marTop w:val="0"/>
      <w:marBottom w:val="0"/>
      <w:divBdr>
        <w:top w:val="none" w:sz="0" w:space="0" w:color="auto"/>
        <w:left w:val="none" w:sz="0" w:space="0" w:color="auto"/>
        <w:bottom w:val="none" w:sz="0" w:space="0" w:color="auto"/>
        <w:right w:val="none" w:sz="0" w:space="0" w:color="auto"/>
      </w:divBdr>
    </w:div>
    <w:div w:id="1153981661">
      <w:bodyDiv w:val="1"/>
      <w:marLeft w:val="0"/>
      <w:marRight w:val="0"/>
      <w:marTop w:val="0"/>
      <w:marBottom w:val="0"/>
      <w:divBdr>
        <w:top w:val="none" w:sz="0" w:space="0" w:color="auto"/>
        <w:left w:val="none" w:sz="0" w:space="0" w:color="auto"/>
        <w:bottom w:val="none" w:sz="0" w:space="0" w:color="auto"/>
        <w:right w:val="none" w:sz="0" w:space="0" w:color="auto"/>
      </w:divBdr>
    </w:div>
    <w:div w:id="1154220180">
      <w:bodyDiv w:val="1"/>
      <w:marLeft w:val="0"/>
      <w:marRight w:val="0"/>
      <w:marTop w:val="0"/>
      <w:marBottom w:val="0"/>
      <w:divBdr>
        <w:top w:val="none" w:sz="0" w:space="0" w:color="auto"/>
        <w:left w:val="none" w:sz="0" w:space="0" w:color="auto"/>
        <w:bottom w:val="none" w:sz="0" w:space="0" w:color="auto"/>
        <w:right w:val="none" w:sz="0" w:space="0" w:color="auto"/>
      </w:divBdr>
    </w:div>
    <w:div w:id="1159005597">
      <w:bodyDiv w:val="1"/>
      <w:marLeft w:val="0"/>
      <w:marRight w:val="0"/>
      <w:marTop w:val="0"/>
      <w:marBottom w:val="0"/>
      <w:divBdr>
        <w:top w:val="none" w:sz="0" w:space="0" w:color="auto"/>
        <w:left w:val="none" w:sz="0" w:space="0" w:color="auto"/>
        <w:bottom w:val="none" w:sz="0" w:space="0" w:color="auto"/>
        <w:right w:val="none" w:sz="0" w:space="0" w:color="auto"/>
      </w:divBdr>
    </w:div>
    <w:div w:id="1163355767">
      <w:bodyDiv w:val="1"/>
      <w:marLeft w:val="0"/>
      <w:marRight w:val="0"/>
      <w:marTop w:val="0"/>
      <w:marBottom w:val="0"/>
      <w:divBdr>
        <w:top w:val="none" w:sz="0" w:space="0" w:color="auto"/>
        <w:left w:val="none" w:sz="0" w:space="0" w:color="auto"/>
        <w:bottom w:val="none" w:sz="0" w:space="0" w:color="auto"/>
        <w:right w:val="none" w:sz="0" w:space="0" w:color="auto"/>
      </w:divBdr>
    </w:div>
    <w:div w:id="1174151913">
      <w:bodyDiv w:val="1"/>
      <w:marLeft w:val="0"/>
      <w:marRight w:val="0"/>
      <w:marTop w:val="0"/>
      <w:marBottom w:val="0"/>
      <w:divBdr>
        <w:top w:val="none" w:sz="0" w:space="0" w:color="auto"/>
        <w:left w:val="none" w:sz="0" w:space="0" w:color="auto"/>
        <w:bottom w:val="none" w:sz="0" w:space="0" w:color="auto"/>
        <w:right w:val="none" w:sz="0" w:space="0" w:color="auto"/>
      </w:divBdr>
    </w:div>
    <w:div w:id="1183665656">
      <w:bodyDiv w:val="1"/>
      <w:marLeft w:val="0"/>
      <w:marRight w:val="0"/>
      <w:marTop w:val="0"/>
      <w:marBottom w:val="0"/>
      <w:divBdr>
        <w:top w:val="none" w:sz="0" w:space="0" w:color="auto"/>
        <w:left w:val="none" w:sz="0" w:space="0" w:color="auto"/>
        <w:bottom w:val="none" w:sz="0" w:space="0" w:color="auto"/>
        <w:right w:val="none" w:sz="0" w:space="0" w:color="auto"/>
      </w:divBdr>
    </w:div>
    <w:div w:id="1186551886">
      <w:bodyDiv w:val="1"/>
      <w:marLeft w:val="0"/>
      <w:marRight w:val="0"/>
      <w:marTop w:val="0"/>
      <w:marBottom w:val="0"/>
      <w:divBdr>
        <w:top w:val="none" w:sz="0" w:space="0" w:color="auto"/>
        <w:left w:val="none" w:sz="0" w:space="0" w:color="auto"/>
        <w:bottom w:val="none" w:sz="0" w:space="0" w:color="auto"/>
        <w:right w:val="none" w:sz="0" w:space="0" w:color="auto"/>
      </w:divBdr>
    </w:div>
    <w:div w:id="1187525377">
      <w:bodyDiv w:val="1"/>
      <w:marLeft w:val="0"/>
      <w:marRight w:val="0"/>
      <w:marTop w:val="0"/>
      <w:marBottom w:val="0"/>
      <w:divBdr>
        <w:top w:val="none" w:sz="0" w:space="0" w:color="auto"/>
        <w:left w:val="none" w:sz="0" w:space="0" w:color="auto"/>
        <w:bottom w:val="none" w:sz="0" w:space="0" w:color="auto"/>
        <w:right w:val="none" w:sz="0" w:space="0" w:color="auto"/>
      </w:divBdr>
    </w:div>
    <w:div w:id="1199703535">
      <w:bodyDiv w:val="1"/>
      <w:marLeft w:val="0"/>
      <w:marRight w:val="0"/>
      <w:marTop w:val="0"/>
      <w:marBottom w:val="0"/>
      <w:divBdr>
        <w:top w:val="none" w:sz="0" w:space="0" w:color="auto"/>
        <w:left w:val="none" w:sz="0" w:space="0" w:color="auto"/>
        <w:bottom w:val="none" w:sz="0" w:space="0" w:color="auto"/>
        <w:right w:val="none" w:sz="0" w:space="0" w:color="auto"/>
      </w:divBdr>
    </w:div>
    <w:div w:id="1213999385">
      <w:bodyDiv w:val="1"/>
      <w:marLeft w:val="0"/>
      <w:marRight w:val="0"/>
      <w:marTop w:val="0"/>
      <w:marBottom w:val="0"/>
      <w:divBdr>
        <w:top w:val="none" w:sz="0" w:space="0" w:color="auto"/>
        <w:left w:val="none" w:sz="0" w:space="0" w:color="auto"/>
        <w:bottom w:val="none" w:sz="0" w:space="0" w:color="auto"/>
        <w:right w:val="none" w:sz="0" w:space="0" w:color="auto"/>
      </w:divBdr>
    </w:div>
    <w:div w:id="1214733308">
      <w:bodyDiv w:val="1"/>
      <w:marLeft w:val="0"/>
      <w:marRight w:val="0"/>
      <w:marTop w:val="0"/>
      <w:marBottom w:val="0"/>
      <w:divBdr>
        <w:top w:val="none" w:sz="0" w:space="0" w:color="auto"/>
        <w:left w:val="none" w:sz="0" w:space="0" w:color="auto"/>
        <w:bottom w:val="none" w:sz="0" w:space="0" w:color="auto"/>
        <w:right w:val="none" w:sz="0" w:space="0" w:color="auto"/>
      </w:divBdr>
    </w:div>
    <w:div w:id="1226070491">
      <w:bodyDiv w:val="1"/>
      <w:marLeft w:val="0"/>
      <w:marRight w:val="0"/>
      <w:marTop w:val="0"/>
      <w:marBottom w:val="0"/>
      <w:divBdr>
        <w:top w:val="none" w:sz="0" w:space="0" w:color="auto"/>
        <w:left w:val="none" w:sz="0" w:space="0" w:color="auto"/>
        <w:bottom w:val="none" w:sz="0" w:space="0" w:color="auto"/>
        <w:right w:val="none" w:sz="0" w:space="0" w:color="auto"/>
      </w:divBdr>
    </w:div>
    <w:div w:id="1249265883">
      <w:bodyDiv w:val="1"/>
      <w:marLeft w:val="0"/>
      <w:marRight w:val="0"/>
      <w:marTop w:val="0"/>
      <w:marBottom w:val="0"/>
      <w:divBdr>
        <w:top w:val="none" w:sz="0" w:space="0" w:color="auto"/>
        <w:left w:val="none" w:sz="0" w:space="0" w:color="auto"/>
        <w:bottom w:val="none" w:sz="0" w:space="0" w:color="auto"/>
        <w:right w:val="none" w:sz="0" w:space="0" w:color="auto"/>
      </w:divBdr>
    </w:div>
    <w:div w:id="1254975137">
      <w:bodyDiv w:val="1"/>
      <w:marLeft w:val="0"/>
      <w:marRight w:val="0"/>
      <w:marTop w:val="0"/>
      <w:marBottom w:val="0"/>
      <w:divBdr>
        <w:top w:val="none" w:sz="0" w:space="0" w:color="auto"/>
        <w:left w:val="none" w:sz="0" w:space="0" w:color="auto"/>
        <w:bottom w:val="none" w:sz="0" w:space="0" w:color="auto"/>
        <w:right w:val="none" w:sz="0" w:space="0" w:color="auto"/>
      </w:divBdr>
    </w:div>
    <w:div w:id="1264411389">
      <w:bodyDiv w:val="1"/>
      <w:marLeft w:val="0"/>
      <w:marRight w:val="0"/>
      <w:marTop w:val="0"/>
      <w:marBottom w:val="0"/>
      <w:divBdr>
        <w:top w:val="none" w:sz="0" w:space="0" w:color="auto"/>
        <w:left w:val="none" w:sz="0" w:space="0" w:color="auto"/>
        <w:bottom w:val="none" w:sz="0" w:space="0" w:color="auto"/>
        <w:right w:val="none" w:sz="0" w:space="0" w:color="auto"/>
      </w:divBdr>
    </w:div>
    <w:div w:id="1278563138">
      <w:bodyDiv w:val="1"/>
      <w:marLeft w:val="0"/>
      <w:marRight w:val="0"/>
      <w:marTop w:val="0"/>
      <w:marBottom w:val="0"/>
      <w:divBdr>
        <w:top w:val="none" w:sz="0" w:space="0" w:color="auto"/>
        <w:left w:val="none" w:sz="0" w:space="0" w:color="auto"/>
        <w:bottom w:val="none" w:sz="0" w:space="0" w:color="auto"/>
        <w:right w:val="none" w:sz="0" w:space="0" w:color="auto"/>
      </w:divBdr>
    </w:div>
    <w:div w:id="1283851567">
      <w:bodyDiv w:val="1"/>
      <w:marLeft w:val="0"/>
      <w:marRight w:val="0"/>
      <w:marTop w:val="0"/>
      <w:marBottom w:val="0"/>
      <w:divBdr>
        <w:top w:val="none" w:sz="0" w:space="0" w:color="auto"/>
        <w:left w:val="none" w:sz="0" w:space="0" w:color="auto"/>
        <w:bottom w:val="none" w:sz="0" w:space="0" w:color="auto"/>
        <w:right w:val="none" w:sz="0" w:space="0" w:color="auto"/>
      </w:divBdr>
    </w:div>
    <w:div w:id="1295216202">
      <w:bodyDiv w:val="1"/>
      <w:marLeft w:val="0"/>
      <w:marRight w:val="0"/>
      <w:marTop w:val="0"/>
      <w:marBottom w:val="0"/>
      <w:divBdr>
        <w:top w:val="none" w:sz="0" w:space="0" w:color="auto"/>
        <w:left w:val="none" w:sz="0" w:space="0" w:color="auto"/>
        <w:bottom w:val="none" w:sz="0" w:space="0" w:color="auto"/>
        <w:right w:val="none" w:sz="0" w:space="0" w:color="auto"/>
      </w:divBdr>
    </w:div>
    <w:div w:id="1298531991">
      <w:bodyDiv w:val="1"/>
      <w:marLeft w:val="0"/>
      <w:marRight w:val="0"/>
      <w:marTop w:val="0"/>
      <w:marBottom w:val="0"/>
      <w:divBdr>
        <w:top w:val="none" w:sz="0" w:space="0" w:color="auto"/>
        <w:left w:val="none" w:sz="0" w:space="0" w:color="auto"/>
        <w:bottom w:val="none" w:sz="0" w:space="0" w:color="auto"/>
        <w:right w:val="none" w:sz="0" w:space="0" w:color="auto"/>
      </w:divBdr>
    </w:div>
    <w:div w:id="1308121631">
      <w:bodyDiv w:val="1"/>
      <w:marLeft w:val="0"/>
      <w:marRight w:val="0"/>
      <w:marTop w:val="0"/>
      <w:marBottom w:val="0"/>
      <w:divBdr>
        <w:top w:val="none" w:sz="0" w:space="0" w:color="auto"/>
        <w:left w:val="none" w:sz="0" w:space="0" w:color="auto"/>
        <w:bottom w:val="none" w:sz="0" w:space="0" w:color="auto"/>
        <w:right w:val="none" w:sz="0" w:space="0" w:color="auto"/>
      </w:divBdr>
    </w:div>
    <w:div w:id="1317566898">
      <w:bodyDiv w:val="1"/>
      <w:marLeft w:val="0"/>
      <w:marRight w:val="0"/>
      <w:marTop w:val="0"/>
      <w:marBottom w:val="0"/>
      <w:divBdr>
        <w:top w:val="none" w:sz="0" w:space="0" w:color="auto"/>
        <w:left w:val="none" w:sz="0" w:space="0" w:color="auto"/>
        <w:bottom w:val="none" w:sz="0" w:space="0" w:color="auto"/>
        <w:right w:val="none" w:sz="0" w:space="0" w:color="auto"/>
      </w:divBdr>
    </w:div>
    <w:div w:id="1330913670">
      <w:bodyDiv w:val="1"/>
      <w:marLeft w:val="0"/>
      <w:marRight w:val="0"/>
      <w:marTop w:val="0"/>
      <w:marBottom w:val="0"/>
      <w:divBdr>
        <w:top w:val="none" w:sz="0" w:space="0" w:color="auto"/>
        <w:left w:val="none" w:sz="0" w:space="0" w:color="auto"/>
        <w:bottom w:val="none" w:sz="0" w:space="0" w:color="auto"/>
        <w:right w:val="none" w:sz="0" w:space="0" w:color="auto"/>
      </w:divBdr>
    </w:div>
    <w:div w:id="1345785519">
      <w:bodyDiv w:val="1"/>
      <w:marLeft w:val="0"/>
      <w:marRight w:val="0"/>
      <w:marTop w:val="0"/>
      <w:marBottom w:val="0"/>
      <w:divBdr>
        <w:top w:val="none" w:sz="0" w:space="0" w:color="auto"/>
        <w:left w:val="none" w:sz="0" w:space="0" w:color="auto"/>
        <w:bottom w:val="none" w:sz="0" w:space="0" w:color="auto"/>
        <w:right w:val="none" w:sz="0" w:space="0" w:color="auto"/>
      </w:divBdr>
    </w:div>
    <w:div w:id="1356690970">
      <w:bodyDiv w:val="1"/>
      <w:marLeft w:val="0"/>
      <w:marRight w:val="0"/>
      <w:marTop w:val="0"/>
      <w:marBottom w:val="0"/>
      <w:divBdr>
        <w:top w:val="none" w:sz="0" w:space="0" w:color="auto"/>
        <w:left w:val="none" w:sz="0" w:space="0" w:color="auto"/>
        <w:bottom w:val="none" w:sz="0" w:space="0" w:color="auto"/>
        <w:right w:val="none" w:sz="0" w:space="0" w:color="auto"/>
      </w:divBdr>
    </w:div>
    <w:div w:id="1356884579">
      <w:bodyDiv w:val="1"/>
      <w:marLeft w:val="0"/>
      <w:marRight w:val="0"/>
      <w:marTop w:val="0"/>
      <w:marBottom w:val="0"/>
      <w:divBdr>
        <w:top w:val="none" w:sz="0" w:space="0" w:color="auto"/>
        <w:left w:val="none" w:sz="0" w:space="0" w:color="auto"/>
        <w:bottom w:val="none" w:sz="0" w:space="0" w:color="auto"/>
        <w:right w:val="none" w:sz="0" w:space="0" w:color="auto"/>
      </w:divBdr>
    </w:div>
    <w:div w:id="1360159176">
      <w:bodyDiv w:val="1"/>
      <w:marLeft w:val="0"/>
      <w:marRight w:val="0"/>
      <w:marTop w:val="0"/>
      <w:marBottom w:val="0"/>
      <w:divBdr>
        <w:top w:val="none" w:sz="0" w:space="0" w:color="auto"/>
        <w:left w:val="none" w:sz="0" w:space="0" w:color="auto"/>
        <w:bottom w:val="none" w:sz="0" w:space="0" w:color="auto"/>
        <w:right w:val="none" w:sz="0" w:space="0" w:color="auto"/>
      </w:divBdr>
    </w:div>
    <w:div w:id="1387222679">
      <w:bodyDiv w:val="1"/>
      <w:marLeft w:val="0"/>
      <w:marRight w:val="0"/>
      <w:marTop w:val="0"/>
      <w:marBottom w:val="0"/>
      <w:divBdr>
        <w:top w:val="none" w:sz="0" w:space="0" w:color="auto"/>
        <w:left w:val="none" w:sz="0" w:space="0" w:color="auto"/>
        <w:bottom w:val="none" w:sz="0" w:space="0" w:color="auto"/>
        <w:right w:val="none" w:sz="0" w:space="0" w:color="auto"/>
      </w:divBdr>
    </w:div>
    <w:div w:id="1389955773">
      <w:bodyDiv w:val="1"/>
      <w:marLeft w:val="0"/>
      <w:marRight w:val="0"/>
      <w:marTop w:val="0"/>
      <w:marBottom w:val="0"/>
      <w:divBdr>
        <w:top w:val="none" w:sz="0" w:space="0" w:color="auto"/>
        <w:left w:val="none" w:sz="0" w:space="0" w:color="auto"/>
        <w:bottom w:val="none" w:sz="0" w:space="0" w:color="auto"/>
        <w:right w:val="none" w:sz="0" w:space="0" w:color="auto"/>
      </w:divBdr>
    </w:div>
    <w:div w:id="1396463854">
      <w:bodyDiv w:val="1"/>
      <w:marLeft w:val="0"/>
      <w:marRight w:val="0"/>
      <w:marTop w:val="0"/>
      <w:marBottom w:val="0"/>
      <w:divBdr>
        <w:top w:val="none" w:sz="0" w:space="0" w:color="auto"/>
        <w:left w:val="none" w:sz="0" w:space="0" w:color="auto"/>
        <w:bottom w:val="none" w:sz="0" w:space="0" w:color="auto"/>
        <w:right w:val="none" w:sz="0" w:space="0" w:color="auto"/>
      </w:divBdr>
    </w:div>
    <w:div w:id="1397312698">
      <w:bodyDiv w:val="1"/>
      <w:marLeft w:val="0"/>
      <w:marRight w:val="0"/>
      <w:marTop w:val="0"/>
      <w:marBottom w:val="0"/>
      <w:divBdr>
        <w:top w:val="none" w:sz="0" w:space="0" w:color="auto"/>
        <w:left w:val="none" w:sz="0" w:space="0" w:color="auto"/>
        <w:bottom w:val="none" w:sz="0" w:space="0" w:color="auto"/>
        <w:right w:val="none" w:sz="0" w:space="0" w:color="auto"/>
      </w:divBdr>
    </w:div>
    <w:div w:id="1403790887">
      <w:bodyDiv w:val="1"/>
      <w:marLeft w:val="0"/>
      <w:marRight w:val="0"/>
      <w:marTop w:val="0"/>
      <w:marBottom w:val="0"/>
      <w:divBdr>
        <w:top w:val="none" w:sz="0" w:space="0" w:color="auto"/>
        <w:left w:val="none" w:sz="0" w:space="0" w:color="auto"/>
        <w:bottom w:val="none" w:sz="0" w:space="0" w:color="auto"/>
        <w:right w:val="none" w:sz="0" w:space="0" w:color="auto"/>
      </w:divBdr>
    </w:div>
    <w:div w:id="1414354213">
      <w:bodyDiv w:val="1"/>
      <w:marLeft w:val="0"/>
      <w:marRight w:val="0"/>
      <w:marTop w:val="0"/>
      <w:marBottom w:val="0"/>
      <w:divBdr>
        <w:top w:val="none" w:sz="0" w:space="0" w:color="auto"/>
        <w:left w:val="none" w:sz="0" w:space="0" w:color="auto"/>
        <w:bottom w:val="none" w:sz="0" w:space="0" w:color="auto"/>
        <w:right w:val="none" w:sz="0" w:space="0" w:color="auto"/>
      </w:divBdr>
    </w:div>
    <w:div w:id="1415083778">
      <w:bodyDiv w:val="1"/>
      <w:marLeft w:val="0"/>
      <w:marRight w:val="0"/>
      <w:marTop w:val="0"/>
      <w:marBottom w:val="0"/>
      <w:divBdr>
        <w:top w:val="none" w:sz="0" w:space="0" w:color="auto"/>
        <w:left w:val="none" w:sz="0" w:space="0" w:color="auto"/>
        <w:bottom w:val="none" w:sz="0" w:space="0" w:color="auto"/>
        <w:right w:val="none" w:sz="0" w:space="0" w:color="auto"/>
      </w:divBdr>
    </w:div>
    <w:div w:id="1445729339">
      <w:bodyDiv w:val="1"/>
      <w:marLeft w:val="0"/>
      <w:marRight w:val="0"/>
      <w:marTop w:val="0"/>
      <w:marBottom w:val="0"/>
      <w:divBdr>
        <w:top w:val="none" w:sz="0" w:space="0" w:color="auto"/>
        <w:left w:val="none" w:sz="0" w:space="0" w:color="auto"/>
        <w:bottom w:val="none" w:sz="0" w:space="0" w:color="auto"/>
        <w:right w:val="none" w:sz="0" w:space="0" w:color="auto"/>
      </w:divBdr>
    </w:div>
    <w:div w:id="1445732991">
      <w:bodyDiv w:val="1"/>
      <w:marLeft w:val="0"/>
      <w:marRight w:val="0"/>
      <w:marTop w:val="0"/>
      <w:marBottom w:val="0"/>
      <w:divBdr>
        <w:top w:val="none" w:sz="0" w:space="0" w:color="auto"/>
        <w:left w:val="none" w:sz="0" w:space="0" w:color="auto"/>
        <w:bottom w:val="none" w:sz="0" w:space="0" w:color="auto"/>
        <w:right w:val="none" w:sz="0" w:space="0" w:color="auto"/>
      </w:divBdr>
    </w:div>
    <w:div w:id="1462309310">
      <w:bodyDiv w:val="1"/>
      <w:marLeft w:val="0"/>
      <w:marRight w:val="0"/>
      <w:marTop w:val="0"/>
      <w:marBottom w:val="0"/>
      <w:divBdr>
        <w:top w:val="none" w:sz="0" w:space="0" w:color="auto"/>
        <w:left w:val="none" w:sz="0" w:space="0" w:color="auto"/>
        <w:bottom w:val="none" w:sz="0" w:space="0" w:color="auto"/>
        <w:right w:val="none" w:sz="0" w:space="0" w:color="auto"/>
      </w:divBdr>
    </w:div>
    <w:div w:id="1463379846">
      <w:bodyDiv w:val="1"/>
      <w:marLeft w:val="0"/>
      <w:marRight w:val="0"/>
      <w:marTop w:val="0"/>
      <w:marBottom w:val="0"/>
      <w:divBdr>
        <w:top w:val="none" w:sz="0" w:space="0" w:color="auto"/>
        <w:left w:val="none" w:sz="0" w:space="0" w:color="auto"/>
        <w:bottom w:val="none" w:sz="0" w:space="0" w:color="auto"/>
        <w:right w:val="none" w:sz="0" w:space="0" w:color="auto"/>
      </w:divBdr>
    </w:div>
    <w:div w:id="1480686818">
      <w:bodyDiv w:val="1"/>
      <w:marLeft w:val="0"/>
      <w:marRight w:val="0"/>
      <w:marTop w:val="0"/>
      <w:marBottom w:val="0"/>
      <w:divBdr>
        <w:top w:val="none" w:sz="0" w:space="0" w:color="auto"/>
        <w:left w:val="none" w:sz="0" w:space="0" w:color="auto"/>
        <w:bottom w:val="none" w:sz="0" w:space="0" w:color="auto"/>
        <w:right w:val="none" w:sz="0" w:space="0" w:color="auto"/>
      </w:divBdr>
    </w:div>
    <w:div w:id="1499273876">
      <w:bodyDiv w:val="1"/>
      <w:marLeft w:val="0"/>
      <w:marRight w:val="0"/>
      <w:marTop w:val="0"/>
      <w:marBottom w:val="0"/>
      <w:divBdr>
        <w:top w:val="none" w:sz="0" w:space="0" w:color="auto"/>
        <w:left w:val="none" w:sz="0" w:space="0" w:color="auto"/>
        <w:bottom w:val="none" w:sz="0" w:space="0" w:color="auto"/>
        <w:right w:val="none" w:sz="0" w:space="0" w:color="auto"/>
      </w:divBdr>
    </w:div>
    <w:div w:id="1508206144">
      <w:bodyDiv w:val="1"/>
      <w:marLeft w:val="0"/>
      <w:marRight w:val="0"/>
      <w:marTop w:val="0"/>
      <w:marBottom w:val="0"/>
      <w:divBdr>
        <w:top w:val="none" w:sz="0" w:space="0" w:color="auto"/>
        <w:left w:val="none" w:sz="0" w:space="0" w:color="auto"/>
        <w:bottom w:val="none" w:sz="0" w:space="0" w:color="auto"/>
        <w:right w:val="none" w:sz="0" w:space="0" w:color="auto"/>
      </w:divBdr>
    </w:div>
    <w:div w:id="1509326620">
      <w:bodyDiv w:val="1"/>
      <w:marLeft w:val="0"/>
      <w:marRight w:val="0"/>
      <w:marTop w:val="0"/>
      <w:marBottom w:val="0"/>
      <w:divBdr>
        <w:top w:val="none" w:sz="0" w:space="0" w:color="auto"/>
        <w:left w:val="none" w:sz="0" w:space="0" w:color="auto"/>
        <w:bottom w:val="none" w:sz="0" w:space="0" w:color="auto"/>
        <w:right w:val="none" w:sz="0" w:space="0" w:color="auto"/>
      </w:divBdr>
    </w:div>
    <w:div w:id="1515459903">
      <w:bodyDiv w:val="1"/>
      <w:marLeft w:val="0"/>
      <w:marRight w:val="0"/>
      <w:marTop w:val="0"/>
      <w:marBottom w:val="0"/>
      <w:divBdr>
        <w:top w:val="none" w:sz="0" w:space="0" w:color="auto"/>
        <w:left w:val="none" w:sz="0" w:space="0" w:color="auto"/>
        <w:bottom w:val="none" w:sz="0" w:space="0" w:color="auto"/>
        <w:right w:val="none" w:sz="0" w:space="0" w:color="auto"/>
      </w:divBdr>
    </w:div>
    <w:div w:id="1558474714">
      <w:bodyDiv w:val="1"/>
      <w:marLeft w:val="0"/>
      <w:marRight w:val="0"/>
      <w:marTop w:val="0"/>
      <w:marBottom w:val="0"/>
      <w:divBdr>
        <w:top w:val="none" w:sz="0" w:space="0" w:color="auto"/>
        <w:left w:val="none" w:sz="0" w:space="0" w:color="auto"/>
        <w:bottom w:val="none" w:sz="0" w:space="0" w:color="auto"/>
        <w:right w:val="none" w:sz="0" w:space="0" w:color="auto"/>
      </w:divBdr>
    </w:div>
    <w:div w:id="1569684153">
      <w:bodyDiv w:val="1"/>
      <w:marLeft w:val="0"/>
      <w:marRight w:val="0"/>
      <w:marTop w:val="0"/>
      <w:marBottom w:val="0"/>
      <w:divBdr>
        <w:top w:val="none" w:sz="0" w:space="0" w:color="auto"/>
        <w:left w:val="none" w:sz="0" w:space="0" w:color="auto"/>
        <w:bottom w:val="none" w:sz="0" w:space="0" w:color="auto"/>
        <w:right w:val="none" w:sz="0" w:space="0" w:color="auto"/>
      </w:divBdr>
    </w:div>
    <w:div w:id="1572957783">
      <w:bodyDiv w:val="1"/>
      <w:marLeft w:val="0"/>
      <w:marRight w:val="0"/>
      <w:marTop w:val="0"/>
      <w:marBottom w:val="0"/>
      <w:divBdr>
        <w:top w:val="none" w:sz="0" w:space="0" w:color="auto"/>
        <w:left w:val="none" w:sz="0" w:space="0" w:color="auto"/>
        <w:bottom w:val="none" w:sz="0" w:space="0" w:color="auto"/>
        <w:right w:val="none" w:sz="0" w:space="0" w:color="auto"/>
      </w:divBdr>
    </w:div>
    <w:div w:id="1591770665">
      <w:bodyDiv w:val="1"/>
      <w:marLeft w:val="0"/>
      <w:marRight w:val="0"/>
      <w:marTop w:val="0"/>
      <w:marBottom w:val="0"/>
      <w:divBdr>
        <w:top w:val="none" w:sz="0" w:space="0" w:color="auto"/>
        <w:left w:val="none" w:sz="0" w:space="0" w:color="auto"/>
        <w:bottom w:val="none" w:sz="0" w:space="0" w:color="auto"/>
        <w:right w:val="none" w:sz="0" w:space="0" w:color="auto"/>
      </w:divBdr>
    </w:div>
    <w:div w:id="1595476663">
      <w:bodyDiv w:val="1"/>
      <w:marLeft w:val="0"/>
      <w:marRight w:val="0"/>
      <w:marTop w:val="0"/>
      <w:marBottom w:val="0"/>
      <w:divBdr>
        <w:top w:val="none" w:sz="0" w:space="0" w:color="auto"/>
        <w:left w:val="none" w:sz="0" w:space="0" w:color="auto"/>
        <w:bottom w:val="none" w:sz="0" w:space="0" w:color="auto"/>
        <w:right w:val="none" w:sz="0" w:space="0" w:color="auto"/>
      </w:divBdr>
    </w:div>
    <w:div w:id="1595891984">
      <w:bodyDiv w:val="1"/>
      <w:marLeft w:val="0"/>
      <w:marRight w:val="0"/>
      <w:marTop w:val="0"/>
      <w:marBottom w:val="0"/>
      <w:divBdr>
        <w:top w:val="none" w:sz="0" w:space="0" w:color="auto"/>
        <w:left w:val="none" w:sz="0" w:space="0" w:color="auto"/>
        <w:bottom w:val="none" w:sz="0" w:space="0" w:color="auto"/>
        <w:right w:val="none" w:sz="0" w:space="0" w:color="auto"/>
      </w:divBdr>
    </w:div>
    <w:div w:id="1596792027">
      <w:bodyDiv w:val="1"/>
      <w:marLeft w:val="0"/>
      <w:marRight w:val="0"/>
      <w:marTop w:val="0"/>
      <w:marBottom w:val="0"/>
      <w:divBdr>
        <w:top w:val="none" w:sz="0" w:space="0" w:color="auto"/>
        <w:left w:val="none" w:sz="0" w:space="0" w:color="auto"/>
        <w:bottom w:val="none" w:sz="0" w:space="0" w:color="auto"/>
        <w:right w:val="none" w:sz="0" w:space="0" w:color="auto"/>
      </w:divBdr>
    </w:div>
    <w:div w:id="1599174400">
      <w:bodyDiv w:val="1"/>
      <w:marLeft w:val="0"/>
      <w:marRight w:val="0"/>
      <w:marTop w:val="0"/>
      <w:marBottom w:val="0"/>
      <w:divBdr>
        <w:top w:val="none" w:sz="0" w:space="0" w:color="auto"/>
        <w:left w:val="none" w:sz="0" w:space="0" w:color="auto"/>
        <w:bottom w:val="none" w:sz="0" w:space="0" w:color="auto"/>
        <w:right w:val="none" w:sz="0" w:space="0" w:color="auto"/>
      </w:divBdr>
    </w:div>
    <w:div w:id="1617448687">
      <w:bodyDiv w:val="1"/>
      <w:marLeft w:val="0"/>
      <w:marRight w:val="0"/>
      <w:marTop w:val="0"/>
      <w:marBottom w:val="0"/>
      <w:divBdr>
        <w:top w:val="none" w:sz="0" w:space="0" w:color="auto"/>
        <w:left w:val="none" w:sz="0" w:space="0" w:color="auto"/>
        <w:bottom w:val="none" w:sz="0" w:space="0" w:color="auto"/>
        <w:right w:val="none" w:sz="0" w:space="0" w:color="auto"/>
      </w:divBdr>
    </w:div>
    <w:div w:id="1626958441">
      <w:bodyDiv w:val="1"/>
      <w:marLeft w:val="0"/>
      <w:marRight w:val="0"/>
      <w:marTop w:val="0"/>
      <w:marBottom w:val="0"/>
      <w:divBdr>
        <w:top w:val="none" w:sz="0" w:space="0" w:color="auto"/>
        <w:left w:val="none" w:sz="0" w:space="0" w:color="auto"/>
        <w:bottom w:val="none" w:sz="0" w:space="0" w:color="auto"/>
        <w:right w:val="none" w:sz="0" w:space="0" w:color="auto"/>
      </w:divBdr>
    </w:div>
    <w:div w:id="1653170759">
      <w:bodyDiv w:val="1"/>
      <w:marLeft w:val="0"/>
      <w:marRight w:val="0"/>
      <w:marTop w:val="0"/>
      <w:marBottom w:val="0"/>
      <w:divBdr>
        <w:top w:val="none" w:sz="0" w:space="0" w:color="auto"/>
        <w:left w:val="none" w:sz="0" w:space="0" w:color="auto"/>
        <w:bottom w:val="none" w:sz="0" w:space="0" w:color="auto"/>
        <w:right w:val="none" w:sz="0" w:space="0" w:color="auto"/>
      </w:divBdr>
    </w:div>
    <w:div w:id="1659383049">
      <w:bodyDiv w:val="1"/>
      <w:marLeft w:val="0"/>
      <w:marRight w:val="0"/>
      <w:marTop w:val="0"/>
      <w:marBottom w:val="0"/>
      <w:divBdr>
        <w:top w:val="none" w:sz="0" w:space="0" w:color="auto"/>
        <w:left w:val="none" w:sz="0" w:space="0" w:color="auto"/>
        <w:bottom w:val="none" w:sz="0" w:space="0" w:color="auto"/>
        <w:right w:val="none" w:sz="0" w:space="0" w:color="auto"/>
      </w:divBdr>
    </w:div>
    <w:div w:id="1663969991">
      <w:bodyDiv w:val="1"/>
      <w:marLeft w:val="0"/>
      <w:marRight w:val="0"/>
      <w:marTop w:val="0"/>
      <w:marBottom w:val="0"/>
      <w:divBdr>
        <w:top w:val="none" w:sz="0" w:space="0" w:color="auto"/>
        <w:left w:val="none" w:sz="0" w:space="0" w:color="auto"/>
        <w:bottom w:val="none" w:sz="0" w:space="0" w:color="auto"/>
        <w:right w:val="none" w:sz="0" w:space="0" w:color="auto"/>
      </w:divBdr>
    </w:div>
    <w:div w:id="1672682622">
      <w:bodyDiv w:val="1"/>
      <w:marLeft w:val="0"/>
      <w:marRight w:val="0"/>
      <w:marTop w:val="0"/>
      <w:marBottom w:val="0"/>
      <w:divBdr>
        <w:top w:val="none" w:sz="0" w:space="0" w:color="auto"/>
        <w:left w:val="none" w:sz="0" w:space="0" w:color="auto"/>
        <w:bottom w:val="none" w:sz="0" w:space="0" w:color="auto"/>
        <w:right w:val="none" w:sz="0" w:space="0" w:color="auto"/>
      </w:divBdr>
    </w:div>
    <w:div w:id="1677610187">
      <w:bodyDiv w:val="1"/>
      <w:marLeft w:val="0"/>
      <w:marRight w:val="0"/>
      <w:marTop w:val="0"/>
      <w:marBottom w:val="0"/>
      <w:divBdr>
        <w:top w:val="none" w:sz="0" w:space="0" w:color="auto"/>
        <w:left w:val="none" w:sz="0" w:space="0" w:color="auto"/>
        <w:bottom w:val="none" w:sz="0" w:space="0" w:color="auto"/>
        <w:right w:val="none" w:sz="0" w:space="0" w:color="auto"/>
      </w:divBdr>
    </w:div>
    <w:div w:id="1692683180">
      <w:bodyDiv w:val="1"/>
      <w:marLeft w:val="0"/>
      <w:marRight w:val="0"/>
      <w:marTop w:val="0"/>
      <w:marBottom w:val="0"/>
      <w:divBdr>
        <w:top w:val="none" w:sz="0" w:space="0" w:color="auto"/>
        <w:left w:val="none" w:sz="0" w:space="0" w:color="auto"/>
        <w:bottom w:val="none" w:sz="0" w:space="0" w:color="auto"/>
        <w:right w:val="none" w:sz="0" w:space="0" w:color="auto"/>
      </w:divBdr>
    </w:div>
    <w:div w:id="1693065060">
      <w:bodyDiv w:val="1"/>
      <w:marLeft w:val="0"/>
      <w:marRight w:val="0"/>
      <w:marTop w:val="0"/>
      <w:marBottom w:val="0"/>
      <w:divBdr>
        <w:top w:val="none" w:sz="0" w:space="0" w:color="auto"/>
        <w:left w:val="none" w:sz="0" w:space="0" w:color="auto"/>
        <w:bottom w:val="none" w:sz="0" w:space="0" w:color="auto"/>
        <w:right w:val="none" w:sz="0" w:space="0" w:color="auto"/>
      </w:divBdr>
    </w:div>
    <w:div w:id="1705903512">
      <w:bodyDiv w:val="1"/>
      <w:marLeft w:val="0"/>
      <w:marRight w:val="0"/>
      <w:marTop w:val="0"/>
      <w:marBottom w:val="0"/>
      <w:divBdr>
        <w:top w:val="none" w:sz="0" w:space="0" w:color="auto"/>
        <w:left w:val="none" w:sz="0" w:space="0" w:color="auto"/>
        <w:bottom w:val="none" w:sz="0" w:space="0" w:color="auto"/>
        <w:right w:val="none" w:sz="0" w:space="0" w:color="auto"/>
      </w:divBdr>
    </w:div>
    <w:div w:id="1720125154">
      <w:bodyDiv w:val="1"/>
      <w:marLeft w:val="0"/>
      <w:marRight w:val="0"/>
      <w:marTop w:val="0"/>
      <w:marBottom w:val="0"/>
      <w:divBdr>
        <w:top w:val="none" w:sz="0" w:space="0" w:color="auto"/>
        <w:left w:val="none" w:sz="0" w:space="0" w:color="auto"/>
        <w:bottom w:val="none" w:sz="0" w:space="0" w:color="auto"/>
        <w:right w:val="none" w:sz="0" w:space="0" w:color="auto"/>
      </w:divBdr>
    </w:div>
    <w:div w:id="1720517065">
      <w:bodyDiv w:val="1"/>
      <w:marLeft w:val="0"/>
      <w:marRight w:val="0"/>
      <w:marTop w:val="0"/>
      <w:marBottom w:val="0"/>
      <w:divBdr>
        <w:top w:val="none" w:sz="0" w:space="0" w:color="auto"/>
        <w:left w:val="none" w:sz="0" w:space="0" w:color="auto"/>
        <w:bottom w:val="none" w:sz="0" w:space="0" w:color="auto"/>
        <w:right w:val="none" w:sz="0" w:space="0" w:color="auto"/>
      </w:divBdr>
    </w:div>
    <w:div w:id="1721630779">
      <w:bodyDiv w:val="1"/>
      <w:marLeft w:val="0"/>
      <w:marRight w:val="0"/>
      <w:marTop w:val="0"/>
      <w:marBottom w:val="0"/>
      <w:divBdr>
        <w:top w:val="none" w:sz="0" w:space="0" w:color="auto"/>
        <w:left w:val="none" w:sz="0" w:space="0" w:color="auto"/>
        <w:bottom w:val="none" w:sz="0" w:space="0" w:color="auto"/>
        <w:right w:val="none" w:sz="0" w:space="0" w:color="auto"/>
      </w:divBdr>
    </w:div>
    <w:div w:id="1744528872">
      <w:bodyDiv w:val="1"/>
      <w:marLeft w:val="0"/>
      <w:marRight w:val="0"/>
      <w:marTop w:val="0"/>
      <w:marBottom w:val="0"/>
      <w:divBdr>
        <w:top w:val="none" w:sz="0" w:space="0" w:color="auto"/>
        <w:left w:val="none" w:sz="0" w:space="0" w:color="auto"/>
        <w:bottom w:val="none" w:sz="0" w:space="0" w:color="auto"/>
        <w:right w:val="none" w:sz="0" w:space="0" w:color="auto"/>
      </w:divBdr>
    </w:div>
    <w:div w:id="1752459813">
      <w:bodyDiv w:val="1"/>
      <w:marLeft w:val="0"/>
      <w:marRight w:val="0"/>
      <w:marTop w:val="0"/>
      <w:marBottom w:val="0"/>
      <w:divBdr>
        <w:top w:val="none" w:sz="0" w:space="0" w:color="auto"/>
        <w:left w:val="none" w:sz="0" w:space="0" w:color="auto"/>
        <w:bottom w:val="none" w:sz="0" w:space="0" w:color="auto"/>
        <w:right w:val="none" w:sz="0" w:space="0" w:color="auto"/>
      </w:divBdr>
    </w:div>
    <w:div w:id="1759910559">
      <w:bodyDiv w:val="1"/>
      <w:marLeft w:val="0"/>
      <w:marRight w:val="0"/>
      <w:marTop w:val="0"/>
      <w:marBottom w:val="0"/>
      <w:divBdr>
        <w:top w:val="none" w:sz="0" w:space="0" w:color="auto"/>
        <w:left w:val="none" w:sz="0" w:space="0" w:color="auto"/>
        <w:bottom w:val="none" w:sz="0" w:space="0" w:color="auto"/>
        <w:right w:val="none" w:sz="0" w:space="0" w:color="auto"/>
      </w:divBdr>
    </w:div>
    <w:div w:id="1766224627">
      <w:bodyDiv w:val="1"/>
      <w:marLeft w:val="0"/>
      <w:marRight w:val="0"/>
      <w:marTop w:val="0"/>
      <w:marBottom w:val="0"/>
      <w:divBdr>
        <w:top w:val="none" w:sz="0" w:space="0" w:color="auto"/>
        <w:left w:val="none" w:sz="0" w:space="0" w:color="auto"/>
        <w:bottom w:val="none" w:sz="0" w:space="0" w:color="auto"/>
        <w:right w:val="none" w:sz="0" w:space="0" w:color="auto"/>
      </w:divBdr>
    </w:div>
    <w:div w:id="1773210189">
      <w:bodyDiv w:val="1"/>
      <w:marLeft w:val="0"/>
      <w:marRight w:val="0"/>
      <w:marTop w:val="0"/>
      <w:marBottom w:val="0"/>
      <w:divBdr>
        <w:top w:val="none" w:sz="0" w:space="0" w:color="auto"/>
        <w:left w:val="none" w:sz="0" w:space="0" w:color="auto"/>
        <w:bottom w:val="none" w:sz="0" w:space="0" w:color="auto"/>
        <w:right w:val="none" w:sz="0" w:space="0" w:color="auto"/>
      </w:divBdr>
    </w:div>
    <w:div w:id="1774668237">
      <w:bodyDiv w:val="1"/>
      <w:marLeft w:val="0"/>
      <w:marRight w:val="0"/>
      <w:marTop w:val="0"/>
      <w:marBottom w:val="0"/>
      <w:divBdr>
        <w:top w:val="none" w:sz="0" w:space="0" w:color="auto"/>
        <w:left w:val="none" w:sz="0" w:space="0" w:color="auto"/>
        <w:bottom w:val="none" w:sz="0" w:space="0" w:color="auto"/>
        <w:right w:val="none" w:sz="0" w:space="0" w:color="auto"/>
      </w:divBdr>
    </w:div>
    <w:div w:id="1781531690">
      <w:bodyDiv w:val="1"/>
      <w:marLeft w:val="0"/>
      <w:marRight w:val="0"/>
      <w:marTop w:val="0"/>
      <w:marBottom w:val="0"/>
      <w:divBdr>
        <w:top w:val="none" w:sz="0" w:space="0" w:color="auto"/>
        <w:left w:val="none" w:sz="0" w:space="0" w:color="auto"/>
        <w:bottom w:val="none" w:sz="0" w:space="0" w:color="auto"/>
        <w:right w:val="none" w:sz="0" w:space="0" w:color="auto"/>
      </w:divBdr>
    </w:div>
    <w:div w:id="1830898173">
      <w:bodyDiv w:val="1"/>
      <w:marLeft w:val="0"/>
      <w:marRight w:val="0"/>
      <w:marTop w:val="0"/>
      <w:marBottom w:val="0"/>
      <w:divBdr>
        <w:top w:val="none" w:sz="0" w:space="0" w:color="auto"/>
        <w:left w:val="none" w:sz="0" w:space="0" w:color="auto"/>
        <w:bottom w:val="none" w:sz="0" w:space="0" w:color="auto"/>
        <w:right w:val="none" w:sz="0" w:space="0" w:color="auto"/>
      </w:divBdr>
    </w:div>
    <w:div w:id="1832327222">
      <w:bodyDiv w:val="1"/>
      <w:marLeft w:val="0"/>
      <w:marRight w:val="0"/>
      <w:marTop w:val="0"/>
      <w:marBottom w:val="0"/>
      <w:divBdr>
        <w:top w:val="none" w:sz="0" w:space="0" w:color="auto"/>
        <w:left w:val="none" w:sz="0" w:space="0" w:color="auto"/>
        <w:bottom w:val="none" w:sz="0" w:space="0" w:color="auto"/>
        <w:right w:val="none" w:sz="0" w:space="0" w:color="auto"/>
      </w:divBdr>
    </w:div>
    <w:div w:id="1834682850">
      <w:bodyDiv w:val="1"/>
      <w:marLeft w:val="0"/>
      <w:marRight w:val="0"/>
      <w:marTop w:val="0"/>
      <w:marBottom w:val="0"/>
      <w:divBdr>
        <w:top w:val="none" w:sz="0" w:space="0" w:color="auto"/>
        <w:left w:val="none" w:sz="0" w:space="0" w:color="auto"/>
        <w:bottom w:val="none" w:sz="0" w:space="0" w:color="auto"/>
        <w:right w:val="none" w:sz="0" w:space="0" w:color="auto"/>
      </w:divBdr>
    </w:div>
    <w:div w:id="1851023747">
      <w:bodyDiv w:val="1"/>
      <w:marLeft w:val="0"/>
      <w:marRight w:val="0"/>
      <w:marTop w:val="0"/>
      <w:marBottom w:val="0"/>
      <w:divBdr>
        <w:top w:val="none" w:sz="0" w:space="0" w:color="auto"/>
        <w:left w:val="none" w:sz="0" w:space="0" w:color="auto"/>
        <w:bottom w:val="none" w:sz="0" w:space="0" w:color="auto"/>
        <w:right w:val="none" w:sz="0" w:space="0" w:color="auto"/>
      </w:divBdr>
    </w:div>
    <w:div w:id="1851992267">
      <w:bodyDiv w:val="1"/>
      <w:marLeft w:val="0"/>
      <w:marRight w:val="0"/>
      <w:marTop w:val="0"/>
      <w:marBottom w:val="0"/>
      <w:divBdr>
        <w:top w:val="none" w:sz="0" w:space="0" w:color="auto"/>
        <w:left w:val="none" w:sz="0" w:space="0" w:color="auto"/>
        <w:bottom w:val="none" w:sz="0" w:space="0" w:color="auto"/>
        <w:right w:val="none" w:sz="0" w:space="0" w:color="auto"/>
      </w:divBdr>
    </w:div>
    <w:div w:id="1853762144">
      <w:bodyDiv w:val="1"/>
      <w:marLeft w:val="0"/>
      <w:marRight w:val="0"/>
      <w:marTop w:val="0"/>
      <w:marBottom w:val="0"/>
      <w:divBdr>
        <w:top w:val="none" w:sz="0" w:space="0" w:color="auto"/>
        <w:left w:val="none" w:sz="0" w:space="0" w:color="auto"/>
        <w:bottom w:val="none" w:sz="0" w:space="0" w:color="auto"/>
        <w:right w:val="none" w:sz="0" w:space="0" w:color="auto"/>
      </w:divBdr>
    </w:div>
    <w:div w:id="1855151043">
      <w:bodyDiv w:val="1"/>
      <w:marLeft w:val="0"/>
      <w:marRight w:val="0"/>
      <w:marTop w:val="0"/>
      <w:marBottom w:val="0"/>
      <w:divBdr>
        <w:top w:val="none" w:sz="0" w:space="0" w:color="auto"/>
        <w:left w:val="none" w:sz="0" w:space="0" w:color="auto"/>
        <w:bottom w:val="none" w:sz="0" w:space="0" w:color="auto"/>
        <w:right w:val="none" w:sz="0" w:space="0" w:color="auto"/>
      </w:divBdr>
    </w:div>
    <w:div w:id="1874804723">
      <w:bodyDiv w:val="1"/>
      <w:marLeft w:val="0"/>
      <w:marRight w:val="0"/>
      <w:marTop w:val="0"/>
      <w:marBottom w:val="0"/>
      <w:divBdr>
        <w:top w:val="none" w:sz="0" w:space="0" w:color="auto"/>
        <w:left w:val="none" w:sz="0" w:space="0" w:color="auto"/>
        <w:bottom w:val="none" w:sz="0" w:space="0" w:color="auto"/>
        <w:right w:val="none" w:sz="0" w:space="0" w:color="auto"/>
      </w:divBdr>
    </w:div>
    <w:div w:id="1916888928">
      <w:bodyDiv w:val="1"/>
      <w:marLeft w:val="0"/>
      <w:marRight w:val="0"/>
      <w:marTop w:val="0"/>
      <w:marBottom w:val="0"/>
      <w:divBdr>
        <w:top w:val="none" w:sz="0" w:space="0" w:color="auto"/>
        <w:left w:val="none" w:sz="0" w:space="0" w:color="auto"/>
        <w:bottom w:val="none" w:sz="0" w:space="0" w:color="auto"/>
        <w:right w:val="none" w:sz="0" w:space="0" w:color="auto"/>
      </w:divBdr>
    </w:div>
    <w:div w:id="1916893418">
      <w:bodyDiv w:val="1"/>
      <w:marLeft w:val="0"/>
      <w:marRight w:val="0"/>
      <w:marTop w:val="0"/>
      <w:marBottom w:val="0"/>
      <w:divBdr>
        <w:top w:val="none" w:sz="0" w:space="0" w:color="auto"/>
        <w:left w:val="none" w:sz="0" w:space="0" w:color="auto"/>
        <w:bottom w:val="none" w:sz="0" w:space="0" w:color="auto"/>
        <w:right w:val="none" w:sz="0" w:space="0" w:color="auto"/>
      </w:divBdr>
    </w:div>
    <w:div w:id="1917590672">
      <w:bodyDiv w:val="1"/>
      <w:marLeft w:val="0"/>
      <w:marRight w:val="0"/>
      <w:marTop w:val="0"/>
      <w:marBottom w:val="0"/>
      <w:divBdr>
        <w:top w:val="none" w:sz="0" w:space="0" w:color="auto"/>
        <w:left w:val="none" w:sz="0" w:space="0" w:color="auto"/>
        <w:bottom w:val="none" w:sz="0" w:space="0" w:color="auto"/>
        <w:right w:val="none" w:sz="0" w:space="0" w:color="auto"/>
      </w:divBdr>
    </w:div>
    <w:div w:id="1920216040">
      <w:bodyDiv w:val="1"/>
      <w:marLeft w:val="0"/>
      <w:marRight w:val="0"/>
      <w:marTop w:val="0"/>
      <w:marBottom w:val="0"/>
      <w:divBdr>
        <w:top w:val="none" w:sz="0" w:space="0" w:color="auto"/>
        <w:left w:val="none" w:sz="0" w:space="0" w:color="auto"/>
        <w:bottom w:val="none" w:sz="0" w:space="0" w:color="auto"/>
        <w:right w:val="none" w:sz="0" w:space="0" w:color="auto"/>
      </w:divBdr>
    </w:div>
    <w:div w:id="1922330023">
      <w:bodyDiv w:val="1"/>
      <w:marLeft w:val="0"/>
      <w:marRight w:val="0"/>
      <w:marTop w:val="0"/>
      <w:marBottom w:val="0"/>
      <w:divBdr>
        <w:top w:val="none" w:sz="0" w:space="0" w:color="auto"/>
        <w:left w:val="none" w:sz="0" w:space="0" w:color="auto"/>
        <w:bottom w:val="none" w:sz="0" w:space="0" w:color="auto"/>
        <w:right w:val="none" w:sz="0" w:space="0" w:color="auto"/>
      </w:divBdr>
    </w:div>
    <w:div w:id="1922986066">
      <w:bodyDiv w:val="1"/>
      <w:marLeft w:val="0"/>
      <w:marRight w:val="0"/>
      <w:marTop w:val="0"/>
      <w:marBottom w:val="0"/>
      <w:divBdr>
        <w:top w:val="none" w:sz="0" w:space="0" w:color="auto"/>
        <w:left w:val="none" w:sz="0" w:space="0" w:color="auto"/>
        <w:bottom w:val="none" w:sz="0" w:space="0" w:color="auto"/>
        <w:right w:val="none" w:sz="0" w:space="0" w:color="auto"/>
      </w:divBdr>
    </w:div>
    <w:div w:id="1935553407">
      <w:bodyDiv w:val="1"/>
      <w:marLeft w:val="0"/>
      <w:marRight w:val="0"/>
      <w:marTop w:val="0"/>
      <w:marBottom w:val="0"/>
      <w:divBdr>
        <w:top w:val="none" w:sz="0" w:space="0" w:color="auto"/>
        <w:left w:val="none" w:sz="0" w:space="0" w:color="auto"/>
        <w:bottom w:val="none" w:sz="0" w:space="0" w:color="auto"/>
        <w:right w:val="none" w:sz="0" w:space="0" w:color="auto"/>
      </w:divBdr>
    </w:div>
    <w:div w:id="1935893973">
      <w:bodyDiv w:val="1"/>
      <w:marLeft w:val="0"/>
      <w:marRight w:val="0"/>
      <w:marTop w:val="0"/>
      <w:marBottom w:val="0"/>
      <w:divBdr>
        <w:top w:val="none" w:sz="0" w:space="0" w:color="auto"/>
        <w:left w:val="none" w:sz="0" w:space="0" w:color="auto"/>
        <w:bottom w:val="none" w:sz="0" w:space="0" w:color="auto"/>
        <w:right w:val="none" w:sz="0" w:space="0" w:color="auto"/>
      </w:divBdr>
    </w:div>
    <w:div w:id="1951275098">
      <w:bodyDiv w:val="1"/>
      <w:marLeft w:val="0"/>
      <w:marRight w:val="0"/>
      <w:marTop w:val="0"/>
      <w:marBottom w:val="0"/>
      <w:divBdr>
        <w:top w:val="none" w:sz="0" w:space="0" w:color="auto"/>
        <w:left w:val="none" w:sz="0" w:space="0" w:color="auto"/>
        <w:bottom w:val="none" w:sz="0" w:space="0" w:color="auto"/>
        <w:right w:val="none" w:sz="0" w:space="0" w:color="auto"/>
      </w:divBdr>
    </w:div>
    <w:div w:id="1957180334">
      <w:bodyDiv w:val="1"/>
      <w:marLeft w:val="0"/>
      <w:marRight w:val="0"/>
      <w:marTop w:val="0"/>
      <w:marBottom w:val="0"/>
      <w:divBdr>
        <w:top w:val="none" w:sz="0" w:space="0" w:color="auto"/>
        <w:left w:val="none" w:sz="0" w:space="0" w:color="auto"/>
        <w:bottom w:val="none" w:sz="0" w:space="0" w:color="auto"/>
        <w:right w:val="none" w:sz="0" w:space="0" w:color="auto"/>
      </w:divBdr>
    </w:div>
    <w:div w:id="1957373522">
      <w:bodyDiv w:val="1"/>
      <w:marLeft w:val="0"/>
      <w:marRight w:val="0"/>
      <w:marTop w:val="0"/>
      <w:marBottom w:val="0"/>
      <w:divBdr>
        <w:top w:val="none" w:sz="0" w:space="0" w:color="auto"/>
        <w:left w:val="none" w:sz="0" w:space="0" w:color="auto"/>
        <w:bottom w:val="none" w:sz="0" w:space="0" w:color="auto"/>
        <w:right w:val="none" w:sz="0" w:space="0" w:color="auto"/>
      </w:divBdr>
    </w:div>
    <w:div w:id="1961909789">
      <w:bodyDiv w:val="1"/>
      <w:marLeft w:val="0"/>
      <w:marRight w:val="0"/>
      <w:marTop w:val="0"/>
      <w:marBottom w:val="0"/>
      <w:divBdr>
        <w:top w:val="none" w:sz="0" w:space="0" w:color="auto"/>
        <w:left w:val="none" w:sz="0" w:space="0" w:color="auto"/>
        <w:bottom w:val="none" w:sz="0" w:space="0" w:color="auto"/>
        <w:right w:val="none" w:sz="0" w:space="0" w:color="auto"/>
      </w:divBdr>
    </w:div>
    <w:div w:id="1980063616">
      <w:bodyDiv w:val="1"/>
      <w:marLeft w:val="0"/>
      <w:marRight w:val="0"/>
      <w:marTop w:val="0"/>
      <w:marBottom w:val="0"/>
      <w:divBdr>
        <w:top w:val="none" w:sz="0" w:space="0" w:color="auto"/>
        <w:left w:val="none" w:sz="0" w:space="0" w:color="auto"/>
        <w:bottom w:val="none" w:sz="0" w:space="0" w:color="auto"/>
        <w:right w:val="none" w:sz="0" w:space="0" w:color="auto"/>
      </w:divBdr>
    </w:div>
    <w:div w:id="1986271463">
      <w:bodyDiv w:val="1"/>
      <w:marLeft w:val="0"/>
      <w:marRight w:val="0"/>
      <w:marTop w:val="0"/>
      <w:marBottom w:val="0"/>
      <w:divBdr>
        <w:top w:val="none" w:sz="0" w:space="0" w:color="auto"/>
        <w:left w:val="none" w:sz="0" w:space="0" w:color="auto"/>
        <w:bottom w:val="none" w:sz="0" w:space="0" w:color="auto"/>
        <w:right w:val="none" w:sz="0" w:space="0" w:color="auto"/>
      </w:divBdr>
    </w:div>
    <w:div w:id="2014990257">
      <w:bodyDiv w:val="1"/>
      <w:marLeft w:val="0"/>
      <w:marRight w:val="0"/>
      <w:marTop w:val="0"/>
      <w:marBottom w:val="0"/>
      <w:divBdr>
        <w:top w:val="none" w:sz="0" w:space="0" w:color="auto"/>
        <w:left w:val="none" w:sz="0" w:space="0" w:color="auto"/>
        <w:bottom w:val="none" w:sz="0" w:space="0" w:color="auto"/>
        <w:right w:val="none" w:sz="0" w:space="0" w:color="auto"/>
      </w:divBdr>
    </w:div>
    <w:div w:id="2015105692">
      <w:bodyDiv w:val="1"/>
      <w:marLeft w:val="0"/>
      <w:marRight w:val="0"/>
      <w:marTop w:val="0"/>
      <w:marBottom w:val="0"/>
      <w:divBdr>
        <w:top w:val="none" w:sz="0" w:space="0" w:color="auto"/>
        <w:left w:val="none" w:sz="0" w:space="0" w:color="auto"/>
        <w:bottom w:val="none" w:sz="0" w:space="0" w:color="auto"/>
        <w:right w:val="none" w:sz="0" w:space="0" w:color="auto"/>
      </w:divBdr>
    </w:div>
    <w:div w:id="2025281963">
      <w:bodyDiv w:val="1"/>
      <w:marLeft w:val="0"/>
      <w:marRight w:val="0"/>
      <w:marTop w:val="0"/>
      <w:marBottom w:val="0"/>
      <w:divBdr>
        <w:top w:val="none" w:sz="0" w:space="0" w:color="auto"/>
        <w:left w:val="none" w:sz="0" w:space="0" w:color="auto"/>
        <w:bottom w:val="none" w:sz="0" w:space="0" w:color="auto"/>
        <w:right w:val="none" w:sz="0" w:space="0" w:color="auto"/>
      </w:divBdr>
    </w:div>
    <w:div w:id="2030914009">
      <w:bodyDiv w:val="1"/>
      <w:marLeft w:val="0"/>
      <w:marRight w:val="0"/>
      <w:marTop w:val="0"/>
      <w:marBottom w:val="0"/>
      <w:divBdr>
        <w:top w:val="none" w:sz="0" w:space="0" w:color="auto"/>
        <w:left w:val="none" w:sz="0" w:space="0" w:color="auto"/>
        <w:bottom w:val="none" w:sz="0" w:space="0" w:color="auto"/>
        <w:right w:val="none" w:sz="0" w:space="0" w:color="auto"/>
      </w:divBdr>
    </w:div>
    <w:div w:id="2039773909">
      <w:bodyDiv w:val="1"/>
      <w:marLeft w:val="0"/>
      <w:marRight w:val="0"/>
      <w:marTop w:val="0"/>
      <w:marBottom w:val="0"/>
      <w:divBdr>
        <w:top w:val="none" w:sz="0" w:space="0" w:color="auto"/>
        <w:left w:val="none" w:sz="0" w:space="0" w:color="auto"/>
        <w:bottom w:val="none" w:sz="0" w:space="0" w:color="auto"/>
        <w:right w:val="none" w:sz="0" w:space="0" w:color="auto"/>
      </w:divBdr>
    </w:div>
    <w:div w:id="2044208383">
      <w:bodyDiv w:val="1"/>
      <w:marLeft w:val="0"/>
      <w:marRight w:val="0"/>
      <w:marTop w:val="0"/>
      <w:marBottom w:val="0"/>
      <w:divBdr>
        <w:top w:val="none" w:sz="0" w:space="0" w:color="auto"/>
        <w:left w:val="none" w:sz="0" w:space="0" w:color="auto"/>
        <w:bottom w:val="none" w:sz="0" w:space="0" w:color="auto"/>
        <w:right w:val="none" w:sz="0" w:space="0" w:color="auto"/>
      </w:divBdr>
    </w:div>
    <w:div w:id="2047172348">
      <w:bodyDiv w:val="1"/>
      <w:marLeft w:val="0"/>
      <w:marRight w:val="0"/>
      <w:marTop w:val="0"/>
      <w:marBottom w:val="0"/>
      <w:divBdr>
        <w:top w:val="none" w:sz="0" w:space="0" w:color="auto"/>
        <w:left w:val="none" w:sz="0" w:space="0" w:color="auto"/>
        <w:bottom w:val="none" w:sz="0" w:space="0" w:color="auto"/>
        <w:right w:val="none" w:sz="0" w:space="0" w:color="auto"/>
      </w:divBdr>
    </w:div>
    <w:div w:id="2073967979">
      <w:bodyDiv w:val="1"/>
      <w:marLeft w:val="0"/>
      <w:marRight w:val="0"/>
      <w:marTop w:val="0"/>
      <w:marBottom w:val="0"/>
      <w:divBdr>
        <w:top w:val="none" w:sz="0" w:space="0" w:color="auto"/>
        <w:left w:val="none" w:sz="0" w:space="0" w:color="auto"/>
        <w:bottom w:val="none" w:sz="0" w:space="0" w:color="auto"/>
        <w:right w:val="none" w:sz="0" w:space="0" w:color="auto"/>
      </w:divBdr>
    </w:div>
    <w:div w:id="2076009710">
      <w:bodyDiv w:val="1"/>
      <w:marLeft w:val="0"/>
      <w:marRight w:val="0"/>
      <w:marTop w:val="0"/>
      <w:marBottom w:val="0"/>
      <w:divBdr>
        <w:top w:val="none" w:sz="0" w:space="0" w:color="auto"/>
        <w:left w:val="none" w:sz="0" w:space="0" w:color="auto"/>
        <w:bottom w:val="none" w:sz="0" w:space="0" w:color="auto"/>
        <w:right w:val="none" w:sz="0" w:space="0" w:color="auto"/>
      </w:divBdr>
    </w:div>
    <w:div w:id="2077896628">
      <w:bodyDiv w:val="1"/>
      <w:marLeft w:val="0"/>
      <w:marRight w:val="0"/>
      <w:marTop w:val="0"/>
      <w:marBottom w:val="0"/>
      <w:divBdr>
        <w:top w:val="none" w:sz="0" w:space="0" w:color="auto"/>
        <w:left w:val="none" w:sz="0" w:space="0" w:color="auto"/>
        <w:bottom w:val="none" w:sz="0" w:space="0" w:color="auto"/>
        <w:right w:val="none" w:sz="0" w:space="0" w:color="auto"/>
      </w:divBdr>
    </w:div>
    <w:div w:id="2083869536">
      <w:bodyDiv w:val="1"/>
      <w:marLeft w:val="0"/>
      <w:marRight w:val="0"/>
      <w:marTop w:val="0"/>
      <w:marBottom w:val="0"/>
      <w:divBdr>
        <w:top w:val="none" w:sz="0" w:space="0" w:color="auto"/>
        <w:left w:val="none" w:sz="0" w:space="0" w:color="auto"/>
        <w:bottom w:val="none" w:sz="0" w:space="0" w:color="auto"/>
        <w:right w:val="none" w:sz="0" w:space="0" w:color="auto"/>
      </w:divBdr>
    </w:div>
    <w:div w:id="2097361370">
      <w:bodyDiv w:val="1"/>
      <w:marLeft w:val="0"/>
      <w:marRight w:val="0"/>
      <w:marTop w:val="0"/>
      <w:marBottom w:val="0"/>
      <w:divBdr>
        <w:top w:val="none" w:sz="0" w:space="0" w:color="auto"/>
        <w:left w:val="none" w:sz="0" w:space="0" w:color="auto"/>
        <w:bottom w:val="none" w:sz="0" w:space="0" w:color="auto"/>
        <w:right w:val="none" w:sz="0" w:space="0" w:color="auto"/>
      </w:divBdr>
    </w:div>
    <w:div w:id="2103406286">
      <w:bodyDiv w:val="1"/>
      <w:marLeft w:val="0"/>
      <w:marRight w:val="0"/>
      <w:marTop w:val="0"/>
      <w:marBottom w:val="0"/>
      <w:divBdr>
        <w:top w:val="none" w:sz="0" w:space="0" w:color="auto"/>
        <w:left w:val="none" w:sz="0" w:space="0" w:color="auto"/>
        <w:bottom w:val="none" w:sz="0" w:space="0" w:color="auto"/>
        <w:right w:val="none" w:sz="0" w:space="0" w:color="auto"/>
      </w:divBdr>
    </w:div>
    <w:div w:id="2111856466">
      <w:bodyDiv w:val="1"/>
      <w:marLeft w:val="0"/>
      <w:marRight w:val="0"/>
      <w:marTop w:val="0"/>
      <w:marBottom w:val="0"/>
      <w:divBdr>
        <w:top w:val="none" w:sz="0" w:space="0" w:color="auto"/>
        <w:left w:val="none" w:sz="0" w:space="0" w:color="auto"/>
        <w:bottom w:val="none" w:sz="0" w:space="0" w:color="auto"/>
        <w:right w:val="none" w:sz="0" w:space="0" w:color="auto"/>
      </w:divBdr>
    </w:div>
    <w:div w:id="2113817700">
      <w:bodyDiv w:val="1"/>
      <w:marLeft w:val="0"/>
      <w:marRight w:val="0"/>
      <w:marTop w:val="0"/>
      <w:marBottom w:val="0"/>
      <w:divBdr>
        <w:top w:val="none" w:sz="0" w:space="0" w:color="auto"/>
        <w:left w:val="none" w:sz="0" w:space="0" w:color="auto"/>
        <w:bottom w:val="none" w:sz="0" w:space="0" w:color="auto"/>
        <w:right w:val="none" w:sz="0" w:space="0" w:color="auto"/>
      </w:divBdr>
    </w:div>
    <w:div w:id="2121795682">
      <w:bodyDiv w:val="1"/>
      <w:marLeft w:val="0"/>
      <w:marRight w:val="0"/>
      <w:marTop w:val="0"/>
      <w:marBottom w:val="0"/>
      <w:divBdr>
        <w:top w:val="none" w:sz="0" w:space="0" w:color="auto"/>
        <w:left w:val="none" w:sz="0" w:space="0" w:color="auto"/>
        <w:bottom w:val="none" w:sz="0" w:space="0" w:color="auto"/>
        <w:right w:val="none" w:sz="0" w:space="0" w:color="auto"/>
      </w:divBdr>
    </w:div>
    <w:div w:id="2126272608">
      <w:bodyDiv w:val="1"/>
      <w:marLeft w:val="0"/>
      <w:marRight w:val="0"/>
      <w:marTop w:val="0"/>
      <w:marBottom w:val="0"/>
      <w:divBdr>
        <w:top w:val="none" w:sz="0" w:space="0" w:color="auto"/>
        <w:left w:val="none" w:sz="0" w:space="0" w:color="auto"/>
        <w:bottom w:val="none" w:sz="0" w:space="0" w:color="auto"/>
        <w:right w:val="none" w:sz="0" w:space="0" w:color="auto"/>
      </w:divBdr>
    </w:div>
    <w:div w:id="2127118348">
      <w:bodyDiv w:val="1"/>
      <w:marLeft w:val="0"/>
      <w:marRight w:val="0"/>
      <w:marTop w:val="0"/>
      <w:marBottom w:val="0"/>
      <w:divBdr>
        <w:top w:val="none" w:sz="0" w:space="0" w:color="auto"/>
        <w:left w:val="none" w:sz="0" w:space="0" w:color="auto"/>
        <w:bottom w:val="none" w:sz="0" w:space="0" w:color="auto"/>
        <w:right w:val="none" w:sz="0" w:space="0" w:color="auto"/>
      </w:divBdr>
    </w:div>
    <w:div w:id="2134865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Cas94</b:Tag>
    <b:SourceType>Book</b:SourceType>
    <b:Guid>{FF452072-F0A6-4B96-8766-0AA1262E6F7F}</b:Guid>
    <b:Title>Travel in the ancient world</b:Title>
    <b:Year>1994</b:Year>
    <b:Publisher>JHU Press.</b:Publisher>
    <b:Author>
      <b:Author>
        <b:NameList>
          <b:Person>
            <b:Last>Casson</b:Last>
            <b:First>L</b:First>
          </b:Person>
        </b:NameList>
      </b:Author>
    </b:Author>
    <b:RefOrder>1</b:RefOrder>
  </b:Source>
  <b:Source>
    <b:Tag>Ber14</b:Tag>
    <b:SourceType>Book</b:SourceType>
    <b:Guid>{318985A1-13F2-4B37-ACF0-4550C31CE41A}</b:Guid>
    <b:Title>The Cultivation and Conceptualization of Exotic Plants in the Greek and Roman Worlds.</b:Title>
    <b:Year>2014</b:Year>
    <b:Author>
      <b:Author>
        <b:NameList>
          <b:Person>
            <b:Last>Bertoni</b:Last>
            <b:First>D.B.</b:First>
          </b:Person>
        </b:NameList>
      </b:Author>
    </b:Author>
    <b:City>Harvard</b:City>
    <b:Publisher>Harvard University</b:Publisher>
    <b:RefOrder>2</b:RefOrder>
  </b:Source>
  <b:Source>
    <b:Tag>Boy75</b:Tag>
    <b:SourceType>JournalArticle</b:SourceType>
    <b:Guid>{92452106-99DE-4735-9043-6F11A9952F79}</b:Guid>
    <b:Title>On the Zoroastrian temple cult of fire</b:Title>
    <b:JournalName>Journal of the American Oriental Society</b:JournalName>
    <b:Year>1975</b:Year>
    <b:Pages>454-465</b:Pages>
    <b:Author>
      <b:Author>
        <b:NameList>
          <b:Person>
            <b:Last>Boyce</b:Last>
            <b:First>M</b:First>
          </b:Person>
        </b:NameList>
      </b:Author>
    </b:Author>
    <b:RefOrder>3</b:RefOrder>
  </b:Source>
  <b:Source>
    <b:Tag>Boy96</b:Tag>
    <b:SourceType>Book</b:SourceType>
    <b:Guid>{C9C3CCD7-1825-483C-B53B-2A33F002A47C}</b:Guid>
    <b:Title>A History of Zoroastrianism: The early period (Vol. 1)</b:Title>
    <b:Year>1996</b:Year>
    <b:Publisher>Brill</b:Publisher>
    <b:Author>
      <b:Author>
        <b:NameList>
          <b:Person>
            <b:Last>Boyce</b:Last>
            <b:First>M. ed.</b:First>
          </b:Person>
        </b:NameList>
      </b:Author>
    </b:Author>
    <b:RefOrder>4</b:RefOrder>
  </b:Source>
  <b:Source>
    <b:Tag>Cor16</b:Tag>
    <b:SourceType>JournalArticle</b:SourceType>
    <b:Guid>{96D2FA75-FE34-4904-B613-C393A2E58996}</b:Guid>
    <b:Title>Borges, the Magi and Persian Histories</b:Title>
    <b:JournalName>Variaciones Borges: revista del Centro de Estudios y Documentación Jorge Luis Borges</b:JournalName>
    <b:Year>2016</b:Year>
    <b:Pages>27-40</b:Pages>
    <b:Volume>41</b:Volume>
    <b:Author>
      <b:Author>
        <b:NameList>
          <b:Person>
            <b:Last>Corwin</b:Last>
            <b:First>J</b:First>
          </b:Person>
        </b:NameList>
      </b:Author>
    </b:Author>
    <b:RefOrder>5</b:RefOrder>
  </b:Source>
  <b:Source>
    <b:Tag>Hal69</b:Tag>
    <b:SourceType>Book</b:SourceType>
    <b:Guid>{9A2B1324-D7E5-4CEB-BFBF-7406E160C99D}</b:Guid>
    <b:Title>Persepolis fortification tablets (Vol. 92)</b:Title>
    <b:Year>1969</b:Year>
    <b:City>University of Chicago Press.</b:City>
    <b:Author>
      <b:Author>
        <b:NameList>
          <b:Person>
            <b:Last>Hallock</b:Last>
            <b:First>R.T</b:First>
          </b:Person>
        </b:NameList>
      </b:Author>
    </b:Author>
    <b:RefOrder>6</b:RefOrder>
  </b:Source>
  <b:Source>
    <b:Tag>Kar98</b:Tag>
    <b:SourceType>JournalArticle</b:SourceType>
    <b:Guid>{B924E65D-79FC-4FB1-87A3-323FB1A3FBFE}</b:Guid>
    <b:Title>Iranica heirloom: Persian literature</b:Title>
    <b:Year>1998</b:Year>
    <b:JournalName>Iranian Studies</b:JournalName>
    <b:Pages>527-542</b:Pages>
    <b:Volume>31</b:Volume>
    <b:Author>
      <b:Author>
        <b:NameList>
          <b:Person>
            <b:Last>Karimi‐Hakkak</b:Last>
            <b:First>A</b:First>
          </b:Person>
        </b:NameList>
      </b:Author>
    </b:Author>
    <b:RefOrder>7</b:RefOrder>
  </b:Source>
  <b:Source>
    <b:Tag>Kha98</b:Tag>
    <b:SourceType>Book</b:SourceType>
    <b:Guid>{9627A9BC-7324-45F7-BBFF-E9267BF77A2B}</b:Guid>
    <b:Title>The Persian garden: echoes of paradise</b:Title>
    <b:Year>1998</b:Year>
    <b:Author>
      <b:Author>
        <b:NameList>
          <b:Person>
            <b:Last>Khansari</b:Last>
            <b:First>M</b:First>
          </b:Person>
          <b:Person>
            <b:Last>Moghtader</b:Last>
            <b:First>M.R</b:First>
          </b:Person>
          <b:Person>
            <b:Last>Yavari</b:Last>
            <b:First>M</b:First>
          </b:Person>
        </b:NameList>
      </b:Author>
    </b:Author>
    <b:City>Washington, DC</b:City>
    <b:Publisher>Mage Publishers</b:Publisher>
    <b:RefOrder>8</b:RefOrder>
  </b:Source>
  <b:Source>
    <b:Tag>Mah16</b:Tag>
    <b:SourceType>JournalArticle</b:SourceType>
    <b:Guid>{5528E9C7-4FA7-43D3-B753-9033BDF2A4EB}</b:Guid>
    <b:Title>Persian gardens: Meanings, symbolism, and design</b:Title>
    <b:JournalName>Landscape online</b:JournalName>
    <b:Year>2016</b:Year>
    <b:Pages>1-19</b:Pages>
    <b:Volume>46</b:Volume>
    <b:Author>
      <b:Author>
        <b:NameList>
          <b:Person>
            <b:Last>Mahmoudi Farahani</b:Last>
            <b:First>L</b:First>
          </b:Person>
          <b:Person>
            <b:Last>Motamed</b:Last>
            <b:First>B</b:First>
          </b:Person>
          <b:Person>
            <b:Last>Jamei</b:Last>
            <b:First>E</b:First>
          </b:Person>
        </b:NameList>
      </b:Author>
    </b:Author>
    <b:RefOrder>9</b:RefOrder>
  </b:Source>
  <b:Source>
    <b:Tag>Mal83</b:Tag>
    <b:SourceType>Book</b:SourceType>
    <b:Guid>{5D8100BD-548E-46F4-89F7-6212FCBC1C0B}</b:Guid>
    <b:Title>An introduction to ancient Iranian religion: Readings from the Avesta and Achaemenid inscriptions (Vol. 2)</b:Title>
    <b:Year>1983</b:Year>
    <b:City>Minnesota</b:City>
    <b:Publisher>University of Minnesota Press</b:Publisher>
    <b:Author>
      <b:Author>
        <b:NameList>
          <b:Person>
            <b:Last>Malandra</b:Last>
            <b:First>W.W. ed.</b:First>
          </b:Person>
        </b:NameList>
      </b:Author>
    </b:Author>
    <b:RefOrder>10</b:RefOrder>
  </b:Source>
  <b:Source>
    <b:Tag>Mal72</b:Tag>
    <b:SourceType>Book</b:SourceType>
    <b:Guid>{B4BC68E5-CEF7-45FF-B3E6-E9F900D32557}</b:Guid>
    <b:Title>Cyrus the Great (558–529 BC)</b:Title>
    <b:Year>1972</b:Year>
    <b:City>Iran</b:City>
    <b:Edition>10(1)</b:Edition>
    <b:Author>
      <b:Author>
        <b:NameList>
          <b:Person>
            <b:Last>Mallowan</b:Last>
            <b:First>M</b:First>
          </b:Person>
        </b:NameList>
      </b:Author>
    </b:Author>
    <b:RefOrder>11</b:RefOrder>
  </b:Source>
  <b:Source>
    <b:Tag>Mar96</b:Tag>
    <b:SourceType>BookSection</b:SourceType>
    <b:Guid>{FC626F22-6F99-4493-8B7B-256EF30A21AC}</b:Guid>
    <b:Title>On the cultural ecology of sky burial on the Himalayan Plateau</b:Title>
    <b:Year>1996</b:Year>
    <b:Author>
      <b:Author>
        <b:NameList>
          <b:Person>
            <b:Last>Martin</b:Last>
            <b:First>D</b:First>
          </b:Person>
        </b:NameList>
      </b:Author>
    </b:Author>
    <b:BookTitle>East and West</b:BookTitle>
    <b:Pages>353-370</b:Pages>
    <b:RefOrder>12</b:RefOrder>
  </b:Source>
  <b:Source>
    <b:Tag>Vog98</b:Tag>
    <b:SourceType>JournalArticle</b:SourceType>
    <b:Guid>{0E3C9C39-4457-4C8F-A048-19B5A1F2E34A}</b:Guid>
    <b:Title>Medes, Scythians and Persians: The Rise of Darius in a North–South Perspective</b:Title>
    <b:JournalName>Iranica antiqua</b:JournalName>
    <b:Year>1998</b:Year>
    <b:Pages>195-224</b:Pages>
    <b:Volume>33</b:Volume>
    <b:Author>
      <b:Author>
        <b:NameList>
          <b:Person>
            <b:Last>Vogelsang</b:Last>
            <b:First>W</b:First>
          </b:Person>
        </b:NameList>
      </b:Author>
    </b:Author>
    <b:RefOrder>13</b:RefOrder>
  </b:Source>
  <b:Source>
    <b:Tag>Wie07</b:Tag>
    <b:SourceType>BookSection</b:SourceType>
    <b:Guid>{089BED7F-041E-486D-95A7-A404422528F1}</b:Guid>
    <b:Title>From Achaemenid imperial order to Sasanian diplomacy: war, peace, and reconciliation in pre-Islamic Iran</b:Title>
    <b:Year>2007</b:Year>
    <b:Author>
      <b:Author>
        <b:NameList>
          <b:Person>
            <b:Last>Wiesehöfer</b:Last>
            <b:First>J</b:First>
          </b:Person>
        </b:NameList>
      </b:Author>
    </b:Author>
    <b:BookTitle>War and Peace in the Ancient World</b:BookTitle>
    <b:Pages>121-140</b:Pages>
    <b:RefOrder>14</b:RefOrder>
  </b:Source>
  <b:Source>
    <b:Tag>Coh01</b:Tag>
    <b:SourceType>JournalArticle</b:SourceType>
    <b:Guid>{EEE00532-8296-4D88-80A2-B6CD7A2D86F8}</b:Guid>
    <b:Title>The great tradition: The spread of diplomacy in the ancient world</b:Title>
    <b:Year>2001</b:Year>
    <b:Pages>23-38</b:Pages>
    <b:Author>
      <b:Author>
        <b:NameList>
          <b:Person>
            <b:Last>Cohen</b:Last>
            <b:First>R</b:First>
          </b:Person>
        </b:NameList>
      </b:Author>
    </b:Author>
    <b:JournalName>Diplomacy and Statecraft</b:JournalName>
    <b:Volume>12</b:Volume>
    <b:Issue>1`</b:Issue>
    <b:RefOrder>15</b:RefOrder>
  </b:Source>
  <b:Source>
    <b:Tag>Run15</b:Tag>
    <b:SourceType>JournalArticle</b:SourceType>
    <b:Guid>{6BB10D47-21AA-4701-ACA1-DBA1857FBDBC}</b:Guid>
    <b:Title>The Language of the Achaemenid Imperial Diplomacy towards the Greeks: The Meaning of Earth and Water. Klio, 97(2), pp.503-515.</b:Title>
    <b:JournalName>Klio</b:JournalName>
    <b:Year>2015</b:Year>
    <b:Pages>503-515</b:Pages>
    <b:Volume>97</b:Volume>
    <b:Issue>2</b:Issue>
    <b:Author>
      <b:Author>
        <b:NameList>
          <b:Person>
            <b:Last>Rung</b:Last>
            <b:First>E</b:First>
          </b:Person>
        </b:NameList>
      </b:Author>
    </b:Author>
    <b:RefOrder>16</b:RefOrder>
  </b:Source>
  <b:Source>
    <b:Tag>Nev01</b:Tag>
    <b:SourceType>Book</b:SourceType>
    <b:Guid>{FED4487D-312E-419F-AFBD-5D2AEE88A58F}</b:Guid>
    <b:Title>House and society in the ancient Greek world</b:Title>
    <b:Year>2001</b:Year>
    <b:Author>
      <b:Author>
        <b:NameList>
          <b:Person>
            <b:Last>Nevett</b:Last>
            <b:First>L.C</b:First>
          </b:Person>
        </b:NameList>
      </b:Author>
    </b:Author>
    <b:City>Cambridge</b:City>
    <b:Publisher>Cambridge University Press</b:Publisher>
    <b:RefOrder>17</b:RefOrder>
  </b:Source>
  <b:Source>
    <b:Tag>Bri02</b:Tag>
    <b:SourceType>Book</b:SourceType>
    <b:Guid>{CE2271EB-AC88-4987-BA2B-49A74CE57D36}</b:Guid>
    <b:Title>From Cyrus to Alexander: a history of the Persian Empire</b:Title>
    <b:Year>2002</b:Year>
    <b:Publisher>Eisenbrauns</b:Publisher>
    <b:Author>
      <b:Author>
        <b:NameList>
          <b:Person>
            <b:Last>Briant</b:Last>
            <b:First>P</b:First>
          </b:Person>
        </b:NameList>
      </b:Author>
    </b:Author>
    <b:RefOrder>18</b:RefOrder>
  </b:Source>
  <b:Source>
    <b:Tag>Nem98</b:Tag>
    <b:SourceType>Book</b:SourceType>
    <b:Guid>{02C05EFE-D0D4-41F0-B347-C0E454099A1C}</b:Guid>
    <b:Title>Daily life in ancient Mesopotamia</b:Title>
    <b:Year>1998</b:Year>
    <b:Publisher>Greenwood Publishing Group</b:Publisher>
    <b:Author>
      <b:Author>
        <b:NameList>
          <b:Person>
            <b:Last>Nemet-Nejat</b:Last>
            <b:First>K.R.</b:First>
          </b:Person>
        </b:NameList>
      </b:Author>
    </b:Author>
    <b:RefOrder>19</b:RefOrder>
  </b:Source>
  <b:Source>
    <b:Tag>Fis84</b:Tag>
    <b:SourceType>Book</b:SourceType>
    <b:Guid>{43ED3C5D-753C-4332-80F9-EE30D856D89C}</b:Guid>
    <b:Title>Women in the Ancient World</b:Title>
    <b:Year>1984</b:Year>
    <b:Author>
      <b:Author>
        <b:NameList>
          <b:Person>
            <b:Last>Fisher</b:Last>
            <b:First>N.R.E.</b:First>
          </b:Person>
        </b:NameList>
      </b:Author>
    </b:Author>
    <b:RefOrder>20</b:RefOrder>
  </b:Source>
  <b:Source>
    <b:Tag>Mau02</b:Tag>
    <b:SourceType>Book</b:SourceType>
    <b:Guid>{89BDA000-781B-490B-A6D7-ED4922A2DCC0}</b:Guid>
    <b:Title>The gift: The form and reason for exchange in archaic societies</b:Title>
    <b:Year>2002.</b:Year>
    <b:Publisher>Routledge</b:Publisher>
    <b:Author>
      <b:Author>
        <b:NameList>
          <b:Person>
            <b:Last>Mauss</b:Last>
            <b:First>M</b:First>
          </b:Person>
        </b:NameList>
      </b:Author>
    </b:Author>
    <b:RefOrder>21</b:RefOrder>
  </b:Source>
  <b:Source>
    <b:Tag>Mos73</b:Tag>
    <b:SourceType>Book</b:SourceType>
    <b:Guid>{D2AC9980-3DF0-4134-9FAE-F3A6D3C7E6C4}</b:Guid>
    <b:Title>Envoys and diplomacy in ancient Greece (Vol. 22)</b:Title>
    <b:Year>1973</b:Year>
    <b:Publisher>Steiner</b:Publisher>
    <b:Author>
      <b:Author>
        <b:NameList>
          <b:Person>
            <b:Last>Mosley</b:Last>
            <b:First>D.J</b:First>
          </b:Person>
        </b:NameList>
      </b:Author>
    </b:Author>
    <b:RefOrder>22</b:RefOrder>
  </b:Source>
  <b:Source>
    <b:Tag>Phi11</b:Tag>
    <b:SourceType>Book</b:SourceType>
    <b:Guid>{B55BF05D-7BBA-4877-8D17-60CD5A94FC09}</b:Guid>
    <b:Title>The international law and custom of ancient Greece and Rome (Vol. 1)</b:Title>
    <b:Year>1911</b:Year>
    <b:Publisher>Macmillan and Company, limited.</b:Publisher>
    <b:Author>
      <b:Author>
        <b:NameList>
          <b:Person>
            <b:Last>Phillipson</b:Last>
            <b:First>C</b:First>
          </b:Person>
        </b:NameList>
      </b:Author>
    </b:Author>
    <b:RefOrder>23</b:RefOrder>
  </b:Source>
  <b:Source>
    <b:Tag>Hea</b:Tag>
    <b:SourceType>JournalArticle</b:SourceType>
    <b:Guid>{54B91D9B-1303-4069-AECB-D700F161AAF5}</b:Guid>
    <b:Title>Fischer Thomas: Molon und seine Münzen (222–220 v. Chr)(mit Aufnahmen von I. Berndt).(Kleine Hefte der Münzsammlung an der Ruhr-Universität Bochum, 9.) Pp. 30; 9 illustrations (in text) and 1 map. Bochum: Studienverlag Dr Norbert Brockmeyer, 1988 Paper DM</b:Title>
    <b:Author>
      <b:Author>
        <b:NameList>
          <b:Person>
            <b:Last>Healy</b:Last>
            <b:First>J.F.</b:First>
          </b:Person>
        </b:NameList>
      </b:Author>
    </b:Author>
    <b:JournalName>The Classical Review</b:JournalName>
    <b:Year>1990</b:Year>
    <b:Pages>518</b:Pages>
    <b:Volume>40</b:Volume>
    <b:Issue>2</b:Issue>
    <b:RefOrder>24</b:RefOrder>
  </b:Source>
  <b:Source>
    <b:Tag>Kag95</b:Tag>
    <b:SourceType>Book</b:SourceType>
    <b:Guid>{1405CF75-F580-4DAD-9AD4-9A6C1B4D0263}</b:Guid>
    <b:Title>On the Origins of War and the Preservation of Peace</b:Title>
    <b:Year>1995</b:Year>
    <b:City>New York</b:City>
    <b:Author>
      <b:Author>
        <b:NameList>
          <b:Person>
            <b:Last>Kagan</b:Last>
            <b:First>D</b:First>
          </b:Person>
        </b:NameList>
      </b:Author>
    </b:Author>
    <b:RefOrder>25</b:RefOrder>
  </b:Source>
  <b:Source>
    <b:Tag>Jon99</b:Tag>
    <b:SourceType>Book</b:SourceType>
    <b:Guid>{5F317950-6347-4447-9DFB-1797104A3905}</b:Guid>
    <b:Title>Kinship diplomacy in the ancient world (Vol. 12)</b:Title>
    <b:Year>1999</b:Year>
    <b:City>Harvard</b:City>
    <b:Publisher>Harvard University Press</b:Publisher>
    <b:Author>
      <b:Author>
        <b:NameList>
          <b:Person>
            <b:Last>Jones</b:Last>
            <b:First>C.P</b:First>
          </b:Person>
        </b:NameList>
      </b:Author>
    </b:Author>
    <b:RefOrder>26</b:RefOrder>
  </b:Source>
</b:Sources>
</file>

<file path=customXml/itemProps1.xml><?xml version="1.0" encoding="utf-8"?>
<ds:datastoreItem xmlns:ds="http://schemas.openxmlformats.org/officeDocument/2006/customXml" ds:itemID="{EB5DB339-A24E-4F16-975F-283D161FE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2018-05-01T22:51:00Z</dcterms:created>
  <dcterms:modified xsi:type="dcterms:W3CDTF">2018-05-01T22:51:00Z</dcterms:modified>
</cp:coreProperties>
</file>