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07C" w:rsidRPr="00116790" w:rsidRDefault="00FF3A32" w:rsidP="00BB607C">
      <w:pPr>
        <w:pStyle w:val="NormalWeb"/>
        <w:rPr>
          <w:rFonts w:ascii="Calibri" w:hAnsi="Calibri" w:cs="Arial"/>
          <w:color w:val="003366"/>
          <w:sz w:val="28"/>
          <w:szCs w:val="28"/>
        </w:rPr>
      </w:pPr>
      <w:r w:rsidRPr="00116790">
        <w:rPr>
          <w:rFonts w:ascii="Calibri" w:hAnsi="Calibri"/>
          <w:noProof/>
          <w:sz w:val="28"/>
          <w:szCs w:val="28"/>
        </w:rPr>
        <w:drawing>
          <wp:inline distT="0" distB="0" distL="0" distR="0">
            <wp:extent cx="5731510" cy="2145485"/>
            <wp:effectExtent l="19050" t="0" r="2540" b="0"/>
            <wp:docPr id="2" name="Picture 1" descr="No Beasts for draught but Oxen | Anglo saxon, Medieval art, Sax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Beasts for draught but Oxen | Anglo saxon, Medieval art, Saxon"/>
                    <pic:cNvPicPr>
                      <a:picLocks noChangeAspect="1" noChangeArrowheads="1"/>
                    </pic:cNvPicPr>
                  </pic:nvPicPr>
                  <pic:blipFill>
                    <a:blip r:embed="rId7" cstate="print"/>
                    <a:srcRect/>
                    <a:stretch>
                      <a:fillRect/>
                    </a:stretch>
                  </pic:blipFill>
                  <pic:spPr bwMode="auto">
                    <a:xfrm>
                      <a:off x="0" y="0"/>
                      <a:ext cx="5731510" cy="2145485"/>
                    </a:xfrm>
                    <a:prstGeom prst="rect">
                      <a:avLst/>
                    </a:prstGeom>
                    <a:noFill/>
                    <a:ln w="9525">
                      <a:noFill/>
                      <a:miter lim="800000"/>
                      <a:headEnd/>
                      <a:tailEnd/>
                    </a:ln>
                  </pic:spPr>
                </pic:pic>
              </a:graphicData>
            </a:graphic>
          </wp:inline>
        </w:drawing>
      </w:r>
    </w:p>
    <w:p w:rsidR="00590CD5" w:rsidRPr="00116790" w:rsidRDefault="00590CD5" w:rsidP="00BB607C">
      <w:pPr>
        <w:pStyle w:val="NormalWeb"/>
        <w:rPr>
          <w:rFonts w:ascii="Calibri" w:hAnsi="Calibri" w:cs="Arial"/>
          <w:color w:val="003366"/>
          <w:sz w:val="28"/>
          <w:szCs w:val="28"/>
        </w:rPr>
      </w:pPr>
      <w:r w:rsidRPr="00116790">
        <w:rPr>
          <w:rFonts w:ascii="Calibri" w:hAnsi="Calibri" w:cs="Arial"/>
          <w:color w:val="003366"/>
          <w:sz w:val="28"/>
          <w:szCs w:val="28"/>
        </w:rPr>
        <w:t>Cotton Tiberius b v pt 1 folio 3r</w:t>
      </w:r>
    </w:p>
    <w:p w:rsidR="00630F30" w:rsidRPr="00116790" w:rsidRDefault="00885B85" w:rsidP="00885B85">
      <w:pPr>
        <w:pStyle w:val="NormalWeb"/>
        <w:jc w:val="both"/>
        <w:rPr>
          <w:rFonts w:ascii="Calibri" w:hAnsi="Calibri" w:cs="Arial"/>
          <w:color w:val="003366"/>
          <w:sz w:val="28"/>
          <w:szCs w:val="28"/>
        </w:rPr>
      </w:pPr>
      <w:r w:rsidRPr="00116790">
        <w:rPr>
          <w:rFonts w:ascii="Calibri" w:hAnsi="Calibri" w:cs="Arial"/>
          <w:color w:val="003366"/>
          <w:sz w:val="28"/>
          <w:szCs w:val="28"/>
        </w:rPr>
        <w:tab/>
        <w:t>Within this essay we will examine the image fo</w:t>
      </w:r>
      <w:r w:rsidR="002B09CB" w:rsidRPr="00116790">
        <w:rPr>
          <w:rFonts w:ascii="Calibri" w:hAnsi="Calibri" w:cs="Arial"/>
          <w:color w:val="003366"/>
          <w:sz w:val="28"/>
          <w:szCs w:val="28"/>
        </w:rPr>
        <w:t>und in the British Library and recorded</w:t>
      </w:r>
      <w:r w:rsidRPr="00116790">
        <w:rPr>
          <w:rFonts w:ascii="Calibri" w:hAnsi="Calibri" w:cs="Arial"/>
          <w:color w:val="003366"/>
          <w:sz w:val="28"/>
          <w:szCs w:val="28"/>
        </w:rPr>
        <w:t xml:space="preserve"> as Cotton Tiberius b v pt 1 folio 3</w:t>
      </w:r>
      <w:r w:rsidR="00FF3A32" w:rsidRPr="00116790">
        <w:rPr>
          <w:rFonts w:ascii="Calibri" w:hAnsi="Calibri" w:cs="Arial"/>
          <w:color w:val="003366"/>
          <w:sz w:val="28"/>
          <w:szCs w:val="28"/>
        </w:rPr>
        <w:t>r</w:t>
      </w:r>
      <w:r w:rsidRPr="00116790">
        <w:rPr>
          <w:rFonts w:ascii="Calibri" w:hAnsi="Calibri" w:cs="Arial"/>
          <w:color w:val="003366"/>
          <w:sz w:val="28"/>
          <w:szCs w:val="28"/>
        </w:rPr>
        <w:t>.</w:t>
      </w:r>
      <w:r w:rsidRPr="00116790">
        <w:rPr>
          <w:rStyle w:val="FootnoteReference"/>
          <w:rFonts w:ascii="Calibri" w:hAnsi="Calibri" w:cs="Arial"/>
          <w:color w:val="003366"/>
          <w:sz w:val="28"/>
          <w:szCs w:val="28"/>
        </w:rPr>
        <w:footnoteReference w:id="1"/>
      </w:r>
      <w:r w:rsidRPr="00116790">
        <w:rPr>
          <w:rFonts w:ascii="Calibri" w:hAnsi="Calibri" w:cs="Arial"/>
          <w:color w:val="003366"/>
          <w:sz w:val="28"/>
          <w:szCs w:val="28"/>
        </w:rPr>
        <w:t xml:space="preserve"> In the examination of this image we will descr</w:t>
      </w:r>
      <w:r w:rsidR="00A94C9F" w:rsidRPr="00116790">
        <w:rPr>
          <w:rFonts w:ascii="Calibri" w:hAnsi="Calibri" w:cs="Arial"/>
          <w:color w:val="003366"/>
          <w:sz w:val="28"/>
          <w:szCs w:val="28"/>
        </w:rPr>
        <w:t>ibe its manufacture</w:t>
      </w:r>
      <w:r w:rsidRPr="00116790">
        <w:rPr>
          <w:rFonts w:ascii="Calibri" w:hAnsi="Calibri" w:cs="Arial"/>
          <w:color w:val="003366"/>
          <w:sz w:val="28"/>
          <w:szCs w:val="28"/>
        </w:rPr>
        <w:t>,</w:t>
      </w:r>
      <w:r w:rsidR="00A94C9F" w:rsidRPr="00116790">
        <w:rPr>
          <w:rFonts w:ascii="Calibri" w:hAnsi="Calibri" w:cs="Arial"/>
          <w:color w:val="003366"/>
          <w:sz w:val="28"/>
          <w:szCs w:val="28"/>
        </w:rPr>
        <w:t xml:space="preserve"> contextualising this within the canon of visual manuscript artefacts</w:t>
      </w:r>
      <w:r w:rsidRPr="00116790">
        <w:rPr>
          <w:rFonts w:ascii="Calibri" w:hAnsi="Calibri" w:cs="Arial"/>
          <w:color w:val="003366"/>
          <w:sz w:val="28"/>
          <w:szCs w:val="28"/>
        </w:rPr>
        <w:t xml:space="preserve"> and the general context of the manufacture of manuscripts at this time in England.</w:t>
      </w:r>
      <w:r w:rsidR="00A94C9F" w:rsidRPr="00116790">
        <w:rPr>
          <w:rFonts w:ascii="Calibri" w:hAnsi="Calibri" w:cs="Arial"/>
          <w:color w:val="003366"/>
          <w:sz w:val="28"/>
          <w:szCs w:val="28"/>
        </w:rPr>
        <w:t xml:space="preserve"> W</w:t>
      </w:r>
      <w:r w:rsidR="00590CD5" w:rsidRPr="00116790">
        <w:rPr>
          <w:rFonts w:ascii="Calibri" w:hAnsi="Calibri" w:cs="Arial"/>
          <w:color w:val="003366"/>
          <w:sz w:val="28"/>
          <w:szCs w:val="28"/>
        </w:rPr>
        <w:t>e will also attempt to elide the historical context and</w:t>
      </w:r>
      <w:r w:rsidR="00A94C9F" w:rsidRPr="00116790">
        <w:rPr>
          <w:rFonts w:ascii="Calibri" w:hAnsi="Calibri" w:cs="Arial"/>
          <w:color w:val="003366"/>
          <w:sz w:val="28"/>
          <w:szCs w:val="28"/>
        </w:rPr>
        <w:t xml:space="preserve"> any social, cultural</w:t>
      </w:r>
      <w:r w:rsidR="00630F30" w:rsidRPr="00116790">
        <w:rPr>
          <w:rFonts w:ascii="Calibri" w:hAnsi="Calibri" w:cs="Arial"/>
          <w:color w:val="003366"/>
          <w:sz w:val="28"/>
          <w:szCs w:val="28"/>
        </w:rPr>
        <w:t xml:space="preserve">, economic or prosopographic information we can from this image. </w:t>
      </w:r>
      <w:r w:rsidRPr="00116790">
        <w:rPr>
          <w:rFonts w:ascii="Calibri" w:hAnsi="Calibri" w:cs="Arial"/>
          <w:color w:val="003366"/>
          <w:sz w:val="28"/>
          <w:szCs w:val="28"/>
        </w:rPr>
        <w:t xml:space="preserve"> </w:t>
      </w:r>
    </w:p>
    <w:p w:rsidR="00BB607C" w:rsidRPr="00116790" w:rsidRDefault="00885B85" w:rsidP="00630F30">
      <w:pPr>
        <w:pStyle w:val="NormalWeb"/>
        <w:ind w:firstLine="720"/>
        <w:jc w:val="both"/>
        <w:rPr>
          <w:rFonts w:ascii="Calibri" w:hAnsi="Calibri" w:cs="Arial"/>
          <w:color w:val="003366"/>
          <w:sz w:val="28"/>
          <w:szCs w:val="28"/>
        </w:rPr>
      </w:pPr>
      <w:r w:rsidRPr="00116790">
        <w:rPr>
          <w:rFonts w:ascii="Calibri" w:hAnsi="Calibri" w:cs="Arial"/>
          <w:color w:val="003366"/>
          <w:sz w:val="28"/>
          <w:szCs w:val="28"/>
        </w:rPr>
        <w:t>This image is found in a medieval mis</w:t>
      </w:r>
      <w:r w:rsidR="009F3F39">
        <w:rPr>
          <w:rFonts w:ascii="Calibri" w:hAnsi="Calibri" w:cs="Arial"/>
          <w:color w:val="003366"/>
          <w:sz w:val="28"/>
          <w:szCs w:val="28"/>
        </w:rPr>
        <w:t>cellany dated to the mid e</w:t>
      </w:r>
      <w:r w:rsidR="00834707">
        <w:rPr>
          <w:rFonts w:ascii="Calibri" w:hAnsi="Calibri" w:cs="Arial"/>
          <w:color w:val="003366"/>
          <w:sz w:val="28"/>
          <w:szCs w:val="28"/>
        </w:rPr>
        <w:t>leventh century</w:t>
      </w:r>
      <w:r w:rsidRPr="00116790">
        <w:rPr>
          <w:rFonts w:ascii="Calibri" w:hAnsi="Calibri" w:cs="Arial"/>
          <w:color w:val="003366"/>
          <w:sz w:val="28"/>
          <w:szCs w:val="28"/>
        </w:rPr>
        <w:t>.</w:t>
      </w:r>
      <w:r w:rsidRPr="00116790">
        <w:rPr>
          <w:rStyle w:val="FootnoteReference"/>
          <w:rFonts w:ascii="Calibri" w:hAnsi="Calibri" w:cs="Arial"/>
          <w:color w:val="003366"/>
          <w:sz w:val="28"/>
          <w:szCs w:val="28"/>
        </w:rPr>
        <w:footnoteReference w:id="2"/>
      </w:r>
      <w:r w:rsidR="002A6B6D" w:rsidRPr="00116790">
        <w:rPr>
          <w:rFonts w:ascii="Calibri" w:hAnsi="Calibri" w:cs="Arial"/>
          <w:color w:val="003366"/>
          <w:sz w:val="28"/>
          <w:szCs w:val="28"/>
        </w:rPr>
        <w:t xml:space="preserve"> The image </w:t>
      </w:r>
      <w:r w:rsidR="00A64CCD" w:rsidRPr="00116790">
        <w:rPr>
          <w:rFonts w:ascii="Calibri" w:hAnsi="Calibri" w:cs="Arial"/>
          <w:color w:val="003366"/>
          <w:sz w:val="28"/>
          <w:szCs w:val="28"/>
        </w:rPr>
        <w:t xml:space="preserve">is found on the recto side of a set of calendars depicting </w:t>
      </w:r>
      <w:r w:rsidR="002A6B6D" w:rsidRPr="00116790">
        <w:rPr>
          <w:rFonts w:ascii="Calibri" w:hAnsi="Calibri" w:cs="Arial"/>
          <w:color w:val="003366"/>
          <w:sz w:val="28"/>
          <w:szCs w:val="28"/>
        </w:rPr>
        <w:t>January with a Z</w:t>
      </w:r>
      <w:r w:rsidR="000F4A68">
        <w:rPr>
          <w:rFonts w:ascii="Calibri" w:hAnsi="Calibri" w:cs="Arial"/>
          <w:color w:val="003366"/>
          <w:sz w:val="28"/>
          <w:szCs w:val="28"/>
        </w:rPr>
        <w:t>odiacal description</w:t>
      </w:r>
      <w:r w:rsidR="002A6B6D" w:rsidRPr="00116790">
        <w:rPr>
          <w:rFonts w:ascii="Calibri" w:hAnsi="Calibri" w:cs="Arial"/>
          <w:color w:val="003366"/>
          <w:sz w:val="28"/>
          <w:szCs w:val="28"/>
        </w:rPr>
        <w:t xml:space="preserve"> at the bottom of the page. Our image is</w:t>
      </w:r>
      <w:r w:rsidR="002B09CB" w:rsidRPr="00116790">
        <w:rPr>
          <w:rFonts w:ascii="Calibri" w:hAnsi="Calibri" w:cs="Arial"/>
          <w:color w:val="003366"/>
          <w:sz w:val="28"/>
          <w:szCs w:val="28"/>
        </w:rPr>
        <w:t xml:space="preserve"> situated</w:t>
      </w:r>
      <w:r w:rsidR="002A6B6D" w:rsidRPr="00116790">
        <w:rPr>
          <w:rFonts w:ascii="Calibri" w:hAnsi="Calibri" w:cs="Arial"/>
          <w:color w:val="003366"/>
          <w:sz w:val="28"/>
          <w:szCs w:val="28"/>
        </w:rPr>
        <w:t xml:space="preserve"> at the top of the page and takes up approximately a fifth of the length of the page and stretches across it.</w:t>
      </w:r>
      <w:r w:rsidR="002A6B6D" w:rsidRPr="00116790">
        <w:rPr>
          <w:rStyle w:val="FootnoteReference"/>
          <w:rFonts w:ascii="Calibri" w:hAnsi="Calibri" w:cs="Arial"/>
          <w:color w:val="003366"/>
          <w:sz w:val="28"/>
          <w:szCs w:val="28"/>
        </w:rPr>
        <w:footnoteReference w:id="3"/>
      </w:r>
      <w:r w:rsidR="002A6B6D" w:rsidRPr="00116790">
        <w:rPr>
          <w:rFonts w:ascii="Calibri" w:hAnsi="Calibri" w:cs="Arial"/>
          <w:color w:val="003366"/>
          <w:sz w:val="28"/>
          <w:szCs w:val="28"/>
        </w:rPr>
        <w:t xml:space="preserve"> </w:t>
      </w:r>
      <w:r w:rsidR="006278E4" w:rsidRPr="00116790">
        <w:rPr>
          <w:rFonts w:ascii="Calibri" w:hAnsi="Calibri" w:cs="Arial"/>
          <w:color w:val="003366"/>
          <w:sz w:val="28"/>
          <w:szCs w:val="28"/>
        </w:rPr>
        <w:t>The miscellany, or codex, is made up of 88 folios ranging acr</w:t>
      </w:r>
      <w:r w:rsidR="002B09CB" w:rsidRPr="00116790">
        <w:rPr>
          <w:rFonts w:ascii="Calibri" w:hAnsi="Calibri" w:cs="Arial"/>
          <w:color w:val="003366"/>
          <w:sz w:val="28"/>
          <w:szCs w:val="28"/>
        </w:rPr>
        <w:t xml:space="preserve">oss many subjects and although </w:t>
      </w:r>
      <w:r w:rsidR="006278E4" w:rsidRPr="00116790">
        <w:rPr>
          <w:rFonts w:ascii="Calibri" w:hAnsi="Calibri" w:cs="Arial"/>
          <w:color w:val="003366"/>
          <w:sz w:val="28"/>
          <w:szCs w:val="28"/>
        </w:rPr>
        <w:t>the date of 1025 onwards has been applied, some of these pages were originally from an eig</w:t>
      </w:r>
      <w:r w:rsidR="008436B2" w:rsidRPr="00116790">
        <w:rPr>
          <w:rFonts w:ascii="Calibri" w:hAnsi="Calibri" w:cs="Arial"/>
          <w:color w:val="003366"/>
          <w:sz w:val="28"/>
          <w:szCs w:val="28"/>
        </w:rPr>
        <w:t>h</w:t>
      </w:r>
      <w:r w:rsidR="006278E4" w:rsidRPr="00116790">
        <w:rPr>
          <w:rFonts w:ascii="Calibri" w:hAnsi="Calibri" w:cs="Arial"/>
          <w:color w:val="003366"/>
          <w:sz w:val="28"/>
          <w:szCs w:val="28"/>
        </w:rPr>
        <w:t>th century gospel.</w:t>
      </w:r>
      <w:r w:rsidR="002B09CB" w:rsidRPr="00116790">
        <w:rPr>
          <w:rFonts w:ascii="Calibri" w:hAnsi="Calibri" w:cs="Arial"/>
          <w:color w:val="003366"/>
          <w:sz w:val="28"/>
          <w:szCs w:val="28"/>
        </w:rPr>
        <w:t xml:space="preserve"> An enormous amount of research has been undertaken</w:t>
      </w:r>
      <w:r w:rsidR="00FC6878" w:rsidRPr="00116790">
        <w:rPr>
          <w:rFonts w:ascii="Calibri" w:hAnsi="Calibri" w:cs="Arial"/>
          <w:color w:val="003366"/>
          <w:sz w:val="28"/>
          <w:szCs w:val="28"/>
        </w:rPr>
        <w:t xml:space="preserve"> in attempting to show where the codex was made and no real agreement has come about. Winchester or Canterbury have both been put forward by Mcgurk, Dumville and Knock and as these were the engine room of the production of </w:t>
      </w:r>
      <w:r w:rsidR="00FC6878" w:rsidRPr="00116790">
        <w:rPr>
          <w:rFonts w:ascii="Calibri" w:hAnsi="Calibri" w:cs="Arial"/>
          <w:color w:val="003366"/>
          <w:sz w:val="28"/>
          <w:szCs w:val="28"/>
        </w:rPr>
        <w:lastRenderedPageBreak/>
        <w:t>manuscripts in the eleventh century, they are likely candidates.</w:t>
      </w:r>
      <w:r w:rsidR="00FC6878" w:rsidRPr="00116790">
        <w:rPr>
          <w:rStyle w:val="FootnoteReference"/>
          <w:rFonts w:ascii="Calibri" w:hAnsi="Calibri" w:cs="Arial"/>
          <w:color w:val="003366"/>
          <w:sz w:val="28"/>
          <w:szCs w:val="28"/>
        </w:rPr>
        <w:footnoteReference w:id="4"/>
      </w:r>
      <w:r w:rsidR="00FC6878" w:rsidRPr="00116790">
        <w:rPr>
          <w:rFonts w:ascii="Calibri" w:hAnsi="Calibri" w:cs="Arial"/>
          <w:color w:val="003366"/>
          <w:sz w:val="28"/>
          <w:szCs w:val="28"/>
        </w:rPr>
        <w:t xml:space="preserve"> </w:t>
      </w:r>
      <w:r w:rsidR="00590CD5" w:rsidRPr="00116790">
        <w:rPr>
          <w:rFonts w:ascii="Calibri" w:hAnsi="Calibri" w:cs="Arial"/>
          <w:color w:val="003366"/>
          <w:sz w:val="28"/>
          <w:szCs w:val="28"/>
        </w:rPr>
        <w:t>It comes from the Cotton collect</w:t>
      </w:r>
      <w:r w:rsidR="002B09CB" w:rsidRPr="00116790">
        <w:rPr>
          <w:rFonts w:ascii="Calibri" w:hAnsi="Calibri" w:cs="Arial"/>
          <w:color w:val="003366"/>
          <w:sz w:val="28"/>
          <w:szCs w:val="28"/>
        </w:rPr>
        <w:t>ion and has been</w:t>
      </w:r>
      <w:r w:rsidR="00590CD5" w:rsidRPr="00116790">
        <w:rPr>
          <w:rFonts w:ascii="Calibri" w:hAnsi="Calibri" w:cs="Arial"/>
          <w:color w:val="003366"/>
          <w:sz w:val="28"/>
          <w:szCs w:val="28"/>
        </w:rPr>
        <w:t xml:space="preserve"> </w:t>
      </w:r>
      <w:r w:rsidR="000F4A68">
        <w:rPr>
          <w:rFonts w:ascii="Calibri" w:hAnsi="Calibri" w:cs="Arial"/>
          <w:color w:val="003366"/>
          <w:sz w:val="28"/>
          <w:szCs w:val="28"/>
        </w:rPr>
        <w:t>dis</w:t>
      </w:r>
      <w:r w:rsidR="00F531C2">
        <w:rPr>
          <w:rFonts w:ascii="Calibri" w:hAnsi="Calibri" w:cs="Arial"/>
          <w:color w:val="003366"/>
          <w:sz w:val="28"/>
          <w:szCs w:val="28"/>
        </w:rPr>
        <w:t>-</w:t>
      </w:r>
      <w:r w:rsidR="000F4A68">
        <w:rPr>
          <w:rFonts w:ascii="Calibri" w:hAnsi="Calibri" w:cs="Arial"/>
          <w:color w:val="003366"/>
          <w:sz w:val="28"/>
          <w:szCs w:val="28"/>
        </w:rPr>
        <w:t xml:space="preserve">bound and </w:t>
      </w:r>
      <w:r w:rsidR="00590CD5" w:rsidRPr="00116790">
        <w:rPr>
          <w:rFonts w:ascii="Calibri" w:hAnsi="Calibri" w:cs="Arial"/>
          <w:color w:val="003366"/>
          <w:sz w:val="28"/>
          <w:szCs w:val="28"/>
        </w:rPr>
        <w:t xml:space="preserve">bound. </w:t>
      </w:r>
    </w:p>
    <w:p w:rsidR="002B09CB" w:rsidRPr="00116790" w:rsidRDefault="002B09CB" w:rsidP="00630F30">
      <w:pPr>
        <w:pStyle w:val="NormalWeb"/>
        <w:ind w:firstLine="720"/>
        <w:jc w:val="both"/>
        <w:rPr>
          <w:rFonts w:ascii="Calibri" w:hAnsi="Calibri" w:cs="Arial"/>
          <w:color w:val="003366"/>
          <w:sz w:val="28"/>
          <w:szCs w:val="28"/>
        </w:rPr>
      </w:pPr>
      <w:r w:rsidRPr="00116790">
        <w:rPr>
          <w:rFonts w:ascii="Calibri" w:hAnsi="Calibri" w:cs="Arial"/>
          <w:color w:val="003366"/>
          <w:sz w:val="28"/>
          <w:szCs w:val="28"/>
        </w:rPr>
        <w:t>The image is one of twelve</w:t>
      </w:r>
      <w:r w:rsidR="00834707">
        <w:rPr>
          <w:rFonts w:ascii="Calibri" w:hAnsi="Calibri" w:cs="Arial"/>
          <w:color w:val="003366"/>
          <w:sz w:val="28"/>
          <w:szCs w:val="28"/>
        </w:rPr>
        <w:t>,</w:t>
      </w:r>
      <w:r w:rsidRPr="00116790">
        <w:rPr>
          <w:rFonts w:ascii="Calibri" w:hAnsi="Calibri" w:cs="Arial"/>
          <w:color w:val="003366"/>
          <w:sz w:val="28"/>
          <w:szCs w:val="28"/>
        </w:rPr>
        <w:t xml:space="preserve"> each on a separate folio and each atop a calendar depicting a month of the year. The images are in the main aspects of the farming year</w:t>
      </w:r>
      <w:r w:rsidR="001922DD" w:rsidRPr="00116790">
        <w:rPr>
          <w:rFonts w:ascii="Calibri" w:hAnsi="Calibri" w:cs="Arial"/>
          <w:color w:val="003366"/>
          <w:sz w:val="28"/>
          <w:szCs w:val="28"/>
        </w:rPr>
        <w:t xml:space="preserve"> and pastoral activities,</w:t>
      </w:r>
      <w:r w:rsidRPr="00116790">
        <w:rPr>
          <w:rFonts w:ascii="Calibri" w:hAnsi="Calibri" w:cs="Arial"/>
          <w:color w:val="003366"/>
          <w:sz w:val="28"/>
          <w:szCs w:val="28"/>
        </w:rPr>
        <w:t xml:space="preserve"> with two notable exceptions being April and </w:t>
      </w:r>
      <w:r w:rsidR="001922DD" w:rsidRPr="00116790">
        <w:rPr>
          <w:rFonts w:ascii="Calibri" w:hAnsi="Calibri" w:cs="Arial"/>
          <w:color w:val="003366"/>
          <w:sz w:val="28"/>
          <w:szCs w:val="28"/>
        </w:rPr>
        <w:t>October</w:t>
      </w:r>
      <w:r w:rsidR="00834707">
        <w:rPr>
          <w:rFonts w:ascii="Calibri" w:hAnsi="Calibri" w:cs="Arial"/>
          <w:color w:val="003366"/>
          <w:sz w:val="28"/>
          <w:szCs w:val="28"/>
        </w:rPr>
        <w:t>,</w:t>
      </w:r>
      <w:r w:rsidR="001922DD" w:rsidRPr="00116790">
        <w:rPr>
          <w:rFonts w:ascii="Calibri" w:hAnsi="Calibri" w:cs="Arial"/>
          <w:color w:val="003366"/>
          <w:sz w:val="28"/>
          <w:szCs w:val="28"/>
        </w:rPr>
        <w:t xml:space="preserve"> which are discussed later.</w:t>
      </w:r>
      <w:r w:rsidR="0089054B">
        <w:rPr>
          <w:rFonts w:ascii="Calibri" w:hAnsi="Calibri" w:cs="Arial"/>
          <w:color w:val="003366"/>
          <w:sz w:val="28"/>
          <w:szCs w:val="28"/>
        </w:rPr>
        <w:t xml:space="preserve"> To locate the manuscript in its historical</w:t>
      </w:r>
      <w:r w:rsidR="005B600E">
        <w:rPr>
          <w:rFonts w:ascii="Calibri" w:hAnsi="Calibri" w:cs="Arial"/>
          <w:color w:val="003366"/>
          <w:sz w:val="28"/>
          <w:szCs w:val="28"/>
        </w:rPr>
        <w:t xml:space="preserve"> context we can utilise Michelle Brown’s timeline from Anglo Saxon Manuscripts; firstly, t</w:t>
      </w:r>
      <w:r w:rsidR="0089054B">
        <w:rPr>
          <w:rFonts w:ascii="Calibri" w:hAnsi="Calibri" w:cs="Arial"/>
          <w:color w:val="003366"/>
          <w:sz w:val="28"/>
          <w:szCs w:val="28"/>
        </w:rPr>
        <w:t>he Sub Roman and Migration period (early 5</w:t>
      </w:r>
      <w:r w:rsidR="0089054B" w:rsidRPr="0089054B">
        <w:rPr>
          <w:rFonts w:ascii="Calibri" w:hAnsi="Calibri" w:cs="Arial"/>
          <w:color w:val="003366"/>
          <w:sz w:val="28"/>
          <w:szCs w:val="28"/>
          <w:vertAlign w:val="superscript"/>
        </w:rPr>
        <w:t>th</w:t>
      </w:r>
      <w:r w:rsidR="0089054B">
        <w:rPr>
          <w:rFonts w:ascii="Calibri" w:hAnsi="Calibri" w:cs="Arial"/>
          <w:color w:val="003366"/>
          <w:sz w:val="28"/>
          <w:szCs w:val="28"/>
        </w:rPr>
        <w:t xml:space="preserve"> to late 6</w:t>
      </w:r>
      <w:r w:rsidR="0089054B" w:rsidRPr="0089054B">
        <w:rPr>
          <w:rFonts w:ascii="Calibri" w:hAnsi="Calibri" w:cs="Arial"/>
          <w:color w:val="003366"/>
          <w:sz w:val="28"/>
          <w:szCs w:val="28"/>
          <w:vertAlign w:val="superscript"/>
        </w:rPr>
        <w:t>th</w:t>
      </w:r>
      <w:r w:rsidR="0089054B">
        <w:rPr>
          <w:rFonts w:ascii="Calibri" w:hAnsi="Calibri" w:cs="Arial"/>
          <w:color w:val="003366"/>
          <w:sz w:val="28"/>
          <w:szCs w:val="28"/>
        </w:rPr>
        <w:t xml:space="preserve"> century); secondly, the Insular period (late 6</w:t>
      </w:r>
      <w:r w:rsidR="0089054B" w:rsidRPr="0089054B">
        <w:rPr>
          <w:rFonts w:ascii="Calibri" w:hAnsi="Calibri" w:cs="Arial"/>
          <w:color w:val="003366"/>
          <w:sz w:val="28"/>
          <w:szCs w:val="28"/>
          <w:vertAlign w:val="superscript"/>
        </w:rPr>
        <w:t>th</w:t>
      </w:r>
      <w:r w:rsidR="0089054B">
        <w:rPr>
          <w:rFonts w:ascii="Calibri" w:hAnsi="Calibri" w:cs="Arial"/>
          <w:color w:val="003366"/>
          <w:sz w:val="28"/>
          <w:szCs w:val="28"/>
        </w:rPr>
        <w:t xml:space="preserve"> to </w:t>
      </w:r>
      <w:r w:rsidR="00F531C2">
        <w:rPr>
          <w:rFonts w:ascii="Calibri" w:hAnsi="Calibri" w:cs="Arial"/>
          <w:color w:val="003366"/>
          <w:sz w:val="28"/>
          <w:szCs w:val="28"/>
        </w:rPr>
        <w:t>mid-9</w:t>
      </w:r>
      <w:r w:rsidR="00F531C2" w:rsidRPr="0089054B">
        <w:rPr>
          <w:rFonts w:ascii="Calibri" w:hAnsi="Calibri" w:cs="Arial"/>
          <w:color w:val="003366"/>
          <w:sz w:val="28"/>
          <w:szCs w:val="28"/>
          <w:vertAlign w:val="superscript"/>
        </w:rPr>
        <w:t>th</w:t>
      </w:r>
      <w:r w:rsidR="0089054B">
        <w:rPr>
          <w:rFonts w:ascii="Calibri" w:hAnsi="Calibri" w:cs="Arial"/>
          <w:color w:val="003366"/>
          <w:sz w:val="28"/>
          <w:szCs w:val="28"/>
        </w:rPr>
        <w:t xml:space="preserve"> century); thirdly, the Alfredian renewal (late 9</w:t>
      </w:r>
      <w:r w:rsidR="0089054B" w:rsidRPr="0089054B">
        <w:rPr>
          <w:rFonts w:ascii="Calibri" w:hAnsi="Calibri" w:cs="Arial"/>
          <w:color w:val="003366"/>
          <w:sz w:val="28"/>
          <w:szCs w:val="28"/>
          <w:vertAlign w:val="superscript"/>
        </w:rPr>
        <w:t>th</w:t>
      </w:r>
      <w:r w:rsidR="0089054B">
        <w:rPr>
          <w:rFonts w:ascii="Calibri" w:hAnsi="Calibri" w:cs="Arial"/>
          <w:color w:val="003366"/>
          <w:sz w:val="28"/>
          <w:szCs w:val="28"/>
        </w:rPr>
        <w:t xml:space="preserve"> century); fourthly, the later Anglo Saxon period (10</w:t>
      </w:r>
      <w:r w:rsidR="0089054B" w:rsidRPr="0089054B">
        <w:rPr>
          <w:rFonts w:ascii="Calibri" w:hAnsi="Calibri" w:cs="Arial"/>
          <w:color w:val="003366"/>
          <w:sz w:val="28"/>
          <w:szCs w:val="28"/>
          <w:vertAlign w:val="superscript"/>
        </w:rPr>
        <w:t>th</w:t>
      </w:r>
      <w:r w:rsidR="0089054B">
        <w:rPr>
          <w:rFonts w:ascii="Calibri" w:hAnsi="Calibri" w:cs="Arial"/>
          <w:color w:val="003366"/>
          <w:sz w:val="28"/>
          <w:szCs w:val="28"/>
        </w:rPr>
        <w:t xml:space="preserve"> and 11</w:t>
      </w:r>
      <w:r w:rsidR="0089054B" w:rsidRPr="0089054B">
        <w:rPr>
          <w:rFonts w:ascii="Calibri" w:hAnsi="Calibri" w:cs="Arial"/>
          <w:color w:val="003366"/>
          <w:sz w:val="28"/>
          <w:szCs w:val="28"/>
          <w:vertAlign w:val="superscript"/>
        </w:rPr>
        <w:t>th</w:t>
      </w:r>
      <w:r w:rsidR="005B600E">
        <w:rPr>
          <w:rFonts w:ascii="Calibri" w:hAnsi="Calibri" w:cs="Arial"/>
          <w:color w:val="003366"/>
          <w:sz w:val="28"/>
          <w:szCs w:val="28"/>
        </w:rPr>
        <w:t xml:space="preserve"> centuries to 1066).</w:t>
      </w:r>
      <w:r w:rsidR="005B600E">
        <w:rPr>
          <w:rStyle w:val="FootnoteReference"/>
          <w:rFonts w:ascii="Calibri" w:hAnsi="Calibri" w:cs="Arial"/>
          <w:color w:val="003366"/>
          <w:sz w:val="28"/>
          <w:szCs w:val="28"/>
        </w:rPr>
        <w:footnoteReference w:id="5"/>
      </w:r>
      <w:r w:rsidR="005B600E">
        <w:rPr>
          <w:rFonts w:ascii="Calibri" w:hAnsi="Calibri" w:cs="Arial"/>
          <w:color w:val="003366"/>
          <w:sz w:val="28"/>
          <w:szCs w:val="28"/>
        </w:rPr>
        <w:t xml:space="preserve"> It could confidently be argued that the greatest flowering of the illuminated gospel was during t</w:t>
      </w:r>
      <w:r w:rsidR="00FA01BB">
        <w:rPr>
          <w:rFonts w:ascii="Calibri" w:hAnsi="Calibri" w:cs="Arial"/>
          <w:color w:val="003366"/>
          <w:sz w:val="28"/>
          <w:szCs w:val="28"/>
        </w:rPr>
        <w:t>he Sub Roman and Insular period</w:t>
      </w:r>
      <w:r w:rsidR="005B600E">
        <w:rPr>
          <w:rFonts w:ascii="Calibri" w:hAnsi="Calibri" w:cs="Arial"/>
          <w:color w:val="003366"/>
          <w:sz w:val="28"/>
          <w:szCs w:val="28"/>
        </w:rPr>
        <w:t xml:space="preserve"> or as it is also known</w:t>
      </w:r>
      <w:r w:rsidR="00FA01BB">
        <w:rPr>
          <w:rFonts w:ascii="Calibri" w:hAnsi="Calibri" w:cs="Arial"/>
          <w:color w:val="003366"/>
          <w:sz w:val="28"/>
          <w:szCs w:val="28"/>
        </w:rPr>
        <w:t>,</w:t>
      </w:r>
      <w:r w:rsidR="005B600E">
        <w:rPr>
          <w:rFonts w:ascii="Calibri" w:hAnsi="Calibri" w:cs="Arial"/>
          <w:color w:val="003366"/>
          <w:sz w:val="28"/>
          <w:szCs w:val="28"/>
        </w:rPr>
        <w:t xml:space="preserve"> the period of the English conversion</w:t>
      </w:r>
      <w:r w:rsidR="00B34FCA">
        <w:rPr>
          <w:rFonts w:ascii="Calibri" w:hAnsi="Calibri" w:cs="Arial"/>
          <w:color w:val="003366"/>
          <w:sz w:val="28"/>
          <w:szCs w:val="28"/>
        </w:rPr>
        <w:t>, with such stellar luminaries as the Book of Kells and The Lindisfarne Gospels.</w:t>
      </w:r>
      <w:r w:rsidR="00FA01BB">
        <w:rPr>
          <w:rFonts w:ascii="Calibri" w:hAnsi="Calibri" w:cs="Arial"/>
          <w:color w:val="003366"/>
          <w:sz w:val="28"/>
          <w:szCs w:val="28"/>
        </w:rPr>
        <w:t xml:space="preserve"> These outliers are indicative</w:t>
      </w:r>
      <w:r w:rsidR="00B34FCA">
        <w:rPr>
          <w:rFonts w:ascii="Calibri" w:hAnsi="Calibri" w:cs="Arial"/>
          <w:color w:val="003366"/>
          <w:sz w:val="28"/>
          <w:szCs w:val="28"/>
        </w:rPr>
        <w:t xml:space="preserve"> of the </w:t>
      </w:r>
      <w:r w:rsidR="00F10FAD">
        <w:rPr>
          <w:rFonts w:ascii="Calibri" w:hAnsi="Calibri" w:cs="Arial"/>
          <w:color w:val="003366"/>
          <w:sz w:val="28"/>
          <w:szCs w:val="28"/>
        </w:rPr>
        <w:t>continuity of learning from late antiquity kept within the British/Celtic church during transformative times.</w:t>
      </w:r>
      <w:r w:rsidR="00B34FCA">
        <w:rPr>
          <w:rFonts w:ascii="Calibri" w:hAnsi="Calibri" w:cs="Arial"/>
          <w:color w:val="003366"/>
          <w:sz w:val="28"/>
          <w:szCs w:val="28"/>
        </w:rPr>
        <w:t xml:space="preserve"> </w:t>
      </w:r>
      <w:r w:rsidR="009F3F39">
        <w:rPr>
          <w:rFonts w:ascii="Calibri" w:hAnsi="Calibri" w:cs="Arial"/>
          <w:color w:val="003366"/>
          <w:sz w:val="28"/>
          <w:szCs w:val="28"/>
        </w:rPr>
        <w:t>Despite the seemingly interminable conflicts of the Anglo Saxon period the church maintained its presence</w:t>
      </w:r>
      <w:r w:rsidR="00834707">
        <w:rPr>
          <w:rFonts w:ascii="Calibri" w:hAnsi="Calibri" w:cs="Arial"/>
          <w:color w:val="003366"/>
          <w:sz w:val="28"/>
          <w:szCs w:val="28"/>
        </w:rPr>
        <w:t>, within the British Isles,</w:t>
      </w:r>
      <w:r w:rsidR="009F3F39">
        <w:rPr>
          <w:rFonts w:ascii="Calibri" w:hAnsi="Calibri" w:cs="Arial"/>
          <w:color w:val="003366"/>
          <w:sz w:val="28"/>
          <w:szCs w:val="28"/>
        </w:rPr>
        <w:t xml:space="preserve"> and by the mid eleventh century England was one of the most successful and sophisticated Western medieval nations</w:t>
      </w:r>
      <w:r w:rsidR="000432B9">
        <w:rPr>
          <w:rFonts w:ascii="Calibri" w:hAnsi="Calibri" w:cs="Arial"/>
          <w:color w:val="003366"/>
          <w:sz w:val="28"/>
          <w:szCs w:val="28"/>
        </w:rPr>
        <w:t>;</w:t>
      </w:r>
      <w:r w:rsidR="009F3F39">
        <w:rPr>
          <w:rFonts w:ascii="Calibri" w:hAnsi="Calibri" w:cs="Arial"/>
          <w:color w:val="003366"/>
          <w:sz w:val="28"/>
          <w:szCs w:val="28"/>
        </w:rPr>
        <w:t xml:space="preserve"> renowned for its ecclesiastical achievements and with a complex legal, financial and administrative framework.</w:t>
      </w:r>
      <w:r w:rsidR="009F3F39">
        <w:rPr>
          <w:rStyle w:val="FootnoteReference"/>
          <w:rFonts w:ascii="Calibri" w:hAnsi="Calibri" w:cs="Arial"/>
          <w:color w:val="003366"/>
          <w:sz w:val="28"/>
          <w:szCs w:val="28"/>
        </w:rPr>
        <w:footnoteReference w:id="6"/>
      </w:r>
      <w:r w:rsidR="009F3F39">
        <w:rPr>
          <w:rFonts w:ascii="Calibri" w:hAnsi="Calibri" w:cs="Arial"/>
          <w:color w:val="003366"/>
          <w:sz w:val="28"/>
          <w:szCs w:val="28"/>
        </w:rPr>
        <w:t xml:space="preserve"> </w:t>
      </w:r>
      <w:r w:rsidR="00834707">
        <w:rPr>
          <w:rFonts w:ascii="Calibri" w:hAnsi="Calibri" w:cs="Arial"/>
          <w:color w:val="003366"/>
          <w:sz w:val="28"/>
          <w:szCs w:val="28"/>
        </w:rPr>
        <w:t>A great deal of the responsibility for this was due to the literate clergy.</w:t>
      </w:r>
    </w:p>
    <w:p w:rsidR="000F4A68" w:rsidRDefault="001922DD" w:rsidP="00630F30">
      <w:pPr>
        <w:pStyle w:val="NormalWeb"/>
        <w:ind w:firstLine="720"/>
        <w:jc w:val="both"/>
        <w:rPr>
          <w:rFonts w:ascii="Calibri" w:hAnsi="Calibri" w:cs="Arial"/>
          <w:color w:val="003366"/>
          <w:sz w:val="28"/>
          <w:szCs w:val="28"/>
        </w:rPr>
      </w:pPr>
      <w:r w:rsidRPr="00116790">
        <w:rPr>
          <w:rFonts w:ascii="Calibri" w:hAnsi="Calibri" w:cs="Arial"/>
          <w:color w:val="003366"/>
          <w:sz w:val="28"/>
          <w:szCs w:val="28"/>
        </w:rPr>
        <w:t>The period between the Cnut invasion of 1016 and the Norman invasion of 1066 has not drawn to it the same level of attention by historians as the events of 1066 and after have. In ‘Changing Thegns:</w:t>
      </w:r>
      <w:r w:rsidR="000C6B5D" w:rsidRPr="00116790">
        <w:rPr>
          <w:rFonts w:ascii="Calibri" w:hAnsi="Calibri" w:cs="Arial"/>
          <w:color w:val="003366"/>
          <w:sz w:val="28"/>
          <w:szCs w:val="28"/>
        </w:rPr>
        <w:t xml:space="preserve"> </w:t>
      </w:r>
      <w:r w:rsidRPr="00116790">
        <w:rPr>
          <w:rFonts w:ascii="Calibri" w:hAnsi="Calibri" w:cs="Arial"/>
          <w:color w:val="003366"/>
          <w:sz w:val="28"/>
          <w:szCs w:val="28"/>
        </w:rPr>
        <w:t>Cnut’s Conquest and the English Aristocracy</w:t>
      </w:r>
      <w:r w:rsidR="000C6B5D" w:rsidRPr="00116790">
        <w:rPr>
          <w:rFonts w:ascii="Calibri" w:hAnsi="Calibri" w:cs="Arial"/>
          <w:color w:val="003366"/>
          <w:sz w:val="28"/>
          <w:szCs w:val="28"/>
        </w:rPr>
        <w:t>’ Katharin Mack convincingly sets out what a turbulent time this was and how a visible strata of English aristocracy was decimated.</w:t>
      </w:r>
      <w:r w:rsidR="000C6B5D" w:rsidRPr="00116790">
        <w:rPr>
          <w:rStyle w:val="FootnoteReference"/>
          <w:rFonts w:ascii="Calibri" w:hAnsi="Calibri" w:cs="Arial"/>
          <w:color w:val="003366"/>
          <w:sz w:val="28"/>
          <w:szCs w:val="28"/>
        </w:rPr>
        <w:footnoteReference w:id="7"/>
      </w:r>
      <w:r w:rsidRPr="00116790">
        <w:rPr>
          <w:rFonts w:ascii="Calibri" w:hAnsi="Calibri" w:cs="Arial"/>
          <w:color w:val="003366"/>
          <w:sz w:val="28"/>
          <w:szCs w:val="28"/>
        </w:rPr>
        <w:t xml:space="preserve"> </w:t>
      </w:r>
      <w:r w:rsidR="000C6B5D" w:rsidRPr="00116790">
        <w:rPr>
          <w:rFonts w:ascii="Calibri" w:hAnsi="Calibri" w:cs="Arial"/>
          <w:color w:val="003366"/>
          <w:sz w:val="28"/>
          <w:szCs w:val="28"/>
        </w:rPr>
        <w:t xml:space="preserve">Frank Stenton puts forward a </w:t>
      </w:r>
      <w:r w:rsidR="00F531C2" w:rsidRPr="00116790">
        <w:rPr>
          <w:rFonts w:ascii="Calibri" w:hAnsi="Calibri" w:cs="Arial"/>
          <w:color w:val="003366"/>
          <w:sz w:val="28"/>
          <w:szCs w:val="28"/>
        </w:rPr>
        <w:t>well-reasoned</w:t>
      </w:r>
      <w:r w:rsidR="000C6B5D" w:rsidRPr="00116790">
        <w:rPr>
          <w:rFonts w:ascii="Calibri" w:hAnsi="Calibri" w:cs="Arial"/>
          <w:color w:val="003366"/>
          <w:sz w:val="28"/>
          <w:szCs w:val="28"/>
        </w:rPr>
        <w:t xml:space="preserve"> account that shows that Cnut was indeed well disposed towards the church and that this was a time of continuity </w:t>
      </w:r>
      <w:r w:rsidR="000C6B5D" w:rsidRPr="00116790">
        <w:rPr>
          <w:rFonts w:ascii="Calibri" w:hAnsi="Calibri" w:cs="Arial"/>
          <w:color w:val="003366"/>
          <w:sz w:val="28"/>
          <w:szCs w:val="28"/>
        </w:rPr>
        <w:lastRenderedPageBreak/>
        <w:t>and support for the church.</w:t>
      </w:r>
      <w:r w:rsidR="0072582D" w:rsidRPr="00116790">
        <w:rPr>
          <w:rStyle w:val="FootnoteReference"/>
          <w:rFonts w:ascii="Calibri" w:hAnsi="Calibri" w:cs="Arial"/>
          <w:color w:val="003366"/>
          <w:sz w:val="28"/>
          <w:szCs w:val="28"/>
        </w:rPr>
        <w:footnoteReference w:id="8"/>
      </w:r>
      <w:r w:rsidR="00687D4F" w:rsidRPr="00116790">
        <w:rPr>
          <w:rFonts w:ascii="Calibri" w:hAnsi="Calibri" w:cs="Arial"/>
          <w:color w:val="003366"/>
          <w:sz w:val="28"/>
          <w:szCs w:val="28"/>
        </w:rPr>
        <w:t xml:space="preserve"> This may have led to an increase in the manufacture of and retention of manuscripts by the </w:t>
      </w:r>
      <w:r w:rsidR="0072582D" w:rsidRPr="00116790">
        <w:rPr>
          <w:rFonts w:ascii="Calibri" w:hAnsi="Calibri" w:cs="Arial"/>
          <w:color w:val="003366"/>
          <w:sz w:val="28"/>
          <w:szCs w:val="28"/>
        </w:rPr>
        <w:t>religious houses as they filled an organisational void left by the depleted minor aristocracy.</w:t>
      </w:r>
      <w:r w:rsidR="00DA653C" w:rsidRPr="00116790">
        <w:rPr>
          <w:rFonts w:ascii="Calibri" w:hAnsi="Calibri" w:cs="Arial"/>
          <w:color w:val="003366"/>
          <w:sz w:val="28"/>
          <w:szCs w:val="28"/>
        </w:rPr>
        <w:t xml:space="preserve"> </w:t>
      </w:r>
      <w:r w:rsidR="003F514E">
        <w:rPr>
          <w:rFonts w:ascii="Calibri" w:hAnsi="Calibri" w:cs="Arial"/>
          <w:color w:val="003366"/>
          <w:sz w:val="28"/>
          <w:szCs w:val="28"/>
        </w:rPr>
        <w:t>As evidence i</w:t>
      </w:r>
      <w:r w:rsidR="00DA653C" w:rsidRPr="00116790">
        <w:rPr>
          <w:rFonts w:ascii="Calibri" w:hAnsi="Calibri" w:cs="Arial"/>
          <w:color w:val="003366"/>
          <w:sz w:val="28"/>
          <w:szCs w:val="28"/>
        </w:rPr>
        <w:t>n support of this there was a brief occurrence in the Eleventh-century of charters being recorded in Gospels</w:t>
      </w:r>
      <w:r w:rsidR="000B33DF" w:rsidRPr="00116790">
        <w:rPr>
          <w:rFonts w:ascii="Calibri" w:hAnsi="Calibri" w:cs="Arial"/>
          <w:color w:val="003366"/>
          <w:sz w:val="28"/>
          <w:szCs w:val="28"/>
        </w:rPr>
        <w:t>, as Richard Gameson reveals in his work on The Hereford Gospel, an Eig</w:t>
      </w:r>
      <w:r w:rsidR="000F4A68">
        <w:rPr>
          <w:rFonts w:ascii="Calibri" w:hAnsi="Calibri" w:cs="Arial"/>
          <w:color w:val="003366"/>
          <w:sz w:val="28"/>
          <w:szCs w:val="28"/>
        </w:rPr>
        <w:t>h</w:t>
      </w:r>
      <w:r w:rsidR="000B33DF" w:rsidRPr="00116790">
        <w:rPr>
          <w:rFonts w:ascii="Calibri" w:hAnsi="Calibri" w:cs="Arial"/>
          <w:color w:val="003366"/>
          <w:sz w:val="28"/>
          <w:szCs w:val="28"/>
        </w:rPr>
        <w:t>th-century Gospel with two Eleventh-century charters attached</w:t>
      </w:r>
      <w:r w:rsidR="00F76287">
        <w:rPr>
          <w:rFonts w:ascii="Calibri" w:hAnsi="Calibri" w:cs="Arial"/>
          <w:color w:val="003366"/>
          <w:sz w:val="28"/>
          <w:szCs w:val="28"/>
        </w:rPr>
        <w:t>;</w:t>
      </w:r>
      <w:r w:rsidR="000B33DF" w:rsidRPr="00116790">
        <w:rPr>
          <w:rFonts w:ascii="Calibri" w:hAnsi="Calibri" w:cs="Arial"/>
          <w:color w:val="003366"/>
          <w:sz w:val="28"/>
          <w:szCs w:val="28"/>
        </w:rPr>
        <w:t xml:space="preserve"> </w:t>
      </w:r>
      <w:r w:rsidR="00DA653C" w:rsidRPr="00116790">
        <w:rPr>
          <w:rFonts w:ascii="Calibri" w:hAnsi="Calibri" w:cs="Arial"/>
          <w:color w:val="003366"/>
          <w:sz w:val="28"/>
          <w:szCs w:val="28"/>
        </w:rPr>
        <w:t>however</w:t>
      </w:r>
      <w:r w:rsidR="00F76287">
        <w:rPr>
          <w:rFonts w:ascii="Calibri" w:hAnsi="Calibri" w:cs="Arial"/>
          <w:color w:val="003366"/>
          <w:sz w:val="28"/>
          <w:szCs w:val="28"/>
        </w:rPr>
        <w:t>,</w:t>
      </w:r>
      <w:r w:rsidR="00DA653C" w:rsidRPr="00116790">
        <w:rPr>
          <w:rFonts w:ascii="Calibri" w:hAnsi="Calibri" w:cs="Arial"/>
          <w:color w:val="003366"/>
          <w:sz w:val="28"/>
          <w:szCs w:val="28"/>
        </w:rPr>
        <w:t xml:space="preserve"> the reasons for this are not clear</w:t>
      </w:r>
      <w:r w:rsidR="000B33DF" w:rsidRPr="00116790">
        <w:rPr>
          <w:rFonts w:ascii="Calibri" w:hAnsi="Calibri" w:cs="Arial"/>
          <w:color w:val="003366"/>
          <w:sz w:val="28"/>
          <w:szCs w:val="28"/>
        </w:rPr>
        <w:t xml:space="preserve"> cut</w:t>
      </w:r>
      <w:r w:rsidR="00DA653C" w:rsidRPr="00116790">
        <w:rPr>
          <w:rFonts w:ascii="Calibri" w:hAnsi="Calibri" w:cs="Arial"/>
          <w:color w:val="003366"/>
          <w:sz w:val="28"/>
          <w:szCs w:val="28"/>
        </w:rPr>
        <w:t>.</w:t>
      </w:r>
      <w:r w:rsidR="00DA653C" w:rsidRPr="00116790">
        <w:rPr>
          <w:rStyle w:val="FootnoteReference"/>
          <w:rFonts w:ascii="Calibri" w:hAnsi="Calibri" w:cs="Arial"/>
          <w:color w:val="003366"/>
          <w:sz w:val="28"/>
          <w:szCs w:val="28"/>
        </w:rPr>
        <w:footnoteReference w:id="9"/>
      </w:r>
      <w:r w:rsidR="000B33DF" w:rsidRPr="00116790">
        <w:rPr>
          <w:rFonts w:ascii="Calibri" w:hAnsi="Calibri" w:cs="Arial"/>
          <w:color w:val="003366"/>
          <w:sz w:val="28"/>
          <w:szCs w:val="28"/>
        </w:rPr>
        <w:t xml:space="preserve"> </w:t>
      </w:r>
    </w:p>
    <w:p w:rsidR="00F10FAD" w:rsidRDefault="00C87345" w:rsidP="00630F30">
      <w:pPr>
        <w:pStyle w:val="NormalWeb"/>
        <w:ind w:firstLine="720"/>
        <w:jc w:val="both"/>
        <w:rPr>
          <w:rFonts w:ascii="Calibri" w:hAnsi="Calibri" w:cs="Arial"/>
          <w:color w:val="003366"/>
          <w:sz w:val="28"/>
          <w:szCs w:val="28"/>
        </w:rPr>
      </w:pPr>
      <w:r w:rsidRPr="00116790">
        <w:rPr>
          <w:rFonts w:ascii="Calibri" w:hAnsi="Calibri" w:cs="Arial"/>
          <w:color w:val="003366"/>
          <w:sz w:val="28"/>
          <w:szCs w:val="28"/>
        </w:rPr>
        <w:t>From Christopher De Hamel we lear</w:t>
      </w:r>
      <w:r w:rsidR="00DA653C" w:rsidRPr="00116790">
        <w:rPr>
          <w:rFonts w:ascii="Calibri" w:hAnsi="Calibri" w:cs="Arial"/>
          <w:color w:val="003366"/>
          <w:sz w:val="28"/>
          <w:szCs w:val="28"/>
        </w:rPr>
        <w:t>n that in the Eleventh-century t</w:t>
      </w:r>
      <w:r w:rsidRPr="00116790">
        <w:rPr>
          <w:rFonts w:ascii="Calibri" w:hAnsi="Calibri" w:cs="Arial"/>
          <w:color w:val="003366"/>
          <w:sz w:val="28"/>
          <w:szCs w:val="28"/>
        </w:rPr>
        <w:t>he vast majority of manuscript manufacture was still in the hands of the religious houses and that</w:t>
      </w:r>
      <w:r w:rsidR="00DA653C" w:rsidRPr="00116790">
        <w:rPr>
          <w:rFonts w:ascii="Calibri" w:hAnsi="Calibri" w:cs="Arial"/>
          <w:color w:val="003366"/>
          <w:sz w:val="28"/>
          <w:szCs w:val="28"/>
        </w:rPr>
        <w:t xml:space="preserve"> this would remain the case until at least the end of the century. Not until the beginning of the Thirteenth-century is there good evidence of secular workshops making and selling manuscripts to the laity.</w:t>
      </w:r>
      <w:r w:rsidR="00DA653C" w:rsidRPr="00116790">
        <w:rPr>
          <w:rStyle w:val="FootnoteReference"/>
          <w:rFonts w:ascii="Calibri" w:hAnsi="Calibri" w:cs="Arial"/>
          <w:color w:val="003366"/>
          <w:sz w:val="28"/>
          <w:szCs w:val="28"/>
        </w:rPr>
        <w:footnoteReference w:id="10"/>
      </w:r>
      <w:r w:rsidR="000B33DF" w:rsidRPr="00116790">
        <w:rPr>
          <w:rFonts w:ascii="Calibri" w:hAnsi="Calibri" w:cs="Arial"/>
          <w:color w:val="003366"/>
          <w:sz w:val="28"/>
          <w:szCs w:val="28"/>
        </w:rPr>
        <w:t xml:space="preserve"> The great shift in the recording of information from oral to written, as delineated by Clanchy in his seminal work</w:t>
      </w:r>
      <w:r w:rsidR="00F76287">
        <w:rPr>
          <w:rFonts w:ascii="Calibri" w:hAnsi="Calibri" w:cs="Arial"/>
          <w:color w:val="003366"/>
          <w:sz w:val="28"/>
          <w:szCs w:val="28"/>
        </w:rPr>
        <w:t>,</w:t>
      </w:r>
      <w:r w:rsidR="000B33DF" w:rsidRPr="00116790">
        <w:rPr>
          <w:rFonts w:ascii="Calibri" w:hAnsi="Calibri" w:cs="Arial"/>
          <w:color w:val="003366"/>
          <w:sz w:val="28"/>
          <w:szCs w:val="28"/>
        </w:rPr>
        <w:t xml:space="preserve"> had not as yet taken place in the Eleventh-century.</w:t>
      </w:r>
      <w:r w:rsidR="000B33DF" w:rsidRPr="00116790">
        <w:rPr>
          <w:rStyle w:val="FootnoteReference"/>
          <w:rFonts w:ascii="Calibri" w:hAnsi="Calibri" w:cs="Arial"/>
          <w:color w:val="003366"/>
          <w:sz w:val="28"/>
          <w:szCs w:val="28"/>
        </w:rPr>
        <w:footnoteReference w:id="11"/>
      </w:r>
      <w:r w:rsidR="00DA653C" w:rsidRPr="00116790">
        <w:rPr>
          <w:rFonts w:ascii="Calibri" w:hAnsi="Calibri" w:cs="Arial"/>
          <w:color w:val="003366"/>
          <w:sz w:val="28"/>
          <w:szCs w:val="28"/>
        </w:rPr>
        <w:t xml:space="preserve"> </w:t>
      </w:r>
      <w:r w:rsidRPr="00116790">
        <w:rPr>
          <w:rFonts w:ascii="Calibri" w:hAnsi="Calibri" w:cs="Arial"/>
          <w:color w:val="003366"/>
          <w:sz w:val="28"/>
          <w:szCs w:val="28"/>
        </w:rPr>
        <w:t xml:space="preserve"> </w:t>
      </w:r>
      <w:r w:rsidR="003F514E">
        <w:rPr>
          <w:rFonts w:ascii="Calibri" w:hAnsi="Calibri" w:cs="Arial"/>
          <w:color w:val="003366"/>
          <w:sz w:val="28"/>
          <w:szCs w:val="28"/>
        </w:rPr>
        <w:t>We can model the society of the mid eleventh century as one where information was held within an oral laity and a literate clergy. This has the crudity of all models in that it reduces vast swathes of nuanced life to</w:t>
      </w:r>
      <w:r w:rsidR="00F76287">
        <w:rPr>
          <w:rFonts w:ascii="Calibri" w:hAnsi="Calibri" w:cs="Arial"/>
          <w:color w:val="003366"/>
          <w:sz w:val="28"/>
          <w:szCs w:val="28"/>
        </w:rPr>
        <w:t xml:space="preserve"> the bludgeon of binary choices. H</w:t>
      </w:r>
      <w:r w:rsidR="003F514E">
        <w:rPr>
          <w:rFonts w:ascii="Calibri" w:hAnsi="Calibri" w:cs="Arial"/>
          <w:color w:val="003366"/>
          <w:sz w:val="28"/>
          <w:szCs w:val="28"/>
        </w:rPr>
        <w:t>owever</w:t>
      </w:r>
      <w:r w:rsidR="00F76287">
        <w:rPr>
          <w:rFonts w:ascii="Calibri" w:hAnsi="Calibri" w:cs="Arial"/>
          <w:color w:val="003366"/>
          <w:sz w:val="28"/>
          <w:szCs w:val="28"/>
        </w:rPr>
        <w:t>,</w:t>
      </w:r>
      <w:r w:rsidR="003F514E">
        <w:rPr>
          <w:rFonts w:ascii="Calibri" w:hAnsi="Calibri" w:cs="Arial"/>
          <w:color w:val="003366"/>
          <w:sz w:val="28"/>
          <w:szCs w:val="28"/>
        </w:rPr>
        <w:t xml:space="preserve"> in the case of the image that we are considering</w:t>
      </w:r>
      <w:r w:rsidR="00F76287">
        <w:rPr>
          <w:rFonts w:ascii="Calibri" w:hAnsi="Calibri" w:cs="Arial"/>
          <w:color w:val="003366"/>
          <w:sz w:val="28"/>
          <w:szCs w:val="28"/>
        </w:rPr>
        <w:t>,</w:t>
      </w:r>
      <w:r w:rsidR="003F514E">
        <w:rPr>
          <w:rFonts w:ascii="Calibri" w:hAnsi="Calibri" w:cs="Arial"/>
          <w:color w:val="003366"/>
          <w:sz w:val="28"/>
          <w:szCs w:val="28"/>
        </w:rPr>
        <w:t xml:space="preserve"> </w:t>
      </w:r>
      <w:r w:rsidR="009314B5">
        <w:rPr>
          <w:rFonts w:ascii="Calibri" w:hAnsi="Calibri" w:cs="Arial"/>
          <w:color w:val="003366"/>
          <w:sz w:val="28"/>
          <w:szCs w:val="28"/>
        </w:rPr>
        <w:t xml:space="preserve">the model has an apt synchronicity as the picture is of an illiterate laity and created by a literate clergy. </w:t>
      </w:r>
      <w:r w:rsidR="003F514E">
        <w:rPr>
          <w:rFonts w:ascii="Calibri" w:hAnsi="Calibri" w:cs="Arial"/>
          <w:color w:val="003366"/>
          <w:sz w:val="28"/>
          <w:szCs w:val="28"/>
        </w:rPr>
        <w:t xml:space="preserve"> </w:t>
      </w:r>
    </w:p>
    <w:p w:rsidR="001922DD" w:rsidRDefault="00F10FAD" w:rsidP="00630F30">
      <w:pPr>
        <w:pStyle w:val="NormalWeb"/>
        <w:ind w:firstLine="720"/>
        <w:jc w:val="both"/>
        <w:rPr>
          <w:rFonts w:ascii="Calibri" w:hAnsi="Calibri" w:cs="Arial"/>
          <w:color w:val="003366"/>
          <w:sz w:val="28"/>
          <w:szCs w:val="28"/>
        </w:rPr>
      </w:pPr>
      <w:r>
        <w:rPr>
          <w:rFonts w:ascii="Calibri" w:hAnsi="Calibri" w:cs="Arial"/>
          <w:color w:val="003366"/>
          <w:sz w:val="28"/>
          <w:szCs w:val="28"/>
        </w:rPr>
        <w:t xml:space="preserve">Dealing with the materiality of the manuscript, it is produced on vellum </w:t>
      </w:r>
      <w:r w:rsidR="00A91AAF">
        <w:rPr>
          <w:rFonts w:ascii="Calibri" w:hAnsi="Calibri" w:cs="Arial"/>
          <w:color w:val="003366"/>
          <w:sz w:val="28"/>
          <w:szCs w:val="28"/>
        </w:rPr>
        <w:t>and has a simple colour palette reminiscent of earlier Insular work and indicating that this would have been a ‘working’ document rat</w:t>
      </w:r>
      <w:r w:rsidR="00EB2671">
        <w:rPr>
          <w:rFonts w:ascii="Calibri" w:hAnsi="Calibri" w:cs="Arial"/>
          <w:color w:val="003366"/>
          <w:sz w:val="28"/>
          <w:szCs w:val="28"/>
        </w:rPr>
        <w:t>her than a work of veneration.</w:t>
      </w:r>
      <w:r w:rsidR="00C17F0D">
        <w:rPr>
          <w:rStyle w:val="FootnoteReference"/>
          <w:rFonts w:ascii="Calibri" w:hAnsi="Calibri" w:cs="Arial"/>
          <w:color w:val="003366"/>
          <w:sz w:val="28"/>
          <w:szCs w:val="28"/>
        </w:rPr>
        <w:footnoteReference w:id="12"/>
      </w:r>
      <w:r w:rsidR="00EB2671">
        <w:rPr>
          <w:rFonts w:ascii="Calibri" w:hAnsi="Calibri" w:cs="Arial"/>
          <w:color w:val="003366"/>
          <w:sz w:val="28"/>
          <w:szCs w:val="28"/>
        </w:rPr>
        <w:t xml:space="preserve"> We can evidence this if we look at a comparison of this image with an example of the highest form of the art made for veneration such as the Winchester Bible </w:t>
      </w:r>
      <w:r w:rsidR="00AB390A">
        <w:rPr>
          <w:rFonts w:ascii="Calibri" w:hAnsi="Calibri" w:cs="Arial"/>
          <w:color w:val="003366"/>
          <w:sz w:val="28"/>
          <w:szCs w:val="28"/>
        </w:rPr>
        <w:t xml:space="preserve">(see below). The Cotton Tiberius image that we are considering is, even allowing for the fact that it was created a hundred years earlier than the Winchester Bible, much simpler in its execution and the materials utilised.  </w:t>
      </w:r>
    </w:p>
    <w:p w:rsidR="00EB2671" w:rsidRPr="00116790" w:rsidRDefault="00EB2671" w:rsidP="00EB2671">
      <w:pPr>
        <w:pStyle w:val="NormalWeb"/>
        <w:jc w:val="both"/>
        <w:rPr>
          <w:rFonts w:ascii="Calibri" w:hAnsi="Calibri" w:cs="Arial"/>
          <w:color w:val="003366"/>
          <w:sz w:val="28"/>
          <w:szCs w:val="28"/>
        </w:rPr>
      </w:pPr>
      <w:r>
        <w:rPr>
          <w:noProof/>
        </w:rPr>
        <w:lastRenderedPageBreak/>
        <w:drawing>
          <wp:inline distT="0" distB="0" distL="0" distR="0" wp14:anchorId="5369364C" wp14:editId="7B9C9344">
            <wp:extent cx="2705100" cy="1992707"/>
            <wp:effectExtent l="0" t="0" r="0" b="0"/>
            <wp:docPr id="1" name="Picture 1" descr="The Winchester Bible - Winchester Cathed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Winchester Bible - Winchester Cathedr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6649" cy="1993848"/>
                    </a:xfrm>
                    <a:prstGeom prst="rect">
                      <a:avLst/>
                    </a:prstGeom>
                    <a:noFill/>
                    <a:ln>
                      <a:noFill/>
                    </a:ln>
                  </pic:spPr>
                </pic:pic>
              </a:graphicData>
            </a:graphic>
          </wp:inline>
        </w:drawing>
      </w:r>
      <w:r>
        <w:rPr>
          <w:rStyle w:val="FootnoteReference"/>
          <w:rFonts w:ascii="Calibri" w:hAnsi="Calibri" w:cs="Arial"/>
          <w:color w:val="003366"/>
          <w:sz w:val="28"/>
          <w:szCs w:val="28"/>
        </w:rPr>
        <w:footnoteReference w:id="13"/>
      </w:r>
      <w:r>
        <w:rPr>
          <w:rFonts w:ascii="Calibri" w:hAnsi="Calibri" w:cs="Arial"/>
          <w:color w:val="003366"/>
          <w:sz w:val="28"/>
          <w:szCs w:val="28"/>
        </w:rPr>
        <w:t xml:space="preserve"> 1 Kings, the third book of Kings f.109</w:t>
      </w:r>
    </w:p>
    <w:p w:rsidR="00AB390A" w:rsidRDefault="00AB390A" w:rsidP="006B207C">
      <w:pPr>
        <w:pStyle w:val="NormalWeb"/>
        <w:ind w:firstLine="720"/>
        <w:jc w:val="both"/>
        <w:rPr>
          <w:rFonts w:ascii="Calibri" w:hAnsi="Calibri" w:cs="Arial"/>
          <w:color w:val="003366"/>
          <w:sz w:val="28"/>
          <w:szCs w:val="28"/>
        </w:rPr>
      </w:pPr>
      <w:r>
        <w:rPr>
          <w:rFonts w:ascii="Calibri" w:hAnsi="Calibri" w:cs="Arial"/>
          <w:color w:val="003366"/>
          <w:sz w:val="28"/>
          <w:szCs w:val="28"/>
        </w:rPr>
        <w:t xml:space="preserve">A three colour palette without any adornment of leaf </w:t>
      </w:r>
      <w:r w:rsidR="00435C01">
        <w:rPr>
          <w:rFonts w:ascii="Calibri" w:hAnsi="Calibri" w:cs="Arial"/>
          <w:color w:val="003366"/>
          <w:sz w:val="28"/>
          <w:szCs w:val="28"/>
        </w:rPr>
        <w:t>or Lapis would indicate that this was a document for use within the church</w:t>
      </w:r>
      <w:r w:rsidR="00F24D56">
        <w:rPr>
          <w:rFonts w:ascii="Calibri" w:hAnsi="Calibri" w:cs="Arial"/>
          <w:color w:val="003366"/>
          <w:sz w:val="28"/>
          <w:szCs w:val="28"/>
        </w:rPr>
        <w:t xml:space="preserve"> not as an ornament or gift for a patron</w:t>
      </w:r>
      <w:r w:rsidR="00B10D62">
        <w:rPr>
          <w:rFonts w:ascii="Calibri" w:hAnsi="Calibri" w:cs="Arial"/>
          <w:color w:val="003366"/>
          <w:sz w:val="28"/>
          <w:szCs w:val="28"/>
        </w:rPr>
        <w:t>s use</w:t>
      </w:r>
      <w:r w:rsidR="00435C01">
        <w:rPr>
          <w:rFonts w:ascii="Calibri" w:hAnsi="Calibri" w:cs="Arial"/>
          <w:color w:val="003366"/>
          <w:sz w:val="28"/>
          <w:szCs w:val="28"/>
        </w:rPr>
        <w:t>. The positioning of the image above a calendar</w:t>
      </w:r>
      <w:r w:rsidR="009D4AE9">
        <w:rPr>
          <w:rFonts w:ascii="Calibri" w:hAnsi="Calibri" w:cs="Arial"/>
          <w:color w:val="003366"/>
          <w:sz w:val="28"/>
          <w:szCs w:val="28"/>
        </w:rPr>
        <w:t>, often a so-called labour or occupation of the month,</w:t>
      </w:r>
      <w:r w:rsidR="009D4AE9">
        <w:rPr>
          <w:rStyle w:val="FootnoteReference"/>
          <w:rFonts w:ascii="Calibri" w:hAnsi="Calibri" w:cs="Arial"/>
          <w:color w:val="003366"/>
          <w:sz w:val="28"/>
          <w:szCs w:val="28"/>
        </w:rPr>
        <w:footnoteReference w:id="14"/>
      </w:r>
      <w:r w:rsidR="00435C01">
        <w:rPr>
          <w:rFonts w:ascii="Calibri" w:hAnsi="Calibri" w:cs="Arial"/>
          <w:color w:val="003366"/>
          <w:sz w:val="28"/>
          <w:szCs w:val="28"/>
        </w:rPr>
        <w:t xml:space="preserve"> signals its utility as an instrument for tracking religious days, feast days and those of special observance of Saints.  </w:t>
      </w:r>
    </w:p>
    <w:p w:rsidR="006B207C" w:rsidRPr="00116790" w:rsidRDefault="007A2046" w:rsidP="006B207C">
      <w:pPr>
        <w:pStyle w:val="NormalWeb"/>
        <w:ind w:firstLine="720"/>
        <w:jc w:val="both"/>
        <w:rPr>
          <w:rFonts w:ascii="Calibri" w:hAnsi="Calibri" w:cs="Arial"/>
          <w:color w:val="003366"/>
          <w:sz w:val="28"/>
          <w:szCs w:val="28"/>
        </w:rPr>
      </w:pPr>
      <w:r w:rsidRPr="00116790">
        <w:rPr>
          <w:rFonts w:ascii="Calibri" w:hAnsi="Calibri" w:cs="Arial"/>
          <w:color w:val="003366"/>
          <w:sz w:val="28"/>
          <w:szCs w:val="28"/>
        </w:rPr>
        <w:t>In assessing the image we must</w:t>
      </w:r>
      <w:r w:rsidR="00F76287">
        <w:rPr>
          <w:rFonts w:ascii="Calibri" w:hAnsi="Calibri" w:cs="Arial"/>
          <w:color w:val="003366"/>
          <w:sz w:val="28"/>
          <w:szCs w:val="28"/>
        </w:rPr>
        <w:t>,</w:t>
      </w:r>
      <w:r w:rsidRPr="00116790">
        <w:rPr>
          <w:rFonts w:ascii="Calibri" w:hAnsi="Calibri" w:cs="Arial"/>
          <w:color w:val="003366"/>
          <w:sz w:val="28"/>
          <w:szCs w:val="28"/>
        </w:rPr>
        <w:t xml:space="preserve"> as ever</w:t>
      </w:r>
      <w:r w:rsidR="00F76287">
        <w:rPr>
          <w:rFonts w:ascii="Calibri" w:hAnsi="Calibri" w:cs="Arial"/>
          <w:color w:val="003366"/>
          <w:sz w:val="28"/>
          <w:szCs w:val="28"/>
        </w:rPr>
        <w:t>,</w:t>
      </w:r>
      <w:r w:rsidRPr="00116790">
        <w:rPr>
          <w:rFonts w:ascii="Calibri" w:hAnsi="Calibri" w:cs="Arial"/>
          <w:color w:val="003366"/>
          <w:sz w:val="28"/>
          <w:szCs w:val="28"/>
        </w:rPr>
        <w:t xml:space="preserve"> be aware of where and by whom it was created. Whether in Canterbury or in Winchester this would have been the product of a religious house and subject to the views of those who made it.</w:t>
      </w:r>
      <w:r w:rsidR="000F4A68">
        <w:rPr>
          <w:rFonts w:ascii="Calibri" w:hAnsi="Calibri" w:cs="Arial"/>
          <w:color w:val="003366"/>
          <w:sz w:val="28"/>
          <w:szCs w:val="28"/>
        </w:rPr>
        <w:t xml:space="preserve"> In assessing the image itself we can put forward that t</w:t>
      </w:r>
      <w:r w:rsidRPr="00116790">
        <w:rPr>
          <w:rFonts w:ascii="Calibri" w:hAnsi="Calibri" w:cs="Arial"/>
          <w:color w:val="003366"/>
          <w:sz w:val="28"/>
          <w:szCs w:val="28"/>
        </w:rPr>
        <w:t xml:space="preserve">he presence of four Oxen could represent the four Apostolic </w:t>
      </w:r>
      <w:r w:rsidR="00722CE4" w:rsidRPr="00116790">
        <w:rPr>
          <w:rFonts w:ascii="Calibri" w:hAnsi="Calibri" w:cs="Arial"/>
          <w:color w:val="003366"/>
          <w:sz w:val="28"/>
          <w:szCs w:val="28"/>
        </w:rPr>
        <w:t>Gospels of</w:t>
      </w:r>
      <w:r w:rsidRPr="00116790">
        <w:rPr>
          <w:rFonts w:ascii="Calibri" w:hAnsi="Calibri" w:cs="Arial"/>
          <w:color w:val="003366"/>
          <w:sz w:val="28"/>
          <w:szCs w:val="28"/>
        </w:rPr>
        <w:t xml:space="preserve"> Matthew, Mark, Luke and John, as is argued by </w:t>
      </w:r>
      <w:r w:rsidR="00722CE4" w:rsidRPr="00116790">
        <w:rPr>
          <w:rFonts w:ascii="Calibri" w:hAnsi="Calibri" w:cs="Arial"/>
          <w:color w:val="003366"/>
          <w:sz w:val="28"/>
          <w:szCs w:val="28"/>
        </w:rPr>
        <w:t>Sandler in relation to the Luttrell Psalter</w:t>
      </w:r>
      <w:r w:rsidR="00F76287">
        <w:rPr>
          <w:rFonts w:ascii="Calibri" w:hAnsi="Calibri" w:cs="Arial"/>
          <w:color w:val="003366"/>
          <w:sz w:val="28"/>
          <w:szCs w:val="28"/>
        </w:rPr>
        <w:t>;</w:t>
      </w:r>
      <w:r w:rsidR="00722CE4" w:rsidRPr="00116790">
        <w:rPr>
          <w:rStyle w:val="FootnoteReference"/>
          <w:rFonts w:ascii="Calibri" w:hAnsi="Calibri" w:cs="Arial"/>
          <w:color w:val="003366"/>
          <w:sz w:val="28"/>
          <w:szCs w:val="28"/>
        </w:rPr>
        <w:footnoteReference w:id="15"/>
      </w:r>
      <w:r w:rsidR="00722CE4" w:rsidRPr="00116790">
        <w:rPr>
          <w:rFonts w:ascii="Calibri" w:hAnsi="Calibri" w:cs="Arial"/>
          <w:color w:val="003366"/>
          <w:sz w:val="28"/>
          <w:szCs w:val="28"/>
        </w:rPr>
        <w:t xml:space="preserve"> or that the presence of three figures in the image relates to the Trinity and the act of sowing is the yearly replenishment of the Earth</w:t>
      </w:r>
      <w:r w:rsidR="00EF4B2F" w:rsidRPr="00116790">
        <w:rPr>
          <w:rFonts w:ascii="Calibri" w:hAnsi="Calibri" w:cs="Arial"/>
          <w:color w:val="003366"/>
          <w:sz w:val="28"/>
          <w:szCs w:val="28"/>
        </w:rPr>
        <w:t xml:space="preserve"> by God</w:t>
      </w:r>
      <w:r w:rsidR="00722CE4" w:rsidRPr="00116790">
        <w:rPr>
          <w:rFonts w:ascii="Calibri" w:hAnsi="Calibri" w:cs="Arial"/>
          <w:color w:val="003366"/>
          <w:sz w:val="28"/>
          <w:szCs w:val="28"/>
        </w:rPr>
        <w:t xml:space="preserve">. </w:t>
      </w:r>
      <w:r w:rsidR="00F1677A" w:rsidRPr="00116790">
        <w:rPr>
          <w:rFonts w:ascii="Calibri" w:hAnsi="Calibri" w:cs="Arial"/>
          <w:color w:val="003366"/>
          <w:sz w:val="28"/>
          <w:szCs w:val="28"/>
        </w:rPr>
        <w:t>A depiction of Earth as a mirror of heaven and the cycles of the year rendering each person in his allotted place as mandated by God. Three figures also appear in February, March and April’s images where</w:t>
      </w:r>
      <w:r w:rsidR="00F76287">
        <w:rPr>
          <w:rFonts w:ascii="Calibri" w:hAnsi="Calibri" w:cs="Arial"/>
          <w:color w:val="003366"/>
          <w:sz w:val="28"/>
          <w:szCs w:val="28"/>
        </w:rPr>
        <w:t>,</w:t>
      </w:r>
      <w:r w:rsidR="00F1677A" w:rsidRPr="00116790">
        <w:rPr>
          <w:rFonts w:ascii="Calibri" w:hAnsi="Calibri" w:cs="Arial"/>
          <w:color w:val="003366"/>
          <w:sz w:val="28"/>
          <w:szCs w:val="28"/>
        </w:rPr>
        <w:t xml:space="preserve"> in April</w:t>
      </w:r>
      <w:r w:rsidR="00F76287">
        <w:rPr>
          <w:rFonts w:ascii="Calibri" w:hAnsi="Calibri" w:cs="Arial"/>
          <w:color w:val="003366"/>
          <w:sz w:val="28"/>
          <w:szCs w:val="28"/>
        </w:rPr>
        <w:t>,</w:t>
      </w:r>
      <w:r w:rsidR="00F1677A" w:rsidRPr="00116790">
        <w:rPr>
          <w:rFonts w:ascii="Calibri" w:hAnsi="Calibri" w:cs="Arial"/>
          <w:color w:val="003366"/>
          <w:sz w:val="28"/>
          <w:szCs w:val="28"/>
        </w:rPr>
        <w:t xml:space="preserve"> they are seated on a raised dais with </w:t>
      </w:r>
      <w:r w:rsidR="0097443D" w:rsidRPr="00116790">
        <w:rPr>
          <w:rFonts w:ascii="Calibri" w:hAnsi="Calibri" w:cs="Arial"/>
          <w:color w:val="003366"/>
          <w:sz w:val="28"/>
          <w:szCs w:val="28"/>
        </w:rPr>
        <w:t xml:space="preserve">mythical beasts at either side. No symbolic interpretation can be entirely relied on without the knowledge of the artist, and the symbolism does not hold true throughout the calendar but the image and its context must be viewed </w:t>
      </w:r>
      <w:r w:rsidR="0097443D" w:rsidRPr="00116790">
        <w:rPr>
          <w:rFonts w:ascii="Calibri" w:hAnsi="Calibri" w:cs="Arial"/>
          <w:color w:val="003366"/>
          <w:sz w:val="28"/>
          <w:szCs w:val="28"/>
        </w:rPr>
        <w:lastRenderedPageBreak/>
        <w:t>through the prism of religion at a time when ‘the broad shadow of the cross lay over the whole medieval world’.</w:t>
      </w:r>
      <w:r w:rsidR="0097443D" w:rsidRPr="00116790">
        <w:rPr>
          <w:rStyle w:val="FootnoteReference"/>
          <w:rFonts w:ascii="Calibri" w:hAnsi="Calibri" w:cs="Arial"/>
          <w:color w:val="003366"/>
          <w:sz w:val="28"/>
          <w:szCs w:val="28"/>
        </w:rPr>
        <w:footnoteReference w:id="16"/>
      </w:r>
      <w:r w:rsidR="00435C01">
        <w:rPr>
          <w:rFonts w:ascii="Calibri" w:hAnsi="Calibri" w:cs="Arial"/>
          <w:color w:val="003366"/>
          <w:sz w:val="28"/>
          <w:szCs w:val="28"/>
        </w:rPr>
        <w:t xml:space="preserve"> </w:t>
      </w:r>
    </w:p>
    <w:p w:rsidR="00CF594B" w:rsidRPr="00116790" w:rsidRDefault="0097443D" w:rsidP="00CF594B">
      <w:pPr>
        <w:pStyle w:val="NormalWeb"/>
        <w:ind w:firstLine="720"/>
        <w:jc w:val="both"/>
        <w:rPr>
          <w:rFonts w:ascii="Calibri" w:hAnsi="Calibri" w:cs="Arial"/>
          <w:color w:val="003366"/>
          <w:sz w:val="28"/>
          <w:szCs w:val="28"/>
        </w:rPr>
      </w:pPr>
      <w:r w:rsidRPr="00116790">
        <w:rPr>
          <w:rFonts w:ascii="Calibri" w:hAnsi="Calibri" w:cs="Arial"/>
          <w:color w:val="003366"/>
          <w:sz w:val="28"/>
          <w:szCs w:val="28"/>
        </w:rPr>
        <w:t xml:space="preserve">In our scene a ‘heavy’ plough is being used as opposed to the earlier and more primitive Ard or Scratch plough which was much less effective in Northern European soil than the heavy plough. </w:t>
      </w:r>
      <w:r w:rsidR="00CF594B">
        <w:rPr>
          <w:rFonts w:ascii="Calibri" w:hAnsi="Calibri" w:cs="Arial"/>
          <w:color w:val="003366"/>
          <w:sz w:val="28"/>
          <w:szCs w:val="28"/>
        </w:rPr>
        <w:t>From an economic point of view the use, and the depiction, of the superior plough indicates a willingness to outlay on capital investment in order to receive a return. The plough would have been an expensive piece of equipment and the landowner would have had to have the confidenc</w:t>
      </w:r>
      <w:r w:rsidR="00DB076B">
        <w:rPr>
          <w:rFonts w:ascii="Calibri" w:hAnsi="Calibri" w:cs="Arial"/>
          <w:color w:val="003366"/>
          <w:sz w:val="28"/>
          <w:szCs w:val="28"/>
        </w:rPr>
        <w:t>e to invest in a new technology. T</w:t>
      </w:r>
      <w:r w:rsidR="00CF594B">
        <w:rPr>
          <w:rFonts w:ascii="Calibri" w:hAnsi="Calibri" w:cs="Arial"/>
          <w:color w:val="003366"/>
          <w:sz w:val="28"/>
          <w:szCs w:val="28"/>
        </w:rPr>
        <w:t>his indicates that there was an information sharing aspect in the society and that this image may have been part of that. We can also relate the image to the physical characteristics of the land</w:t>
      </w:r>
      <w:r w:rsidR="00DB076B">
        <w:rPr>
          <w:rFonts w:ascii="Calibri" w:hAnsi="Calibri" w:cs="Arial"/>
          <w:color w:val="003366"/>
          <w:sz w:val="28"/>
          <w:szCs w:val="28"/>
        </w:rPr>
        <w:t>.</w:t>
      </w:r>
      <w:r w:rsidR="00CF594B">
        <w:rPr>
          <w:rFonts w:ascii="Calibri" w:hAnsi="Calibri" w:cs="Arial"/>
          <w:color w:val="003366"/>
          <w:sz w:val="28"/>
          <w:szCs w:val="28"/>
        </w:rPr>
        <w:t xml:space="preserve"> </w:t>
      </w:r>
      <w:r w:rsidR="00DB076B">
        <w:rPr>
          <w:rFonts w:ascii="Calibri" w:hAnsi="Calibri" w:cs="Arial"/>
          <w:color w:val="003366"/>
          <w:sz w:val="28"/>
          <w:szCs w:val="28"/>
        </w:rPr>
        <w:t>A</w:t>
      </w:r>
      <w:r w:rsidR="00CF594B">
        <w:rPr>
          <w:rFonts w:ascii="Calibri" w:hAnsi="Calibri" w:cs="Arial"/>
          <w:color w:val="003366"/>
          <w:sz w:val="28"/>
          <w:szCs w:val="28"/>
        </w:rPr>
        <w:t>s Oxen are more difficult to turn, fields became long and narrow to accommodate them.</w:t>
      </w:r>
      <w:r w:rsidR="00010565">
        <w:rPr>
          <w:rStyle w:val="FootnoteReference"/>
          <w:rFonts w:ascii="Calibri" w:hAnsi="Calibri" w:cs="Arial"/>
          <w:color w:val="003366"/>
          <w:sz w:val="28"/>
          <w:szCs w:val="28"/>
        </w:rPr>
        <w:footnoteReference w:id="17"/>
      </w:r>
      <w:r w:rsidR="00CF594B">
        <w:rPr>
          <w:rFonts w:ascii="Calibri" w:hAnsi="Calibri" w:cs="Arial"/>
          <w:color w:val="003366"/>
          <w:sz w:val="28"/>
          <w:szCs w:val="28"/>
        </w:rPr>
        <w:t xml:space="preserve"> </w:t>
      </w:r>
    </w:p>
    <w:p w:rsidR="0097443D" w:rsidRDefault="0097443D" w:rsidP="0097443D">
      <w:pPr>
        <w:pStyle w:val="NormalWeb"/>
        <w:ind w:firstLine="720"/>
        <w:jc w:val="both"/>
        <w:rPr>
          <w:rFonts w:ascii="Calibri" w:hAnsi="Calibri" w:cs="Arial"/>
          <w:color w:val="003366"/>
          <w:sz w:val="28"/>
          <w:szCs w:val="28"/>
        </w:rPr>
      </w:pPr>
      <w:r w:rsidRPr="00116790">
        <w:rPr>
          <w:rFonts w:ascii="Calibri" w:hAnsi="Calibri" w:cs="Arial"/>
          <w:color w:val="003366"/>
          <w:sz w:val="28"/>
          <w:szCs w:val="28"/>
        </w:rPr>
        <w:t>Lynn White has put forward that the technological innovation of the heavy plough was, almost singlehandedly, responsible for the economic and population expansion begun in the 9</w:t>
      </w:r>
      <w:r w:rsidRPr="00116790">
        <w:rPr>
          <w:rFonts w:ascii="Calibri" w:hAnsi="Calibri" w:cs="Arial"/>
          <w:color w:val="003366"/>
          <w:sz w:val="28"/>
          <w:szCs w:val="28"/>
          <w:vertAlign w:val="superscript"/>
        </w:rPr>
        <w:t>th</w:t>
      </w:r>
      <w:r w:rsidRPr="00116790">
        <w:rPr>
          <w:rFonts w:ascii="Calibri" w:hAnsi="Calibri" w:cs="Arial"/>
          <w:color w:val="003366"/>
          <w:sz w:val="28"/>
          <w:szCs w:val="28"/>
        </w:rPr>
        <w:t xml:space="preserve"> century.</w:t>
      </w:r>
      <w:r w:rsidRPr="00116790">
        <w:rPr>
          <w:rStyle w:val="FootnoteReference"/>
          <w:rFonts w:ascii="Calibri" w:hAnsi="Calibri" w:cs="Arial"/>
          <w:color w:val="003366"/>
          <w:sz w:val="28"/>
          <w:szCs w:val="28"/>
        </w:rPr>
        <w:footnoteReference w:id="18"/>
      </w:r>
      <w:r w:rsidRPr="00116790">
        <w:rPr>
          <w:rFonts w:ascii="Calibri" w:hAnsi="Calibri" w:cs="Arial"/>
          <w:color w:val="003366"/>
          <w:sz w:val="28"/>
          <w:szCs w:val="28"/>
        </w:rPr>
        <w:t xml:space="preserve"> It is fair to say that he has been harshly criticised for this single strand view despite his imprecation that his work should be built on in the future.  It is interesting to note that unlike today</w:t>
      </w:r>
      <w:r w:rsidR="00DB076B">
        <w:rPr>
          <w:rFonts w:ascii="Calibri" w:hAnsi="Calibri" w:cs="Arial"/>
          <w:color w:val="003366"/>
          <w:sz w:val="28"/>
          <w:szCs w:val="28"/>
        </w:rPr>
        <w:t>,</w:t>
      </w:r>
      <w:r w:rsidRPr="00116790">
        <w:rPr>
          <w:rFonts w:ascii="Calibri" w:hAnsi="Calibri" w:cs="Arial"/>
          <w:color w:val="003366"/>
          <w:sz w:val="28"/>
          <w:szCs w:val="28"/>
        </w:rPr>
        <w:t xml:space="preserve"> where ploughing is undertaken in December</w:t>
      </w:r>
      <w:r w:rsidR="00DB076B">
        <w:rPr>
          <w:rFonts w:ascii="Calibri" w:hAnsi="Calibri" w:cs="Arial"/>
          <w:color w:val="003366"/>
          <w:sz w:val="28"/>
          <w:szCs w:val="28"/>
        </w:rPr>
        <w:t>,</w:t>
      </w:r>
      <w:r w:rsidRPr="00116790">
        <w:rPr>
          <w:rFonts w:ascii="Calibri" w:hAnsi="Calibri" w:cs="Arial"/>
          <w:color w:val="003366"/>
          <w:sz w:val="28"/>
          <w:szCs w:val="28"/>
        </w:rPr>
        <w:t xml:space="preserve"> here it</w:t>
      </w:r>
      <w:r w:rsidR="00DB076B">
        <w:rPr>
          <w:rFonts w:ascii="Calibri" w:hAnsi="Calibri" w:cs="Arial"/>
          <w:color w:val="003366"/>
          <w:sz w:val="28"/>
          <w:szCs w:val="28"/>
        </w:rPr>
        <w:t xml:space="preserve"> is shown as a task for January. T</w:t>
      </w:r>
      <w:r w:rsidRPr="00116790">
        <w:rPr>
          <w:rFonts w:ascii="Calibri" w:hAnsi="Calibri" w:cs="Arial"/>
          <w:color w:val="003366"/>
          <w:sz w:val="28"/>
          <w:szCs w:val="28"/>
        </w:rPr>
        <w:t>his may relate to the MWP or Medieval Warm Period between the 9</w:t>
      </w:r>
      <w:r w:rsidRPr="00116790">
        <w:rPr>
          <w:rFonts w:ascii="Calibri" w:hAnsi="Calibri" w:cs="Arial"/>
          <w:color w:val="003366"/>
          <w:sz w:val="28"/>
          <w:szCs w:val="28"/>
          <w:vertAlign w:val="superscript"/>
        </w:rPr>
        <w:t>th</w:t>
      </w:r>
      <w:r w:rsidRPr="00116790">
        <w:rPr>
          <w:rFonts w:ascii="Calibri" w:hAnsi="Calibri" w:cs="Arial"/>
          <w:color w:val="003366"/>
          <w:sz w:val="28"/>
          <w:szCs w:val="28"/>
        </w:rPr>
        <w:t xml:space="preserve"> and 14</w:t>
      </w:r>
      <w:r w:rsidRPr="00116790">
        <w:rPr>
          <w:rFonts w:ascii="Calibri" w:hAnsi="Calibri" w:cs="Arial"/>
          <w:color w:val="003366"/>
          <w:sz w:val="28"/>
          <w:szCs w:val="28"/>
          <w:vertAlign w:val="superscript"/>
        </w:rPr>
        <w:t>th</w:t>
      </w:r>
      <w:r w:rsidRPr="00116790">
        <w:rPr>
          <w:rFonts w:ascii="Calibri" w:hAnsi="Calibri" w:cs="Arial"/>
          <w:color w:val="003366"/>
          <w:sz w:val="28"/>
          <w:szCs w:val="28"/>
        </w:rPr>
        <w:t xml:space="preserve"> centuries enabling a later ploughing date.</w:t>
      </w:r>
      <w:r w:rsidRPr="00116790">
        <w:rPr>
          <w:rStyle w:val="FootnoteReference"/>
          <w:rFonts w:ascii="Calibri" w:hAnsi="Calibri" w:cs="Arial"/>
          <w:color w:val="003366"/>
          <w:sz w:val="28"/>
          <w:szCs w:val="28"/>
        </w:rPr>
        <w:footnoteReference w:id="19"/>
      </w:r>
      <w:r w:rsidRPr="00116790">
        <w:rPr>
          <w:rFonts w:ascii="Calibri" w:hAnsi="Calibri" w:cs="Arial"/>
          <w:color w:val="003366"/>
          <w:sz w:val="28"/>
          <w:szCs w:val="28"/>
        </w:rPr>
        <w:t xml:space="preserve"> </w:t>
      </w:r>
    </w:p>
    <w:p w:rsidR="006278E4" w:rsidRDefault="00A84946" w:rsidP="00630F30">
      <w:pPr>
        <w:pStyle w:val="NormalWeb"/>
        <w:ind w:firstLine="720"/>
        <w:jc w:val="both"/>
        <w:rPr>
          <w:rFonts w:ascii="Calibri" w:hAnsi="Calibri" w:cs="Arial"/>
          <w:color w:val="003366"/>
          <w:sz w:val="28"/>
          <w:szCs w:val="28"/>
        </w:rPr>
      </w:pPr>
      <w:r w:rsidRPr="00116790">
        <w:rPr>
          <w:rFonts w:ascii="Calibri" w:hAnsi="Calibri" w:cs="Arial"/>
          <w:color w:val="003366"/>
          <w:sz w:val="28"/>
          <w:szCs w:val="28"/>
        </w:rPr>
        <w:t>The work on the image is both accomplished and has a maturity redolent of the artist being a professional at this craft. In order to achieve this level of sophistication the practitioner must</w:t>
      </w:r>
      <w:r w:rsidR="007D6109" w:rsidRPr="00116790">
        <w:rPr>
          <w:rFonts w:ascii="Calibri" w:hAnsi="Calibri" w:cs="Arial"/>
          <w:color w:val="003366"/>
          <w:sz w:val="28"/>
          <w:szCs w:val="28"/>
        </w:rPr>
        <w:t xml:space="preserve"> be taught and then</w:t>
      </w:r>
      <w:r w:rsidR="00DB076B">
        <w:rPr>
          <w:rFonts w:ascii="Calibri" w:hAnsi="Calibri" w:cs="Arial"/>
          <w:color w:val="003366"/>
          <w:sz w:val="28"/>
          <w:szCs w:val="28"/>
        </w:rPr>
        <w:t xml:space="preserve"> practice</w:t>
      </w:r>
      <w:r w:rsidRPr="00116790">
        <w:rPr>
          <w:rFonts w:ascii="Calibri" w:hAnsi="Calibri" w:cs="Arial"/>
          <w:color w:val="003366"/>
          <w:sz w:val="28"/>
          <w:szCs w:val="28"/>
        </w:rPr>
        <w:t xml:space="preserve"> and</w:t>
      </w:r>
      <w:r w:rsidR="00DB076B">
        <w:rPr>
          <w:rFonts w:ascii="Calibri" w:hAnsi="Calibri" w:cs="Arial"/>
          <w:color w:val="003366"/>
          <w:sz w:val="28"/>
          <w:szCs w:val="28"/>
        </w:rPr>
        <w:t>,</w:t>
      </w:r>
      <w:r w:rsidRPr="00116790">
        <w:rPr>
          <w:rFonts w:ascii="Calibri" w:hAnsi="Calibri" w:cs="Arial"/>
          <w:color w:val="003366"/>
          <w:sz w:val="28"/>
          <w:szCs w:val="28"/>
        </w:rPr>
        <w:t xml:space="preserve"> in fact</w:t>
      </w:r>
      <w:r w:rsidR="00DB076B">
        <w:rPr>
          <w:rFonts w:ascii="Calibri" w:hAnsi="Calibri" w:cs="Arial"/>
          <w:color w:val="003366"/>
          <w:sz w:val="28"/>
          <w:szCs w:val="28"/>
        </w:rPr>
        <w:t>,</w:t>
      </w:r>
      <w:r w:rsidRPr="00116790">
        <w:rPr>
          <w:rFonts w:ascii="Calibri" w:hAnsi="Calibri" w:cs="Arial"/>
          <w:color w:val="003366"/>
          <w:sz w:val="28"/>
          <w:szCs w:val="28"/>
        </w:rPr>
        <w:t xml:space="preserve"> the object is made by an entire supply chain of craftsmen who must initially be taught, then practice, perfect and carry out their craft. No single individual could or indeed did</w:t>
      </w:r>
      <w:r w:rsidR="00DB076B">
        <w:rPr>
          <w:rFonts w:ascii="Calibri" w:hAnsi="Calibri" w:cs="Arial"/>
          <w:color w:val="003366"/>
          <w:sz w:val="28"/>
          <w:szCs w:val="28"/>
        </w:rPr>
        <w:t xml:space="preserve"> produce this object.</w:t>
      </w:r>
      <w:r w:rsidRPr="00116790">
        <w:rPr>
          <w:rFonts w:ascii="Calibri" w:hAnsi="Calibri" w:cs="Arial"/>
          <w:color w:val="003366"/>
          <w:sz w:val="28"/>
          <w:szCs w:val="28"/>
        </w:rPr>
        <w:t xml:space="preserve"> </w:t>
      </w:r>
      <w:r w:rsidR="00DB076B">
        <w:rPr>
          <w:rFonts w:ascii="Calibri" w:hAnsi="Calibri" w:cs="Arial"/>
          <w:color w:val="003366"/>
          <w:sz w:val="28"/>
          <w:szCs w:val="28"/>
        </w:rPr>
        <w:t>T</w:t>
      </w:r>
      <w:r w:rsidRPr="00116790">
        <w:rPr>
          <w:rFonts w:ascii="Calibri" w:hAnsi="Calibri" w:cs="Arial"/>
          <w:color w:val="003366"/>
          <w:sz w:val="28"/>
          <w:szCs w:val="28"/>
        </w:rPr>
        <w:t>he man hours required to produce this single p</w:t>
      </w:r>
      <w:r w:rsidR="009D4AE9">
        <w:rPr>
          <w:rFonts w:ascii="Calibri" w:hAnsi="Calibri" w:cs="Arial"/>
          <w:color w:val="003366"/>
          <w:sz w:val="28"/>
          <w:szCs w:val="28"/>
        </w:rPr>
        <w:t>iece of work are indicative of</w:t>
      </w:r>
      <w:r w:rsidRPr="00116790">
        <w:rPr>
          <w:rFonts w:ascii="Calibri" w:hAnsi="Calibri" w:cs="Arial"/>
          <w:color w:val="003366"/>
          <w:sz w:val="28"/>
          <w:szCs w:val="28"/>
        </w:rPr>
        <w:t xml:space="preserve"> a society that produces a vast surplus </w:t>
      </w:r>
      <w:bookmarkStart w:id="0" w:name="_GoBack"/>
      <w:bookmarkEnd w:id="0"/>
      <w:r w:rsidRPr="00116790">
        <w:rPr>
          <w:rFonts w:ascii="Calibri" w:hAnsi="Calibri" w:cs="Arial"/>
          <w:color w:val="003366"/>
          <w:sz w:val="28"/>
          <w:szCs w:val="28"/>
        </w:rPr>
        <w:t xml:space="preserve">and has the capacity to support a cadre or echelon of individuals </w:t>
      </w:r>
      <w:r w:rsidR="007D6109" w:rsidRPr="00116790">
        <w:rPr>
          <w:rFonts w:ascii="Calibri" w:hAnsi="Calibri" w:cs="Arial"/>
          <w:color w:val="003366"/>
          <w:sz w:val="28"/>
          <w:szCs w:val="28"/>
        </w:rPr>
        <w:t>whose sole function is the pursuit of that which is intellectual, aesthetic and spiritual.</w:t>
      </w:r>
      <w:r w:rsidR="00EC0C45">
        <w:rPr>
          <w:rFonts w:ascii="Calibri" w:hAnsi="Calibri" w:cs="Arial"/>
          <w:color w:val="003366"/>
          <w:sz w:val="28"/>
          <w:szCs w:val="28"/>
        </w:rPr>
        <w:t xml:space="preserve"> These are supported by those who farm the animals and then reap and cure </w:t>
      </w:r>
      <w:r w:rsidR="00EC0C45">
        <w:rPr>
          <w:rFonts w:ascii="Calibri" w:hAnsi="Calibri" w:cs="Arial"/>
          <w:color w:val="003366"/>
          <w:sz w:val="28"/>
          <w:szCs w:val="28"/>
        </w:rPr>
        <w:lastRenderedPageBreak/>
        <w:t>the skins</w:t>
      </w:r>
      <w:r w:rsidR="00DB076B">
        <w:rPr>
          <w:rFonts w:ascii="Calibri" w:hAnsi="Calibri" w:cs="Arial"/>
          <w:color w:val="003366"/>
          <w:sz w:val="28"/>
          <w:szCs w:val="28"/>
        </w:rPr>
        <w:t>;</w:t>
      </w:r>
      <w:r w:rsidR="00EC0C45">
        <w:rPr>
          <w:rFonts w:ascii="Calibri" w:hAnsi="Calibri" w:cs="Arial"/>
          <w:color w:val="003366"/>
          <w:sz w:val="28"/>
          <w:szCs w:val="28"/>
        </w:rPr>
        <w:t xml:space="preserve"> those that </w:t>
      </w:r>
      <w:r w:rsidR="00C17F0D">
        <w:rPr>
          <w:rFonts w:ascii="Calibri" w:hAnsi="Calibri" w:cs="Arial"/>
          <w:color w:val="003366"/>
          <w:sz w:val="28"/>
          <w:szCs w:val="28"/>
        </w:rPr>
        <w:t>provided the ingredients for the colours, red (red lead) and yellow (orpiment or Arsenic) and green (Copper Sulphate)</w:t>
      </w:r>
      <w:r w:rsidR="00C17F0D">
        <w:rPr>
          <w:rStyle w:val="FootnoteReference"/>
          <w:rFonts w:ascii="Calibri" w:hAnsi="Calibri" w:cs="Arial"/>
          <w:color w:val="003366"/>
          <w:sz w:val="28"/>
          <w:szCs w:val="28"/>
        </w:rPr>
        <w:footnoteReference w:id="20"/>
      </w:r>
      <w:r w:rsidR="00C17F0D">
        <w:rPr>
          <w:rFonts w:ascii="Calibri" w:hAnsi="Calibri" w:cs="Arial"/>
          <w:color w:val="003366"/>
          <w:sz w:val="28"/>
          <w:szCs w:val="28"/>
        </w:rPr>
        <w:t xml:space="preserve"> and those who farmed to feed those who think and pray.  </w:t>
      </w:r>
      <w:r w:rsidR="000E16D3" w:rsidRPr="00116790">
        <w:rPr>
          <w:rFonts w:ascii="Calibri" w:hAnsi="Calibri" w:cs="Arial"/>
          <w:color w:val="003366"/>
          <w:sz w:val="28"/>
          <w:szCs w:val="28"/>
        </w:rPr>
        <w:t xml:space="preserve">The power relationship between the physical properties of the document and its subject matter and image are illustrative of the power relationships of the society that created it. </w:t>
      </w:r>
      <w:r w:rsidR="000D3CA2">
        <w:rPr>
          <w:rFonts w:ascii="Calibri" w:hAnsi="Calibri" w:cs="Arial"/>
          <w:color w:val="003366"/>
          <w:sz w:val="28"/>
          <w:szCs w:val="28"/>
        </w:rPr>
        <w:t xml:space="preserve">Indeed the most jarring and immediate impression is that the manuscript represents the pinnacle of technological achievement at the time, and that this is being used to represent the least empowered and lowest of the society that produced both the literate author and the, presumably illiterate, and shoeless ploughboy. </w:t>
      </w:r>
    </w:p>
    <w:p w:rsidR="000D3CA2" w:rsidRDefault="009D4AE9" w:rsidP="00630F30">
      <w:pPr>
        <w:pStyle w:val="NormalWeb"/>
        <w:ind w:firstLine="720"/>
        <w:jc w:val="both"/>
        <w:rPr>
          <w:rFonts w:ascii="Calibri" w:hAnsi="Calibri" w:cs="Arial"/>
          <w:color w:val="003366"/>
          <w:sz w:val="28"/>
          <w:szCs w:val="28"/>
        </w:rPr>
      </w:pPr>
      <w:r>
        <w:rPr>
          <w:rFonts w:ascii="Calibri" w:hAnsi="Calibri" w:cs="Arial"/>
          <w:color w:val="003366"/>
          <w:sz w:val="28"/>
          <w:szCs w:val="28"/>
        </w:rPr>
        <w:t>The shoeless boy</w:t>
      </w:r>
      <w:r w:rsidR="000D3CA2">
        <w:rPr>
          <w:rFonts w:ascii="Calibri" w:hAnsi="Calibri" w:cs="Arial"/>
          <w:color w:val="003366"/>
          <w:sz w:val="28"/>
          <w:szCs w:val="28"/>
        </w:rPr>
        <w:t xml:space="preserve"> is un-bearded and appears to be goading the oxen forward while the two at t</w:t>
      </w:r>
      <w:r>
        <w:rPr>
          <w:rFonts w:ascii="Calibri" w:hAnsi="Calibri" w:cs="Arial"/>
          <w:color w:val="003366"/>
          <w:sz w:val="28"/>
          <w:szCs w:val="28"/>
        </w:rPr>
        <w:t>he rear are guiding the plough. We do not know if these are depictions of slaves or of free men</w:t>
      </w:r>
      <w:r w:rsidR="004F23CA">
        <w:rPr>
          <w:rFonts w:ascii="Calibri" w:hAnsi="Calibri" w:cs="Arial"/>
          <w:color w:val="003366"/>
          <w:sz w:val="28"/>
          <w:szCs w:val="28"/>
        </w:rPr>
        <w:t xml:space="preserve">. </w:t>
      </w:r>
      <w:r w:rsidR="00EC0C45">
        <w:rPr>
          <w:rFonts w:ascii="Calibri" w:hAnsi="Calibri" w:cs="Arial"/>
          <w:color w:val="003366"/>
          <w:sz w:val="28"/>
          <w:szCs w:val="28"/>
        </w:rPr>
        <w:t xml:space="preserve">This is almost certainly a rendition of a scene that the artist has witnessed many times, the features of the plough are exact and technically </w:t>
      </w:r>
      <w:r w:rsidR="00C17F0D">
        <w:rPr>
          <w:rFonts w:ascii="Calibri" w:hAnsi="Calibri" w:cs="Arial"/>
          <w:color w:val="003366"/>
          <w:sz w:val="28"/>
          <w:szCs w:val="28"/>
        </w:rPr>
        <w:t>correct</w:t>
      </w:r>
      <w:r w:rsidR="00DB076B">
        <w:rPr>
          <w:rFonts w:ascii="Calibri" w:hAnsi="Calibri" w:cs="Arial"/>
          <w:color w:val="003366"/>
          <w:sz w:val="28"/>
          <w:szCs w:val="28"/>
        </w:rPr>
        <w:t>. T</w:t>
      </w:r>
      <w:r w:rsidR="00C17F0D">
        <w:rPr>
          <w:rFonts w:ascii="Calibri" w:hAnsi="Calibri" w:cs="Arial"/>
          <w:color w:val="003366"/>
          <w:sz w:val="28"/>
          <w:szCs w:val="28"/>
        </w:rPr>
        <w:t>he dress of the ploughmen and boy may not be correct</w:t>
      </w:r>
      <w:r w:rsidR="00DB076B">
        <w:rPr>
          <w:rFonts w:ascii="Calibri" w:hAnsi="Calibri" w:cs="Arial"/>
          <w:color w:val="003366"/>
          <w:sz w:val="28"/>
          <w:szCs w:val="28"/>
        </w:rPr>
        <w:t>,</w:t>
      </w:r>
      <w:r w:rsidR="00C17F0D">
        <w:rPr>
          <w:rFonts w:ascii="Calibri" w:hAnsi="Calibri" w:cs="Arial"/>
          <w:color w:val="003366"/>
          <w:sz w:val="28"/>
          <w:szCs w:val="28"/>
        </w:rPr>
        <w:t xml:space="preserve"> as has been suggested in relation to The Luttrell Psalter, lower class people may have been depicted in better clothing than they actually owned in order to make their Lord look more generous.</w:t>
      </w:r>
      <w:r w:rsidR="00C17F0D">
        <w:rPr>
          <w:rStyle w:val="FootnoteReference"/>
          <w:rFonts w:ascii="Calibri" w:hAnsi="Calibri" w:cs="Arial"/>
          <w:color w:val="003366"/>
          <w:sz w:val="28"/>
          <w:szCs w:val="28"/>
        </w:rPr>
        <w:footnoteReference w:id="21"/>
      </w:r>
      <w:r w:rsidR="00C17F0D">
        <w:rPr>
          <w:rFonts w:ascii="Calibri" w:hAnsi="Calibri" w:cs="Arial"/>
          <w:color w:val="003366"/>
          <w:sz w:val="28"/>
          <w:szCs w:val="28"/>
        </w:rPr>
        <w:t xml:space="preserve"> </w:t>
      </w:r>
      <w:r w:rsidR="00EC0C45">
        <w:rPr>
          <w:rFonts w:ascii="Calibri" w:hAnsi="Calibri" w:cs="Arial"/>
          <w:color w:val="003366"/>
          <w:sz w:val="28"/>
          <w:szCs w:val="28"/>
        </w:rPr>
        <w:t xml:space="preserve"> </w:t>
      </w:r>
    </w:p>
    <w:p w:rsidR="00B10D62" w:rsidRDefault="00B10D62" w:rsidP="00630F30">
      <w:pPr>
        <w:pStyle w:val="NormalWeb"/>
        <w:ind w:firstLine="720"/>
        <w:jc w:val="both"/>
        <w:rPr>
          <w:rFonts w:ascii="Calibri" w:hAnsi="Calibri" w:cs="Arial"/>
          <w:color w:val="003366"/>
          <w:sz w:val="28"/>
          <w:szCs w:val="28"/>
        </w:rPr>
      </w:pPr>
      <w:r>
        <w:rPr>
          <w:rFonts w:ascii="Calibri" w:hAnsi="Calibri" w:cs="Arial"/>
          <w:color w:val="003366"/>
          <w:sz w:val="28"/>
          <w:szCs w:val="28"/>
        </w:rPr>
        <w:t>In conclusion the creators of this image and its juxtaposition with the calendar beneath were communicati</w:t>
      </w:r>
      <w:r w:rsidR="00DB076B">
        <w:rPr>
          <w:rFonts w:ascii="Calibri" w:hAnsi="Calibri" w:cs="Arial"/>
          <w:color w:val="003366"/>
          <w:sz w:val="28"/>
          <w:szCs w:val="28"/>
        </w:rPr>
        <w:t>ng a divinely ordained, bucolic</w:t>
      </w:r>
      <w:r>
        <w:rPr>
          <w:rFonts w:ascii="Calibri" w:hAnsi="Calibri" w:cs="Arial"/>
          <w:color w:val="003366"/>
          <w:sz w:val="28"/>
          <w:szCs w:val="28"/>
        </w:rPr>
        <w:t xml:space="preserve"> view of</w:t>
      </w:r>
      <w:r w:rsidR="00CE10F1">
        <w:rPr>
          <w:rFonts w:ascii="Calibri" w:hAnsi="Calibri" w:cs="Arial"/>
          <w:color w:val="003366"/>
          <w:sz w:val="28"/>
          <w:szCs w:val="28"/>
        </w:rPr>
        <w:t xml:space="preserve"> the world to each other.  The</w:t>
      </w:r>
      <w:r>
        <w:rPr>
          <w:rFonts w:ascii="Calibri" w:hAnsi="Calibri" w:cs="Arial"/>
          <w:color w:val="003366"/>
          <w:sz w:val="28"/>
          <w:szCs w:val="28"/>
        </w:rPr>
        <w:t xml:space="preserve"> divinely inspired gospels of Matthew, Mark, Luke and John are pulling the plough of the word to turn the soil of the soul of Christendom. The Father and the Son and the Holy Spirit are sowing the seeds of Christ in the ferti</w:t>
      </w:r>
      <w:r w:rsidR="00CE10F1">
        <w:rPr>
          <w:rFonts w:ascii="Calibri" w:hAnsi="Calibri" w:cs="Arial"/>
          <w:color w:val="003366"/>
          <w:sz w:val="28"/>
          <w:szCs w:val="28"/>
        </w:rPr>
        <w:t>l</w:t>
      </w:r>
      <w:r>
        <w:rPr>
          <w:rFonts w:ascii="Calibri" w:hAnsi="Calibri" w:cs="Arial"/>
          <w:color w:val="003366"/>
          <w:sz w:val="28"/>
          <w:szCs w:val="28"/>
        </w:rPr>
        <w:t>e soil, so as above so is below</w:t>
      </w:r>
      <w:r w:rsidR="00CE10F1">
        <w:rPr>
          <w:rFonts w:ascii="Calibri" w:hAnsi="Calibri" w:cs="Arial"/>
          <w:color w:val="003366"/>
          <w:sz w:val="28"/>
          <w:szCs w:val="28"/>
        </w:rPr>
        <w:t xml:space="preserve">. </w:t>
      </w:r>
    </w:p>
    <w:p w:rsidR="00CE10F1" w:rsidRDefault="00CE10F1" w:rsidP="00630F30">
      <w:pPr>
        <w:pStyle w:val="NormalWeb"/>
        <w:ind w:firstLine="720"/>
        <w:jc w:val="both"/>
        <w:rPr>
          <w:rFonts w:ascii="Calibri" w:hAnsi="Calibri" w:cs="Arial"/>
          <w:color w:val="003366"/>
          <w:sz w:val="28"/>
          <w:szCs w:val="28"/>
        </w:rPr>
      </w:pPr>
      <w:r>
        <w:rPr>
          <w:rFonts w:ascii="Calibri" w:hAnsi="Calibri" w:cs="Arial"/>
          <w:color w:val="003366"/>
          <w:sz w:val="28"/>
          <w:szCs w:val="28"/>
        </w:rPr>
        <w:t>We can, and have, learned much from the physical properties of this image in relation to the supply chain methodology required in order to manufacture the object itself. We could learn more with the addition of a DNA examination in order to ascertain where the animal skin has come from and in order to mine its physical properties as a bio-palimpse</w:t>
      </w:r>
      <w:r w:rsidR="00990DCF">
        <w:rPr>
          <w:rFonts w:ascii="Calibri" w:hAnsi="Calibri" w:cs="Arial"/>
          <w:color w:val="003366"/>
          <w:sz w:val="28"/>
          <w:szCs w:val="28"/>
        </w:rPr>
        <w:t>s</w:t>
      </w:r>
      <w:r>
        <w:rPr>
          <w:rFonts w:ascii="Calibri" w:hAnsi="Calibri" w:cs="Arial"/>
          <w:color w:val="003366"/>
          <w:sz w:val="28"/>
          <w:szCs w:val="28"/>
        </w:rPr>
        <w:t xml:space="preserve">t through biocodicology. </w:t>
      </w:r>
    </w:p>
    <w:p w:rsidR="003C6211" w:rsidRPr="00CF594B" w:rsidRDefault="00BF51A7" w:rsidP="00CF594B">
      <w:pPr>
        <w:pStyle w:val="NormalWeb"/>
        <w:ind w:firstLine="720"/>
        <w:jc w:val="both"/>
        <w:rPr>
          <w:rFonts w:ascii="Calibri" w:hAnsi="Calibri" w:cs="Arial"/>
          <w:color w:val="003366"/>
          <w:sz w:val="28"/>
          <w:szCs w:val="28"/>
        </w:rPr>
      </w:pPr>
      <w:r>
        <w:rPr>
          <w:rFonts w:ascii="Calibri" w:hAnsi="Calibri" w:cs="Arial"/>
          <w:color w:val="003366"/>
          <w:sz w:val="28"/>
          <w:szCs w:val="28"/>
        </w:rPr>
        <w:t>The image is also redolent of the power relationships that existed at the time of its manufacture. There is an almost voyeuristic element to the scene of the plough being driven above a calendar where the subjects of the image were probably working for days on their Lord</w:t>
      </w:r>
      <w:r w:rsidR="009070BE">
        <w:rPr>
          <w:rFonts w:ascii="Calibri" w:hAnsi="Calibri" w:cs="Arial"/>
          <w:color w:val="003366"/>
          <w:sz w:val="28"/>
          <w:szCs w:val="28"/>
        </w:rPr>
        <w:t>’</w:t>
      </w:r>
      <w:r>
        <w:rPr>
          <w:rFonts w:ascii="Calibri" w:hAnsi="Calibri" w:cs="Arial"/>
          <w:color w:val="003366"/>
          <w:sz w:val="28"/>
          <w:szCs w:val="28"/>
        </w:rPr>
        <w:t>s land rather than their own. Time measured in Saints days</w:t>
      </w:r>
      <w:r w:rsidR="00F531C2">
        <w:rPr>
          <w:rFonts w:ascii="Calibri" w:hAnsi="Calibri" w:cs="Arial"/>
          <w:color w:val="003366"/>
          <w:sz w:val="28"/>
          <w:szCs w:val="28"/>
        </w:rPr>
        <w:t>,</w:t>
      </w:r>
      <w:r>
        <w:rPr>
          <w:rFonts w:ascii="Calibri" w:hAnsi="Calibri" w:cs="Arial"/>
          <w:color w:val="003366"/>
          <w:sz w:val="28"/>
          <w:szCs w:val="28"/>
        </w:rPr>
        <w:t xml:space="preserve"> weeks and months by the churchman creating </w:t>
      </w:r>
      <w:r>
        <w:rPr>
          <w:rFonts w:ascii="Calibri" w:hAnsi="Calibri" w:cs="Arial"/>
          <w:color w:val="003366"/>
          <w:sz w:val="28"/>
          <w:szCs w:val="28"/>
        </w:rPr>
        <w:lastRenderedPageBreak/>
        <w:t xml:space="preserve">the </w:t>
      </w:r>
      <w:r w:rsidR="005A0342">
        <w:rPr>
          <w:rFonts w:ascii="Calibri" w:hAnsi="Calibri" w:cs="Arial"/>
          <w:color w:val="003366"/>
          <w:sz w:val="28"/>
          <w:szCs w:val="28"/>
        </w:rPr>
        <w:t>image and</w:t>
      </w:r>
      <w:r>
        <w:rPr>
          <w:rFonts w:ascii="Calibri" w:hAnsi="Calibri" w:cs="Arial"/>
          <w:color w:val="003366"/>
          <w:sz w:val="28"/>
          <w:szCs w:val="28"/>
        </w:rPr>
        <w:t xml:space="preserve"> time measured in how long it takes to reach the end of the furrow with four Oxen by the three peasants. </w:t>
      </w:r>
      <w:r w:rsidR="00BE3C85">
        <w:rPr>
          <w:rFonts w:ascii="Calibri" w:hAnsi="Calibri" w:cs="Arial"/>
          <w:color w:val="003366"/>
          <w:sz w:val="28"/>
          <w:szCs w:val="28"/>
        </w:rPr>
        <w:t xml:space="preserve">The image takes ownership of the work that supports its creator and re-purposes that work to represent the creators own value set. </w:t>
      </w:r>
      <w:r w:rsidR="006D71AA">
        <w:rPr>
          <w:rFonts w:ascii="Calibri" w:hAnsi="Calibri" w:cs="Arial"/>
          <w:color w:val="003366"/>
          <w:sz w:val="28"/>
          <w:szCs w:val="28"/>
        </w:rPr>
        <w:t>There exists in the representation of the activity, within an image of this kind, an inverse proportion between the value of the activity itself and the value o</w:t>
      </w:r>
      <w:r w:rsidR="00F531C2">
        <w:rPr>
          <w:rFonts w:ascii="Calibri" w:hAnsi="Calibri" w:cs="Arial"/>
          <w:color w:val="003366"/>
          <w:sz w:val="28"/>
          <w:szCs w:val="28"/>
        </w:rPr>
        <w:t xml:space="preserve">f those who are carrying it out. </w:t>
      </w:r>
    </w:p>
    <w:p w:rsidR="003C6211" w:rsidRDefault="003C6211">
      <w:pPr>
        <w:rPr>
          <w:rFonts w:ascii="Calibri" w:hAnsi="Calibri"/>
          <w:sz w:val="28"/>
          <w:szCs w:val="28"/>
        </w:rPr>
      </w:pPr>
    </w:p>
    <w:p w:rsidR="003C6211" w:rsidRDefault="003C6211">
      <w:pPr>
        <w:rPr>
          <w:rFonts w:ascii="Calibri" w:hAnsi="Calibri"/>
          <w:sz w:val="28"/>
          <w:szCs w:val="28"/>
        </w:rPr>
      </w:pPr>
    </w:p>
    <w:p w:rsidR="00A363E6" w:rsidRDefault="00A363E6">
      <w:pPr>
        <w:rPr>
          <w:rFonts w:ascii="Calibri" w:hAnsi="Calibri"/>
          <w:b/>
          <w:sz w:val="28"/>
          <w:szCs w:val="28"/>
          <w:u w:val="single"/>
        </w:rPr>
      </w:pPr>
    </w:p>
    <w:p w:rsidR="00A363E6" w:rsidRDefault="00A363E6">
      <w:pPr>
        <w:rPr>
          <w:rFonts w:ascii="Calibri" w:hAnsi="Calibri"/>
          <w:b/>
          <w:sz w:val="28"/>
          <w:szCs w:val="28"/>
          <w:u w:val="single"/>
        </w:rPr>
      </w:pPr>
    </w:p>
    <w:p w:rsidR="00A363E6" w:rsidRDefault="00A363E6">
      <w:pPr>
        <w:rPr>
          <w:rFonts w:ascii="Calibri" w:hAnsi="Calibri"/>
          <w:b/>
          <w:sz w:val="28"/>
          <w:szCs w:val="28"/>
          <w:u w:val="single"/>
        </w:rPr>
      </w:pPr>
    </w:p>
    <w:p w:rsidR="00A363E6" w:rsidRDefault="00A363E6">
      <w:pPr>
        <w:rPr>
          <w:rFonts w:ascii="Calibri" w:hAnsi="Calibri"/>
          <w:b/>
          <w:sz w:val="28"/>
          <w:szCs w:val="28"/>
          <w:u w:val="single"/>
        </w:rPr>
      </w:pPr>
    </w:p>
    <w:p w:rsidR="00A363E6" w:rsidRDefault="00A363E6">
      <w:pPr>
        <w:rPr>
          <w:rFonts w:ascii="Calibri" w:hAnsi="Calibri"/>
          <w:b/>
          <w:sz w:val="28"/>
          <w:szCs w:val="28"/>
          <w:u w:val="single"/>
        </w:rPr>
      </w:pPr>
    </w:p>
    <w:p w:rsidR="00A363E6" w:rsidRDefault="00A363E6">
      <w:pPr>
        <w:rPr>
          <w:rFonts w:ascii="Calibri" w:hAnsi="Calibri"/>
          <w:b/>
          <w:sz w:val="28"/>
          <w:szCs w:val="28"/>
          <w:u w:val="single"/>
        </w:rPr>
      </w:pPr>
    </w:p>
    <w:p w:rsidR="00A363E6" w:rsidRDefault="00A363E6">
      <w:pPr>
        <w:rPr>
          <w:rFonts w:ascii="Calibri" w:hAnsi="Calibri"/>
          <w:b/>
          <w:sz w:val="28"/>
          <w:szCs w:val="28"/>
          <w:u w:val="single"/>
        </w:rPr>
      </w:pPr>
    </w:p>
    <w:p w:rsidR="00CF594B" w:rsidRDefault="00CF594B">
      <w:pPr>
        <w:rPr>
          <w:rFonts w:ascii="Calibri" w:hAnsi="Calibri"/>
          <w:b/>
          <w:sz w:val="28"/>
          <w:szCs w:val="28"/>
          <w:u w:val="single"/>
        </w:rPr>
      </w:pPr>
    </w:p>
    <w:p w:rsidR="00CF594B" w:rsidRDefault="00CF594B">
      <w:pPr>
        <w:rPr>
          <w:rFonts w:ascii="Calibri" w:hAnsi="Calibri"/>
          <w:b/>
          <w:sz w:val="28"/>
          <w:szCs w:val="28"/>
          <w:u w:val="single"/>
        </w:rPr>
      </w:pPr>
    </w:p>
    <w:p w:rsidR="00CF594B" w:rsidRDefault="00CF594B">
      <w:pPr>
        <w:rPr>
          <w:rFonts w:ascii="Calibri" w:hAnsi="Calibri"/>
          <w:b/>
          <w:sz w:val="28"/>
          <w:szCs w:val="28"/>
          <w:u w:val="single"/>
        </w:rPr>
      </w:pPr>
    </w:p>
    <w:p w:rsidR="00CF594B" w:rsidRDefault="00CF594B">
      <w:pPr>
        <w:rPr>
          <w:rFonts w:ascii="Calibri" w:hAnsi="Calibri"/>
          <w:b/>
          <w:sz w:val="28"/>
          <w:szCs w:val="28"/>
          <w:u w:val="single"/>
        </w:rPr>
      </w:pPr>
    </w:p>
    <w:p w:rsidR="00CF594B" w:rsidRDefault="00CF594B">
      <w:pPr>
        <w:rPr>
          <w:rFonts w:ascii="Calibri" w:hAnsi="Calibri"/>
          <w:b/>
          <w:sz w:val="28"/>
          <w:szCs w:val="28"/>
          <w:u w:val="single"/>
        </w:rPr>
      </w:pPr>
    </w:p>
    <w:p w:rsidR="00CF594B" w:rsidRDefault="00CF594B">
      <w:pPr>
        <w:rPr>
          <w:rFonts w:ascii="Calibri" w:hAnsi="Calibri"/>
          <w:b/>
          <w:sz w:val="28"/>
          <w:szCs w:val="28"/>
          <w:u w:val="single"/>
        </w:rPr>
      </w:pPr>
    </w:p>
    <w:p w:rsidR="00CF594B" w:rsidRDefault="00CF594B">
      <w:pPr>
        <w:rPr>
          <w:rFonts w:ascii="Calibri" w:hAnsi="Calibri"/>
          <w:b/>
          <w:sz w:val="28"/>
          <w:szCs w:val="28"/>
          <w:u w:val="single"/>
        </w:rPr>
      </w:pPr>
    </w:p>
    <w:p w:rsidR="00CF594B" w:rsidRDefault="00CF594B">
      <w:pPr>
        <w:rPr>
          <w:rFonts w:ascii="Calibri" w:hAnsi="Calibri"/>
          <w:b/>
          <w:sz w:val="28"/>
          <w:szCs w:val="28"/>
          <w:u w:val="single"/>
        </w:rPr>
      </w:pPr>
    </w:p>
    <w:p w:rsidR="00CF594B" w:rsidRDefault="00CF594B">
      <w:pPr>
        <w:rPr>
          <w:rFonts w:ascii="Calibri" w:hAnsi="Calibri"/>
          <w:b/>
          <w:sz w:val="28"/>
          <w:szCs w:val="28"/>
          <w:u w:val="single"/>
        </w:rPr>
      </w:pPr>
    </w:p>
    <w:p w:rsidR="00CF594B" w:rsidRDefault="00CF594B">
      <w:pPr>
        <w:rPr>
          <w:rFonts w:ascii="Calibri" w:hAnsi="Calibri"/>
          <w:b/>
          <w:sz w:val="28"/>
          <w:szCs w:val="28"/>
          <w:u w:val="single"/>
        </w:rPr>
      </w:pPr>
    </w:p>
    <w:p w:rsidR="00CF594B" w:rsidRDefault="00CF594B">
      <w:pPr>
        <w:rPr>
          <w:rFonts w:ascii="Calibri" w:hAnsi="Calibri"/>
          <w:b/>
          <w:sz w:val="28"/>
          <w:szCs w:val="28"/>
          <w:u w:val="single"/>
        </w:rPr>
      </w:pPr>
    </w:p>
    <w:p w:rsidR="003C6211" w:rsidRPr="0036155D" w:rsidRDefault="003C6211">
      <w:pPr>
        <w:rPr>
          <w:rFonts w:ascii="Calibri" w:hAnsi="Calibri"/>
          <w:b/>
          <w:sz w:val="28"/>
          <w:szCs w:val="28"/>
          <w:u w:val="single"/>
        </w:rPr>
      </w:pPr>
      <w:r w:rsidRPr="0036155D">
        <w:rPr>
          <w:rFonts w:ascii="Calibri" w:hAnsi="Calibri"/>
          <w:b/>
          <w:sz w:val="28"/>
          <w:szCs w:val="28"/>
          <w:u w:val="single"/>
        </w:rPr>
        <w:lastRenderedPageBreak/>
        <w:t>Reference list</w:t>
      </w:r>
    </w:p>
    <w:p w:rsidR="003C6211" w:rsidRPr="004F23CA" w:rsidRDefault="003C6211" w:rsidP="003C6211">
      <w:pPr>
        <w:pStyle w:val="FootnoteText"/>
        <w:rPr>
          <w:sz w:val="28"/>
          <w:szCs w:val="28"/>
        </w:rPr>
      </w:pPr>
      <w:r w:rsidRPr="004F23CA">
        <w:rPr>
          <w:b/>
          <w:sz w:val="28"/>
          <w:szCs w:val="28"/>
        </w:rPr>
        <w:t>British Library</w:t>
      </w:r>
      <w:r w:rsidRPr="0036155D">
        <w:rPr>
          <w:sz w:val="28"/>
          <w:szCs w:val="28"/>
        </w:rPr>
        <w:t xml:space="preserve"> </w:t>
      </w:r>
      <w:hyperlink r:id="rId9" w:history="1">
        <w:r w:rsidRPr="004F23CA">
          <w:rPr>
            <w:rStyle w:val="Hyperlink"/>
            <w:color w:val="auto"/>
            <w:sz w:val="28"/>
            <w:szCs w:val="28"/>
          </w:rPr>
          <w:t>http://www.bl.uk/manuscripts/Viewer.aspx?ref=cotton_ms_tiberius_b_v!1_f002r</w:t>
        </w:r>
      </w:hyperlink>
      <w:r w:rsidRPr="004F23CA">
        <w:rPr>
          <w:sz w:val="28"/>
          <w:szCs w:val="28"/>
        </w:rPr>
        <w:t xml:space="preserve"> </w:t>
      </w:r>
    </w:p>
    <w:p w:rsidR="0036155D" w:rsidRPr="004F23CA" w:rsidRDefault="0036155D" w:rsidP="003C6211">
      <w:pPr>
        <w:pStyle w:val="FootnoteText"/>
        <w:rPr>
          <w:sz w:val="28"/>
          <w:szCs w:val="28"/>
        </w:rPr>
      </w:pPr>
    </w:p>
    <w:p w:rsidR="0036155D" w:rsidRDefault="0036155D" w:rsidP="004F23CA">
      <w:pPr>
        <w:pStyle w:val="FootnoteText"/>
        <w:rPr>
          <w:rStyle w:val="Hyperlink"/>
          <w:rFonts w:ascii="Calibri" w:hAnsi="Calibri"/>
          <w:color w:val="auto"/>
          <w:sz w:val="28"/>
          <w:szCs w:val="28"/>
        </w:rPr>
      </w:pPr>
      <w:r w:rsidRPr="004F23CA">
        <w:rPr>
          <w:rFonts w:ascii="Calibri" w:hAnsi="Calibri"/>
          <w:b/>
          <w:sz w:val="28"/>
          <w:szCs w:val="28"/>
        </w:rPr>
        <w:t>British Library</w:t>
      </w:r>
      <w:r w:rsidRPr="0036155D">
        <w:rPr>
          <w:rFonts w:ascii="Calibri" w:hAnsi="Calibri"/>
          <w:sz w:val="28"/>
          <w:szCs w:val="28"/>
        </w:rPr>
        <w:t xml:space="preserve"> </w:t>
      </w:r>
      <w:hyperlink r:id="rId10" w:history="1">
        <w:r w:rsidRPr="004F23CA">
          <w:rPr>
            <w:rStyle w:val="Hyperlink"/>
            <w:rFonts w:ascii="Calibri" w:hAnsi="Calibri"/>
            <w:color w:val="auto"/>
            <w:sz w:val="28"/>
            <w:szCs w:val="28"/>
          </w:rPr>
          <w:t>https://www.bl.uk/medieval-english-french-manuscripts/articles/medieval-calendars#</w:t>
        </w:r>
      </w:hyperlink>
    </w:p>
    <w:p w:rsidR="004F23CA" w:rsidRPr="004F23CA" w:rsidRDefault="004F23CA" w:rsidP="004F23CA">
      <w:pPr>
        <w:pStyle w:val="FootnoteText"/>
        <w:rPr>
          <w:sz w:val="28"/>
          <w:szCs w:val="28"/>
        </w:rPr>
      </w:pPr>
    </w:p>
    <w:p w:rsidR="0036155D" w:rsidRDefault="0036155D" w:rsidP="003C6211">
      <w:pPr>
        <w:ind w:left="426" w:hanging="426"/>
        <w:rPr>
          <w:sz w:val="28"/>
          <w:szCs w:val="28"/>
        </w:rPr>
      </w:pPr>
      <w:r w:rsidRPr="004F23CA">
        <w:rPr>
          <w:b/>
          <w:sz w:val="28"/>
          <w:szCs w:val="28"/>
        </w:rPr>
        <w:t>Brown, Michelle P</w:t>
      </w:r>
      <w:r w:rsidRPr="0036155D">
        <w:rPr>
          <w:sz w:val="28"/>
          <w:szCs w:val="28"/>
        </w:rPr>
        <w:t>. Anglo Saxon Manuscripts (The British Library London 1991)</w:t>
      </w:r>
    </w:p>
    <w:p w:rsidR="00010565" w:rsidRPr="00010565" w:rsidRDefault="00010565" w:rsidP="003C6211">
      <w:pPr>
        <w:ind w:left="426" w:hanging="426"/>
        <w:rPr>
          <w:sz w:val="28"/>
          <w:szCs w:val="28"/>
        </w:rPr>
      </w:pPr>
      <w:r w:rsidRPr="004F23CA">
        <w:rPr>
          <w:b/>
          <w:sz w:val="28"/>
          <w:szCs w:val="28"/>
        </w:rPr>
        <w:t>Brown</w:t>
      </w:r>
      <w:r w:rsidR="004F23CA">
        <w:rPr>
          <w:b/>
          <w:sz w:val="28"/>
          <w:szCs w:val="28"/>
        </w:rPr>
        <w:t>,</w:t>
      </w:r>
      <w:r w:rsidRPr="004F23CA">
        <w:rPr>
          <w:b/>
          <w:sz w:val="28"/>
          <w:szCs w:val="28"/>
        </w:rPr>
        <w:t xml:space="preserve"> Michelle</w:t>
      </w:r>
      <w:r w:rsidRPr="00010565">
        <w:rPr>
          <w:sz w:val="28"/>
          <w:szCs w:val="28"/>
        </w:rPr>
        <w:t xml:space="preserve">, </w:t>
      </w:r>
      <w:r w:rsidRPr="00010565">
        <w:rPr>
          <w:i/>
          <w:iCs/>
          <w:sz w:val="28"/>
          <w:szCs w:val="28"/>
        </w:rPr>
        <w:t>The World Of The Luttrell Psalter</w:t>
      </w:r>
      <w:r w:rsidRPr="00010565">
        <w:rPr>
          <w:sz w:val="28"/>
          <w:szCs w:val="28"/>
        </w:rPr>
        <w:t xml:space="preserve"> (London: The British Library, 2006)</w:t>
      </w:r>
    </w:p>
    <w:p w:rsidR="0036155D" w:rsidRPr="0036155D" w:rsidRDefault="0036155D" w:rsidP="0036155D">
      <w:pPr>
        <w:pStyle w:val="FootnoteText"/>
        <w:rPr>
          <w:rFonts w:ascii="Calibri" w:hAnsi="Calibri"/>
          <w:sz w:val="28"/>
          <w:szCs w:val="28"/>
        </w:rPr>
      </w:pPr>
      <w:r w:rsidRPr="004F23CA">
        <w:rPr>
          <w:rFonts w:ascii="Calibri" w:hAnsi="Calibri"/>
          <w:b/>
          <w:sz w:val="28"/>
          <w:szCs w:val="28"/>
        </w:rPr>
        <w:t>Clanchy</w:t>
      </w:r>
      <w:r w:rsidR="004F23CA">
        <w:rPr>
          <w:rFonts w:ascii="Calibri" w:hAnsi="Calibri"/>
          <w:b/>
          <w:sz w:val="28"/>
          <w:szCs w:val="28"/>
        </w:rPr>
        <w:t>,</w:t>
      </w:r>
      <w:r w:rsidRPr="004F23CA">
        <w:rPr>
          <w:rFonts w:ascii="Calibri" w:hAnsi="Calibri"/>
          <w:b/>
          <w:sz w:val="28"/>
          <w:szCs w:val="28"/>
        </w:rPr>
        <w:t xml:space="preserve"> M T</w:t>
      </w:r>
      <w:r w:rsidRPr="0036155D">
        <w:rPr>
          <w:rFonts w:ascii="Calibri" w:hAnsi="Calibri"/>
          <w:sz w:val="28"/>
          <w:szCs w:val="28"/>
        </w:rPr>
        <w:t xml:space="preserve"> , </w:t>
      </w:r>
      <w:r w:rsidRPr="0036155D">
        <w:rPr>
          <w:rFonts w:ascii="Calibri" w:hAnsi="Calibri"/>
          <w:i/>
          <w:iCs/>
          <w:sz w:val="28"/>
          <w:szCs w:val="28"/>
        </w:rPr>
        <w:t>From Memory to Written Record England 1066-1307</w:t>
      </w:r>
      <w:r w:rsidRPr="0036155D">
        <w:rPr>
          <w:rFonts w:ascii="Calibri" w:hAnsi="Calibri"/>
          <w:sz w:val="28"/>
          <w:szCs w:val="28"/>
        </w:rPr>
        <w:t xml:space="preserve"> (Blackwell Publishing, 2003)</w:t>
      </w:r>
    </w:p>
    <w:p w:rsidR="0036155D" w:rsidRDefault="0036155D" w:rsidP="0036155D">
      <w:pPr>
        <w:pStyle w:val="FootnoteText"/>
        <w:rPr>
          <w:sz w:val="28"/>
          <w:szCs w:val="28"/>
        </w:rPr>
      </w:pPr>
    </w:p>
    <w:p w:rsidR="0036155D" w:rsidRDefault="0036155D" w:rsidP="0036155D">
      <w:pPr>
        <w:pStyle w:val="FootnoteText"/>
        <w:rPr>
          <w:sz w:val="28"/>
          <w:szCs w:val="28"/>
        </w:rPr>
      </w:pPr>
      <w:r w:rsidRPr="004F23CA">
        <w:rPr>
          <w:b/>
          <w:sz w:val="28"/>
          <w:szCs w:val="28"/>
        </w:rPr>
        <w:t>De Hamel, Christopher</w:t>
      </w:r>
      <w:r w:rsidRPr="0036155D">
        <w:rPr>
          <w:sz w:val="28"/>
          <w:szCs w:val="28"/>
        </w:rPr>
        <w:t xml:space="preserve">. </w:t>
      </w:r>
      <w:r w:rsidRPr="0036155D">
        <w:rPr>
          <w:i/>
          <w:sz w:val="28"/>
          <w:szCs w:val="28"/>
        </w:rPr>
        <w:t xml:space="preserve">Scribes and Illuminators </w:t>
      </w:r>
      <w:r w:rsidRPr="0036155D">
        <w:rPr>
          <w:sz w:val="28"/>
          <w:szCs w:val="28"/>
        </w:rPr>
        <w:t>(The British Museum Press 1992)</w:t>
      </w:r>
    </w:p>
    <w:p w:rsidR="0036155D" w:rsidRPr="0036155D" w:rsidRDefault="0036155D" w:rsidP="0036155D">
      <w:pPr>
        <w:pStyle w:val="FootnoteText"/>
        <w:rPr>
          <w:sz w:val="28"/>
          <w:szCs w:val="28"/>
        </w:rPr>
      </w:pPr>
    </w:p>
    <w:p w:rsidR="0036155D" w:rsidRDefault="0036155D" w:rsidP="0036155D">
      <w:pPr>
        <w:pStyle w:val="FootnoteText"/>
        <w:rPr>
          <w:rFonts w:ascii="Calibri" w:hAnsi="Calibri"/>
          <w:sz w:val="28"/>
          <w:szCs w:val="28"/>
        </w:rPr>
      </w:pPr>
      <w:r w:rsidRPr="004F23CA">
        <w:rPr>
          <w:rFonts w:ascii="Calibri" w:hAnsi="Calibri"/>
          <w:b/>
          <w:sz w:val="28"/>
          <w:szCs w:val="28"/>
        </w:rPr>
        <w:t>Donovan</w:t>
      </w:r>
      <w:r w:rsidR="004F23CA">
        <w:rPr>
          <w:rFonts w:ascii="Calibri" w:hAnsi="Calibri"/>
          <w:b/>
          <w:sz w:val="28"/>
          <w:szCs w:val="28"/>
        </w:rPr>
        <w:t>,</w:t>
      </w:r>
      <w:r w:rsidRPr="004F23CA">
        <w:rPr>
          <w:rFonts w:ascii="Calibri" w:hAnsi="Calibri"/>
          <w:b/>
          <w:sz w:val="28"/>
          <w:szCs w:val="28"/>
        </w:rPr>
        <w:t xml:space="preserve"> Claire</w:t>
      </w:r>
      <w:r w:rsidRPr="0036155D">
        <w:rPr>
          <w:rFonts w:ascii="Calibri" w:hAnsi="Calibri"/>
          <w:sz w:val="28"/>
          <w:szCs w:val="28"/>
        </w:rPr>
        <w:t xml:space="preserve">. </w:t>
      </w:r>
      <w:r w:rsidRPr="0036155D">
        <w:rPr>
          <w:rFonts w:ascii="Calibri" w:hAnsi="Calibri"/>
          <w:i/>
          <w:sz w:val="28"/>
          <w:szCs w:val="28"/>
        </w:rPr>
        <w:t>The Winchester Bible</w:t>
      </w:r>
      <w:r w:rsidRPr="0036155D">
        <w:rPr>
          <w:rFonts w:ascii="Calibri" w:hAnsi="Calibri"/>
          <w:sz w:val="28"/>
          <w:szCs w:val="28"/>
        </w:rPr>
        <w:t xml:space="preserve"> (Winchester Cathedral, Winchester 1993) </w:t>
      </w:r>
    </w:p>
    <w:p w:rsidR="00010565" w:rsidRDefault="00010565" w:rsidP="0036155D">
      <w:pPr>
        <w:pStyle w:val="FootnoteText"/>
        <w:rPr>
          <w:rFonts w:ascii="Calibri" w:hAnsi="Calibri"/>
          <w:sz w:val="28"/>
          <w:szCs w:val="28"/>
        </w:rPr>
      </w:pPr>
    </w:p>
    <w:p w:rsidR="0036155D" w:rsidRPr="004F23CA" w:rsidRDefault="00010565" w:rsidP="004F23CA">
      <w:pPr>
        <w:pStyle w:val="FootnoteText"/>
        <w:ind w:left="426" w:hanging="426"/>
        <w:rPr>
          <w:sz w:val="28"/>
          <w:szCs w:val="28"/>
        </w:rPr>
      </w:pPr>
      <w:r w:rsidRPr="004F23CA">
        <w:rPr>
          <w:b/>
          <w:sz w:val="28"/>
          <w:szCs w:val="28"/>
        </w:rPr>
        <w:t>Dyer, C.</w:t>
      </w:r>
      <w:r w:rsidRPr="00010565">
        <w:rPr>
          <w:sz w:val="28"/>
          <w:szCs w:val="28"/>
        </w:rPr>
        <w:t xml:space="preserve">  Making a Living In The Middle Ages: The People Of Britain 850-1520, (Yale University Press London 2002) p 24.</w:t>
      </w:r>
    </w:p>
    <w:p w:rsidR="0036155D" w:rsidRDefault="0036155D" w:rsidP="0036155D">
      <w:pPr>
        <w:pStyle w:val="FootnoteText"/>
        <w:ind w:left="284" w:hanging="284"/>
        <w:rPr>
          <w:rFonts w:ascii="Calibri" w:hAnsi="Calibri"/>
          <w:sz w:val="28"/>
          <w:szCs w:val="28"/>
        </w:rPr>
      </w:pPr>
    </w:p>
    <w:p w:rsidR="0036155D" w:rsidRDefault="0036155D" w:rsidP="0036155D">
      <w:pPr>
        <w:pStyle w:val="FootnoteText"/>
        <w:ind w:left="284" w:hanging="284"/>
        <w:rPr>
          <w:sz w:val="28"/>
          <w:szCs w:val="28"/>
        </w:rPr>
      </w:pPr>
      <w:r w:rsidRPr="004F23CA">
        <w:rPr>
          <w:b/>
          <w:sz w:val="28"/>
          <w:szCs w:val="28"/>
        </w:rPr>
        <w:t>Gameson</w:t>
      </w:r>
      <w:r w:rsidR="004F23CA">
        <w:rPr>
          <w:b/>
          <w:sz w:val="28"/>
          <w:szCs w:val="28"/>
        </w:rPr>
        <w:t>,</w:t>
      </w:r>
      <w:r w:rsidRPr="004F23CA">
        <w:rPr>
          <w:b/>
          <w:sz w:val="28"/>
          <w:szCs w:val="28"/>
        </w:rPr>
        <w:t xml:space="preserve"> Richard</w:t>
      </w:r>
      <w:r w:rsidRPr="0036155D">
        <w:rPr>
          <w:sz w:val="28"/>
          <w:szCs w:val="28"/>
        </w:rPr>
        <w:t xml:space="preserve"> </w:t>
      </w:r>
      <w:r w:rsidRPr="0036155D">
        <w:rPr>
          <w:i/>
          <w:sz w:val="28"/>
          <w:szCs w:val="28"/>
        </w:rPr>
        <w:t>The Insular Gospel Book at Hereford Cathedral</w:t>
      </w:r>
      <w:r w:rsidRPr="0036155D">
        <w:rPr>
          <w:sz w:val="28"/>
          <w:szCs w:val="28"/>
        </w:rPr>
        <w:t>, International Review Of Manuscript Studies, Tome LVI 2002 1. Centre de’tude Des Manuscrite. Brussels.</w:t>
      </w:r>
    </w:p>
    <w:p w:rsidR="0036155D" w:rsidRDefault="0036155D" w:rsidP="0036155D">
      <w:pPr>
        <w:pStyle w:val="FootnoteText"/>
        <w:ind w:left="284" w:hanging="284"/>
        <w:rPr>
          <w:sz w:val="28"/>
          <w:szCs w:val="28"/>
        </w:rPr>
      </w:pPr>
    </w:p>
    <w:p w:rsidR="0036155D" w:rsidRPr="0036155D" w:rsidRDefault="0036155D" w:rsidP="0036155D">
      <w:pPr>
        <w:pStyle w:val="FootnoteText"/>
        <w:ind w:left="426" w:hanging="426"/>
        <w:rPr>
          <w:rFonts w:cstheme="minorHAnsi"/>
          <w:sz w:val="28"/>
          <w:szCs w:val="28"/>
        </w:rPr>
      </w:pPr>
      <w:r w:rsidRPr="004F23CA">
        <w:rPr>
          <w:rFonts w:eastAsia="Times New Roman" w:cstheme="minorHAnsi"/>
          <w:b/>
          <w:sz w:val="28"/>
          <w:szCs w:val="28"/>
          <w:lang w:eastAsia="en-GB"/>
        </w:rPr>
        <w:t>Mack</w:t>
      </w:r>
      <w:r w:rsidR="004F23CA">
        <w:rPr>
          <w:rFonts w:eastAsia="Times New Roman" w:cstheme="minorHAnsi"/>
          <w:b/>
          <w:sz w:val="28"/>
          <w:szCs w:val="28"/>
          <w:lang w:eastAsia="en-GB"/>
        </w:rPr>
        <w:t>,</w:t>
      </w:r>
      <w:r w:rsidRPr="004F23CA">
        <w:rPr>
          <w:rFonts w:eastAsia="Times New Roman" w:cstheme="minorHAnsi"/>
          <w:b/>
          <w:sz w:val="28"/>
          <w:szCs w:val="28"/>
          <w:lang w:eastAsia="en-GB"/>
        </w:rPr>
        <w:t xml:space="preserve"> Katharin</w:t>
      </w:r>
      <w:r w:rsidRPr="0036155D">
        <w:rPr>
          <w:rFonts w:eastAsia="Times New Roman" w:cstheme="minorHAnsi"/>
          <w:sz w:val="28"/>
          <w:szCs w:val="28"/>
          <w:lang w:eastAsia="en-GB"/>
        </w:rPr>
        <w:t>. “</w:t>
      </w:r>
      <w:r w:rsidRPr="0036155D">
        <w:rPr>
          <w:rFonts w:eastAsia="Times New Roman" w:cstheme="minorHAnsi"/>
          <w:i/>
          <w:sz w:val="28"/>
          <w:szCs w:val="28"/>
          <w:lang w:eastAsia="en-GB"/>
        </w:rPr>
        <w:t>Changing Thegns: Cnut's Conquest and the English Aristocracy</w:t>
      </w:r>
      <w:r w:rsidRPr="0036155D">
        <w:rPr>
          <w:rFonts w:eastAsia="Times New Roman" w:cstheme="minorHAnsi"/>
          <w:sz w:val="28"/>
          <w:szCs w:val="28"/>
          <w:lang w:eastAsia="en-GB"/>
        </w:rPr>
        <w:t xml:space="preserve">.” </w:t>
      </w:r>
      <w:r w:rsidRPr="0036155D">
        <w:rPr>
          <w:rFonts w:eastAsia="Times New Roman" w:cstheme="minorHAnsi"/>
          <w:i/>
          <w:iCs/>
          <w:sz w:val="28"/>
          <w:szCs w:val="28"/>
          <w:lang w:eastAsia="en-GB"/>
        </w:rPr>
        <w:t>Albion: A Quarterly Journal Concerned with British Studies”</w:t>
      </w:r>
      <w:r w:rsidRPr="0036155D">
        <w:rPr>
          <w:rFonts w:eastAsia="Times New Roman" w:cstheme="minorHAnsi"/>
          <w:sz w:val="28"/>
          <w:szCs w:val="28"/>
          <w:lang w:eastAsia="en-GB"/>
        </w:rPr>
        <w:t>, vol. 16, no. 4, 1984</w:t>
      </w:r>
    </w:p>
    <w:p w:rsidR="0036155D" w:rsidRPr="0036155D" w:rsidRDefault="0036155D" w:rsidP="0036155D">
      <w:pPr>
        <w:pStyle w:val="FootnoteText"/>
        <w:ind w:left="284" w:hanging="284"/>
        <w:rPr>
          <w:sz w:val="28"/>
          <w:szCs w:val="28"/>
        </w:rPr>
      </w:pPr>
    </w:p>
    <w:p w:rsidR="0036155D" w:rsidRDefault="0036155D" w:rsidP="0036155D">
      <w:pPr>
        <w:pStyle w:val="FootnoteText"/>
        <w:ind w:left="426" w:hanging="426"/>
        <w:rPr>
          <w:rFonts w:ascii="Calibri" w:hAnsi="Calibri"/>
          <w:sz w:val="28"/>
          <w:szCs w:val="28"/>
        </w:rPr>
      </w:pPr>
      <w:r w:rsidRPr="004F23CA">
        <w:rPr>
          <w:rFonts w:ascii="Calibri" w:hAnsi="Calibri"/>
          <w:b/>
          <w:sz w:val="28"/>
          <w:szCs w:val="28"/>
        </w:rPr>
        <w:t>Manning</w:t>
      </w:r>
      <w:r w:rsidRPr="0036155D">
        <w:rPr>
          <w:rFonts w:ascii="Calibri" w:hAnsi="Calibri"/>
          <w:sz w:val="28"/>
          <w:szCs w:val="28"/>
        </w:rPr>
        <w:t xml:space="preserve">  in Bennett cited in Bennett H.S. </w:t>
      </w:r>
      <w:r w:rsidRPr="0036155D">
        <w:rPr>
          <w:rFonts w:ascii="Calibri" w:hAnsi="Calibri"/>
          <w:i/>
          <w:sz w:val="28"/>
          <w:szCs w:val="28"/>
        </w:rPr>
        <w:t>Life On The English Manor</w:t>
      </w:r>
      <w:r w:rsidRPr="0036155D">
        <w:rPr>
          <w:rFonts w:ascii="Calibri" w:hAnsi="Calibri"/>
          <w:sz w:val="28"/>
          <w:szCs w:val="28"/>
        </w:rPr>
        <w:t xml:space="preserve"> (Cambridge University Press 1938)</w:t>
      </w:r>
    </w:p>
    <w:p w:rsidR="0036155D" w:rsidRPr="0036155D" w:rsidRDefault="0036155D" w:rsidP="0036155D">
      <w:pPr>
        <w:pStyle w:val="FootnoteText"/>
        <w:ind w:left="426" w:hanging="426"/>
        <w:rPr>
          <w:rFonts w:ascii="Calibri" w:hAnsi="Calibri"/>
          <w:sz w:val="28"/>
          <w:szCs w:val="28"/>
        </w:rPr>
      </w:pPr>
    </w:p>
    <w:p w:rsidR="003C6211" w:rsidRPr="0036155D" w:rsidRDefault="003C6211" w:rsidP="003C6211">
      <w:pPr>
        <w:ind w:left="426" w:hanging="426"/>
        <w:rPr>
          <w:rFonts w:cstheme="minorHAnsi"/>
          <w:sz w:val="28"/>
          <w:szCs w:val="28"/>
        </w:rPr>
      </w:pPr>
      <w:r w:rsidRPr="004F23CA">
        <w:rPr>
          <w:rFonts w:cstheme="minorHAnsi"/>
          <w:b/>
          <w:sz w:val="28"/>
          <w:szCs w:val="28"/>
        </w:rPr>
        <w:t>Morris</w:t>
      </w:r>
      <w:r w:rsidR="0036155D" w:rsidRPr="004F23CA">
        <w:rPr>
          <w:rFonts w:cstheme="minorHAnsi"/>
          <w:b/>
          <w:sz w:val="28"/>
          <w:szCs w:val="28"/>
        </w:rPr>
        <w:t>, Jennifer</w:t>
      </w:r>
      <w:r w:rsidRPr="0036155D">
        <w:rPr>
          <w:rFonts w:cstheme="minorHAnsi"/>
          <w:sz w:val="28"/>
          <w:szCs w:val="28"/>
        </w:rPr>
        <w:t xml:space="preserve"> Review</w:t>
      </w:r>
      <w:r w:rsidRPr="0036155D">
        <w:rPr>
          <w:rStyle w:val="HTMLCite"/>
          <w:rFonts w:cstheme="minorHAnsi"/>
          <w:sz w:val="28"/>
          <w:szCs w:val="28"/>
        </w:rPr>
        <w:t xml:space="preserve"> Modern Philology</w:t>
      </w:r>
      <w:r w:rsidRPr="0036155D">
        <w:rPr>
          <w:rFonts w:cstheme="minorHAnsi"/>
          <w:sz w:val="28"/>
          <w:szCs w:val="28"/>
        </w:rPr>
        <w:t xml:space="preserve"> Vol. 83, No. 3 (</w:t>
      </w:r>
      <w:hyperlink r:id="rId11" w:history="1">
        <w:r w:rsidRPr="0036155D">
          <w:rPr>
            <w:rStyle w:val="Hyperlink"/>
            <w:rFonts w:cstheme="minorHAnsi"/>
            <w:color w:val="auto"/>
            <w:sz w:val="28"/>
            <w:szCs w:val="28"/>
            <w:u w:val="none"/>
          </w:rPr>
          <w:t>The University of Chicago Press</w:t>
        </w:r>
      </w:hyperlink>
      <w:r w:rsidRPr="0036155D">
        <w:rPr>
          <w:rFonts w:cstheme="minorHAnsi"/>
          <w:sz w:val="28"/>
          <w:szCs w:val="28"/>
        </w:rPr>
        <w:t xml:space="preserve"> Feb., 1986</w:t>
      </w:r>
      <w:r w:rsidR="0036155D">
        <w:rPr>
          <w:rFonts w:cstheme="minorHAnsi"/>
          <w:sz w:val="28"/>
          <w:szCs w:val="28"/>
        </w:rPr>
        <w:t>)</w:t>
      </w:r>
    </w:p>
    <w:p w:rsidR="0036155D" w:rsidRPr="0036155D" w:rsidRDefault="0036155D" w:rsidP="0036155D">
      <w:pPr>
        <w:ind w:left="426" w:hanging="426"/>
        <w:rPr>
          <w:rFonts w:ascii="Calibri" w:eastAsia="Times New Roman" w:hAnsi="Calibri" w:cs="Times New Roman"/>
          <w:sz w:val="28"/>
          <w:szCs w:val="28"/>
          <w:lang w:eastAsia="en-GB"/>
        </w:rPr>
      </w:pPr>
      <w:r w:rsidRPr="004F23CA">
        <w:rPr>
          <w:rFonts w:ascii="Calibri" w:eastAsia="Times New Roman" w:hAnsi="Calibri" w:cs="Times New Roman"/>
          <w:b/>
          <w:sz w:val="28"/>
          <w:szCs w:val="28"/>
          <w:lang w:eastAsia="en-GB"/>
        </w:rPr>
        <w:lastRenderedPageBreak/>
        <w:t>Sandler, Lucy Freeman</w:t>
      </w:r>
      <w:r w:rsidRPr="0036155D">
        <w:rPr>
          <w:rFonts w:ascii="Calibri" w:eastAsia="Times New Roman" w:hAnsi="Calibri" w:cs="Times New Roman"/>
          <w:sz w:val="28"/>
          <w:szCs w:val="28"/>
          <w:lang w:eastAsia="en-GB"/>
        </w:rPr>
        <w:t xml:space="preserve">. “The Word in the Text and the Image in the Margin: The Case of the Luttrell Psalter.” </w:t>
      </w:r>
      <w:r w:rsidRPr="0036155D">
        <w:rPr>
          <w:rFonts w:ascii="Calibri" w:eastAsia="Times New Roman" w:hAnsi="Calibri" w:cs="Times New Roman"/>
          <w:i/>
          <w:iCs/>
          <w:sz w:val="28"/>
          <w:szCs w:val="28"/>
          <w:lang w:eastAsia="en-GB"/>
        </w:rPr>
        <w:t>The Journal of the Walters Art Gallery</w:t>
      </w:r>
      <w:r w:rsidRPr="0036155D">
        <w:rPr>
          <w:rFonts w:ascii="Calibri" w:eastAsia="Times New Roman" w:hAnsi="Calibri" w:cs="Times New Roman"/>
          <w:sz w:val="28"/>
          <w:szCs w:val="28"/>
          <w:lang w:eastAsia="en-GB"/>
        </w:rPr>
        <w:t>, vol. 54, 1996.</w:t>
      </w:r>
    </w:p>
    <w:p w:rsidR="0036155D" w:rsidRPr="0036155D" w:rsidRDefault="00466B96" w:rsidP="0036155D">
      <w:pPr>
        <w:pStyle w:val="FootnoteText"/>
        <w:ind w:left="426" w:hanging="426"/>
        <w:rPr>
          <w:rFonts w:ascii="Calibri" w:eastAsia="Times New Roman" w:hAnsi="Calibri" w:cs="Times New Roman"/>
          <w:sz w:val="28"/>
          <w:szCs w:val="28"/>
          <w:lang w:eastAsia="en-GB"/>
        </w:rPr>
      </w:pPr>
      <w:r w:rsidRPr="004F23CA">
        <w:rPr>
          <w:rFonts w:ascii="Calibri" w:hAnsi="Calibri"/>
          <w:b/>
          <w:sz w:val="28"/>
          <w:szCs w:val="28"/>
        </w:rPr>
        <w:t>Science direct</w:t>
      </w:r>
      <w:r>
        <w:rPr>
          <w:rFonts w:ascii="Calibri" w:hAnsi="Calibri"/>
          <w:sz w:val="28"/>
          <w:szCs w:val="28"/>
        </w:rPr>
        <w:t xml:space="preserve"> </w:t>
      </w:r>
      <w:r w:rsidR="0036155D" w:rsidRPr="0036155D">
        <w:rPr>
          <w:rFonts w:ascii="Calibri" w:hAnsi="Calibri"/>
          <w:sz w:val="28"/>
          <w:szCs w:val="28"/>
        </w:rPr>
        <w:t xml:space="preserve">www.sciencedirect.com/topics/earth-and-planetary-sciences/medieval-warm-period </w:t>
      </w:r>
    </w:p>
    <w:p w:rsidR="003C6211" w:rsidRPr="0036155D" w:rsidRDefault="003C6211" w:rsidP="003C6211">
      <w:pPr>
        <w:pStyle w:val="FootnoteText"/>
        <w:rPr>
          <w:sz w:val="28"/>
          <w:szCs w:val="28"/>
        </w:rPr>
      </w:pPr>
    </w:p>
    <w:p w:rsidR="003C6211" w:rsidRPr="0036155D" w:rsidRDefault="003C6211" w:rsidP="003C6211">
      <w:pPr>
        <w:pStyle w:val="FootnoteText"/>
        <w:rPr>
          <w:rFonts w:cstheme="minorHAnsi"/>
          <w:sz w:val="28"/>
          <w:szCs w:val="28"/>
        </w:rPr>
      </w:pPr>
      <w:r w:rsidRPr="004F23CA">
        <w:rPr>
          <w:rFonts w:cstheme="minorHAnsi"/>
          <w:b/>
          <w:sz w:val="28"/>
          <w:szCs w:val="28"/>
        </w:rPr>
        <w:t>Stenton</w:t>
      </w:r>
      <w:r w:rsidR="004F23CA">
        <w:rPr>
          <w:rFonts w:cstheme="minorHAnsi"/>
          <w:b/>
          <w:sz w:val="28"/>
          <w:szCs w:val="28"/>
        </w:rPr>
        <w:t>,</w:t>
      </w:r>
      <w:r w:rsidRPr="004F23CA">
        <w:rPr>
          <w:rFonts w:cstheme="minorHAnsi"/>
          <w:b/>
          <w:sz w:val="28"/>
          <w:szCs w:val="28"/>
        </w:rPr>
        <w:t xml:space="preserve"> Frank</w:t>
      </w:r>
      <w:r w:rsidRPr="0036155D">
        <w:rPr>
          <w:rFonts w:cstheme="minorHAnsi"/>
          <w:sz w:val="28"/>
          <w:szCs w:val="28"/>
        </w:rPr>
        <w:t xml:space="preserve"> </w:t>
      </w:r>
      <w:r w:rsidRPr="0036155D">
        <w:rPr>
          <w:rFonts w:cstheme="minorHAnsi"/>
          <w:i/>
          <w:sz w:val="28"/>
          <w:szCs w:val="28"/>
        </w:rPr>
        <w:t>Anglo Saxon England</w:t>
      </w:r>
      <w:r w:rsidRPr="0036155D">
        <w:rPr>
          <w:rFonts w:cstheme="minorHAnsi"/>
          <w:sz w:val="28"/>
          <w:szCs w:val="28"/>
        </w:rPr>
        <w:t>, 3</w:t>
      </w:r>
      <w:r w:rsidRPr="0036155D">
        <w:rPr>
          <w:rFonts w:cstheme="minorHAnsi"/>
          <w:sz w:val="28"/>
          <w:szCs w:val="28"/>
          <w:vertAlign w:val="superscript"/>
        </w:rPr>
        <w:t>rd</w:t>
      </w:r>
      <w:r w:rsidRPr="0036155D">
        <w:rPr>
          <w:rFonts w:cstheme="minorHAnsi"/>
          <w:sz w:val="28"/>
          <w:szCs w:val="28"/>
        </w:rPr>
        <w:t xml:space="preserve"> Edition (Oxford The Clarendon Press 1985)</w:t>
      </w:r>
    </w:p>
    <w:p w:rsidR="0036155D" w:rsidRPr="0036155D" w:rsidRDefault="0036155D" w:rsidP="003C6211">
      <w:pPr>
        <w:pStyle w:val="FootnoteText"/>
        <w:rPr>
          <w:rFonts w:cstheme="minorHAnsi"/>
          <w:sz w:val="28"/>
          <w:szCs w:val="28"/>
        </w:rPr>
      </w:pPr>
    </w:p>
    <w:p w:rsidR="00466B96" w:rsidRDefault="00466B96" w:rsidP="00466B96">
      <w:pPr>
        <w:pStyle w:val="FootnoteText"/>
        <w:rPr>
          <w:rFonts w:ascii="Calibri" w:hAnsi="Calibri"/>
          <w:sz w:val="28"/>
          <w:szCs w:val="28"/>
        </w:rPr>
      </w:pPr>
      <w:r w:rsidRPr="004F23CA">
        <w:rPr>
          <w:rFonts w:ascii="Calibri" w:hAnsi="Calibri"/>
          <w:b/>
          <w:sz w:val="28"/>
          <w:szCs w:val="28"/>
        </w:rPr>
        <w:t>White, Lynne</w:t>
      </w:r>
      <w:r w:rsidRPr="0036155D">
        <w:rPr>
          <w:rFonts w:ascii="Calibri" w:hAnsi="Calibri"/>
          <w:sz w:val="28"/>
          <w:szCs w:val="28"/>
        </w:rPr>
        <w:t xml:space="preserve"> Medieval technology and social change (London Oxford University Press 1962)</w:t>
      </w:r>
    </w:p>
    <w:p w:rsidR="00010565" w:rsidRDefault="00010565" w:rsidP="00466B96">
      <w:pPr>
        <w:pStyle w:val="FootnoteText"/>
        <w:rPr>
          <w:rFonts w:ascii="Calibri" w:hAnsi="Calibri"/>
          <w:sz w:val="28"/>
          <w:szCs w:val="28"/>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4F23CA" w:rsidRDefault="004F23CA" w:rsidP="00466B96">
      <w:pPr>
        <w:pStyle w:val="FootnoteText"/>
        <w:rPr>
          <w:rFonts w:ascii="Calibri" w:hAnsi="Calibri"/>
          <w:b/>
          <w:sz w:val="28"/>
          <w:szCs w:val="28"/>
          <w:u w:val="single"/>
        </w:rPr>
      </w:pPr>
    </w:p>
    <w:p w:rsidR="00010565" w:rsidRDefault="00010565" w:rsidP="00466B96">
      <w:pPr>
        <w:pStyle w:val="FootnoteText"/>
        <w:rPr>
          <w:rFonts w:ascii="Calibri" w:hAnsi="Calibri"/>
          <w:b/>
          <w:sz w:val="28"/>
          <w:szCs w:val="28"/>
          <w:u w:val="single"/>
        </w:rPr>
      </w:pPr>
      <w:r w:rsidRPr="00010565">
        <w:rPr>
          <w:rFonts w:ascii="Calibri" w:hAnsi="Calibri"/>
          <w:b/>
          <w:sz w:val="28"/>
          <w:szCs w:val="28"/>
          <w:u w:val="single"/>
        </w:rPr>
        <w:lastRenderedPageBreak/>
        <w:t>Bibliography</w:t>
      </w:r>
    </w:p>
    <w:p w:rsidR="00010565" w:rsidRDefault="00010565" w:rsidP="00466B96">
      <w:pPr>
        <w:pStyle w:val="FootnoteText"/>
        <w:rPr>
          <w:rFonts w:ascii="Calibri" w:hAnsi="Calibri"/>
          <w:b/>
          <w:sz w:val="28"/>
          <w:szCs w:val="28"/>
          <w:u w:val="single"/>
        </w:rPr>
      </w:pPr>
    </w:p>
    <w:p w:rsidR="004F23CA" w:rsidRDefault="004F23CA" w:rsidP="004F23CA">
      <w:pPr>
        <w:spacing w:line="360" w:lineRule="auto"/>
        <w:rPr>
          <w:sz w:val="28"/>
          <w:szCs w:val="28"/>
        </w:rPr>
      </w:pPr>
      <w:r>
        <w:rPr>
          <w:b/>
          <w:sz w:val="28"/>
          <w:szCs w:val="28"/>
        </w:rPr>
        <w:t xml:space="preserve">Backhouse, Janet </w:t>
      </w:r>
      <w:r>
        <w:rPr>
          <w:i/>
          <w:sz w:val="28"/>
          <w:szCs w:val="28"/>
        </w:rPr>
        <w:t xml:space="preserve">The Lindisfarne Gospels, </w:t>
      </w:r>
      <w:r w:rsidRPr="00010565">
        <w:rPr>
          <w:sz w:val="28"/>
          <w:szCs w:val="28"/>
        </w:rPr>
        <w:t>(London</w:t>
      </w:r>
      <w:r>
        <w:rPr>
          <w:sz w:val="28"/>
          <w:szCs w:val="28"/>
        </w:rPr>
        <w:t xml:space="preserve"> Phaidon 1981).</w:t>
      </w:r>
    </w:p>
    <w:p w:rsidR="004F23CA" w:rsidRDefault="004F23CA" w:rsidP="004F23CA">
      <w:pPr>
        <w:spacing w:line="360" w:lineRule="auto"/>
        <w:rPr>
          <w:sz w:val="28"/>
          <w:szCs w:val="28"/>
        </w:rPr>
      </w:pPr>
      <w:r w:rsidRPr="00C20B2E">
        <w:rPr>
          <w:b/>
          <w:sz w:val="28"/>
          <w:szCs w:val="28"/>
        </w:rPr>
        <w:t>Backhouse, J</w:t>
      </w:r>
      <w:r>
        <w:rPr>
          <w:sz w:val="28"/>
          <w:szCs w:val="28"/>
        </w:rPr>
        <w:t>.</w:t>
      </w:r>
      <w:r w:rsidRPr="00C20B2E">
        <w:rPr>
          <w:sz w:val="28"/>
          <w:szCs w:val="28"/>
        </w:rPr>
        <w:t xml:space="preserve"> </w:t>
      </w:r>
      <w:r w:rsidRPr="00C20B2E">
        <w:rPr>
          <w:i/>
          <w:iCs/>
          <w:sz w:val="28"/>
          <w:szCs w:val="28"/>
        </w:rPr>
        <w:t>The Illuminated Manuscript</w:t>
      </w:r>
      <w:r w:rsidRPr="00C20B2E">
        <w:rPr>
          <w:sz w:val="28"/>
          <w:szCs w:val="28"/>
        </w:rPr>
        <w:t xml:space="preserve"> (Oxford: Phaidon Press, 1979).</w:t>
      </w:r>
    </w:p>
    <w:p w:rsidR="004F23CA" w:rsidRPr="00C94032" w:rsidRDefault="004F23CA" w:rsidP="004F23CA">
      <w:pPr>
        <w:spacing w:line="360" w:lineRule="auto"/>
        <w:rPr>
          <w:sz w:val="28"/>
          <w:szCs w:val="28"/>
        </w:rPr>
      </w:pPr>
      <w:r w:rsidRPr="00C94032">
        <w:rPr>
          <w:b/>
          <w:sz w:val="28"/>
          <w:szCs w:val="28"/>
        </w:rPr>
        <w:t>Power, E.</w:t>
      </w:r>
      <w:r w:rsidRPr="00C94032">
        <w:rPr>
          <w:sz w:val="28"/>
          <w:szCs w:val="28"/>
        </w:rPr>
        <w:t xml:space="preserve"> </w:t>
      </w:r>
      <w:r w:rsidRPr="00C94032">
        <w:rPr>
          <w:i/>
          <w:sz w:val="28"/>
          <w:szCs w:val="28"/>
        </w:rPr>
        <w:t>Medieval People</w:t>
      </w:r>
      <w:r w:rsidRPr="00C94032">
        <w:rPr>
          <w:sz w:val="28"/>
          <w:szCs w:val="28"/>
        </w:rPr>
        <w:t xml:space="preserve"> 10</w:t>
      </w:r>
      <w:r w:rsidRPr="00C94032">
        <w:rPr>
          <w:sz w:val="28"/>
          <w:szCs w:val="28"/>
          <w:vertAlign w:val="superscript"/>
        </w:rPr>
        <w:t>th</w:t>
      </w:r>
      <w:r w:rsidRPr="00C94032">
        <w:rPr>
          <w:sz w:val="28"/>
          <w:szCs w:val="28"/>
        </w:rPr>
        <w:t xml:space="preserve"> ed</w:t>
      </w:r>
      <w:r w:rsidR="005A0342">
        <w:rPr>
          <w:sz w:val="28"/>
          <w:szCs w:val="28"/>
        </w:rPr>
        <w:t>itio</w:t>
      </w:r>
      <w:r w:rsidRPr="00C94032">
        <w:rPr>
          <w:sz w:val="28"/>
          <w:szCs w:val="28"/>
        </w:rPr>
        <w:t>n (Routledge 1924).</w:t>
      </w:r>
    </w:p>
    <w:p w:rsidR="004F23CA" w:rsidRPr="00C94032" w:rsidRDefault="004F23CA" w:rsidP="004F23CA">
      <w:pPr>
        <w:spacing w:line="360" w:lineRule="auto"/>
        <w:rPr>
          <w:sz w:val="28"/>
          <w:szCs w:val="28"/>
        </w:rPr>
      </w:pPr>
      <w:r w:rsidRPr="00C94032">
        <w:rPr>
          <w:b/>
          <w:sz w:val="28"/>
          <w:szCs w:val="28"/>
        </w:rPr>
        <w:t>Stenton Frank</w:t>
      </w:r>
      <w:r w:rsidRPr="00C94032">
        <w:rPr>
          <w:sz w:val="28"/>
          <w:szCs w:val="28"/>
        </w:rPr>
        <w:t xml:space="preserve"> </w:t>
      </w:r>
      <w:r w:rsidRPr="00C94032">
        <w:rPr>
          <w:i/>
          <w:sz w:val="28"/>
          <w:szCs w:val="28"/>
        </w:rPr>
        <w:t>Anglo Saxon England</w:t>
      </w:r>
      <w:r w:rsidRPr="00C94032">
        <w:rPr>
          <w:sz w:val="28"/>
          <w:szCs w:val="28"/>
        </w:rPr>
        <w:t>, 3</w:t>
      </w:r>
      <w:r w:rsidRPr="00C94032">
        <w:rPr>
          <w:sz w:val="28"/>
          <w:szCs w:val="28"/>
          <w:vertAlign w:val="superscript"/>
        </w:rPr>
        <w:t>rd</w:t>
      </w:r>
      <w:r w:rsidRPr="00C94032">
        <w:rPr>
          <w:sz w:val="28"/>
          <w:szCs w:val="28"/>
        </w:rPr>
        <w:t xml:space="preserve"> Edition (Oxford The Clarendon Press 1985)</w:t>
      </w:r>
      <w:r>
        <w:rPr>
          <w:sz w:val="28"/>
          <w:szCs w:val="28"/>
        </w:rPr>
        <w:t>.</w:t>
      </w:r>
    </w:p>
    <w:p w:rsidR="004F23CA" w:rsidRDefault="004F23CA" w:rsidP="004F23CA">
      <w:pPr>
        <w:spacing w:line="360" w:lineRule="auto"/>
        <w:rPr>
          <w:sz w:val="28"/>
          <w:szCs w:val="28"/>
        </w:rPr>
      </w:pPr>
      <w:r w:rsidRPr="00C94032">
        <w:rPr>
          <w:b/>
          <w:sz w:val="28"/>
          <w:szCs w:val="28"/>
        </w:rPr>
        <w:t>Whittock, M</w:t>
      </w:r>
      <w:r>
        <w:rPr>
          <w:sz w:val="28"/>
          <w:szCs w:val="28"/>
        </w:rPr>
        <w:t>.</w:t>
      </w:r>
      <w:r w:rsidRPr="00C94032">
        <w:rPr>
          <w:sz w:val="28"/>
          <w:szCs w:val="28"/>
        </w:rPr>
        <w:t xml:space="preserve"> </w:t>
      </w:r>
      <w:r w:rsidRPr="00C94032">
        <w:rPr>
          <w:i/>
          <w:iCs/>
          <w:sz w:val="28"/>
          <w:szCs w:val="28"/>
        </w:rPr>
        <w:t>Life In The Middle Ages</w:t>
      </w:r>
      <w:r w:rsidRPr="00C94032">
        <w:rPr>
          <w:sz w:val="28"/>
          <w:szCs w:val="28"/>
        </w:rPr>
        <w:t xml:space="preserve">, </w:t>
      </w:r>
      <w:r>
        <w:rPr>
          <w:sz w:val="28"/>
          <w:szCs w:val="28"/>
        </w:rPr>
        <w:t>(London</w:t>
      </w:r>
      <w:r w:rsidRPr="00C94032">
        <w:rPr>
          <w:sz w:val="28"/>
          <w:szCs w:val="28"/>
        </w:rPr>
        <w:t xml:space="preserve"> Constable and Robinson Ltd. 2009</w:t>
      </w:r>
      <w:r>
        <w:rPr>
          <w:sz w:val="28"/>
          <w:szCs w:val="28"/>
        </w:rPr>
        <w:t>).</w:t>
      </w:r>
      <w:r w:rsidRPr="00C94032">
        <w:rPr>
          <w:sz w:val="28"/>
          <w:szCs w:val="28"/>
        </w:rPr>
        <w:br/>
      </w:r>
    </w:p>
    <w:p w:rsidR="004F23CA" w:rsidRDefault="004F23CA" w:rsidP="00010565">
      <w:pPr>
        <w:spacing w:line="360" w:lineRule="auto"/>
        <w:rPr>
          <w:b/>
          <w:sz w:val="28"/>
          <w:szCs w:val="28"/>
        </w:rPr>
      </w:pPr>
    </w:p>
    <w:p w:rsidR="004F23CA" w:rsidRDefault="004F23CA" w:rsidP="00010565">
      <w:pPr>
        <w:spacing w:line="360" w:lineRule="auto"/>
        <w:rPr>
          <w:b/>
          <w:sz w:val="28"/>
          <w:szCs w:val="28"/>
        </w:rPr>
      </w:pPr>
    </w:p>
    <w:p w:rsidR="00010565" w:rsidRPr="00010565" w:rsidRDefault="00010565" w:rsidP="00010565">
      <w:pPr>
        <w:spacing w:line="360" w:lineRule="auto"/>
        <w:rPr>
          <w:i/>
          <w:sz w:val="28"/>
          <w:szCs w:val="28"/>
        </w:rPr>
      </w:pPr>
    </w:p>
    <w:p w:rsidR="00010565" w:rsidRPr="00010565" w:rsidRDefault="00010565" w:rsidP="00466B96">
      <w:pPr>
        <w:pStyle w:val="FootnoteText"/>
        <w:rPr>
          <w:rFonts w:ascii="Calibri" w:hAnsi="Calibri"/>
          <w:sz w:val="28"/>
          <w:szCs w:val="28"/>
        </w:rPr>
      </w:pPr>
    </w:p>
    <w:p w:rsidR="00010565" w:rsidRPr="0036155D" w:rsidRDefault="00010565" w:rsidP="00466B96">
      <w:pPr>
        <w:pStyle w:val="FootnoteText"/>
        <w:rPr>
          <w:rFonts w:ascii="Calibri" w:hAnsi="Calibri"/>
          <w:sz w:val="28"/>
          <w:szCs w:val="28"/>
        </w:rPr>
      </w:pPr>
    </w:p>
    <w:p w:rsidR="0036155D" w:rsidRPr="0036155D" w:rsidRDefault="0036155D" w:rsidP="003C6211">
      <w:pPr>
        <w:pStyle w:val="FootnoteText"/>
        <w:ind w:left="284" w:hanging="284"/>
        <w:rPr>
          <w:sz w:val="28"/>
          <w:szCs w:val="28"/>
        </w:rPr>
      </w:pPr>
    </w:p>
    <w:p w:rsidR="0036155D" w:rsidRPr="0036155D" w:rsidRDefault="0036155D" w:rsidP="003C6211">
      <w:pPr>
        <w:pStyle w:val="FootnoteText"/>
        <w:rPr>
          <w:rFonts w:ascii="Calibri" w:hAnsi="Calibri"/>
          <w:sz w:val="28"/>
          <w:szCs w:val="28"/>
        </w:rPr>
      </w:pPr>
    </w:p>
    <w:p w:rsidR="0036155D" w:rsidRPr="0036155D" w:rsidRDefault="0036155D" w:rsidP="0036155D">
      <w:pPr>
        <w:pStyle w:val="FootnoteText"/>
        <w:rPr>
          <w:rFonts w:ascii="Calibri" w:hAnsi="Calibri"/>
          <w:sz w:val="28"/>
          <w:szCs w:val="28"/>
        </w:rPr>
      </w:pPr>
      <w:r w:rsidRPr="0036155D">
        <w:rPr>
          <w:rFonts w:ascii="Calibri" w:hAnsi="Calibri"/>
          <w:sz w:val="28"/>
          <w:szCs w:val="28"/>
        </w:rPr>
        <w:t xml:space="preserve"> </w:t>
      </w:r>
    </w:p>
    <w:p w:rsidR="0036155D" w:rsidRPr="0036155D" w:rsidRDefault="0036155D" w:rsidP="0036155D">
      <w:pPr>
        <w:pStyle w:val="FootnoteText"/>
        <w:rPr>
          <w:rFonts w:ascii="Calibri" w:hAnsi="Calibri"/>
          <w:sz w:val="28"/>
          <w:szCs w:val="28"/>
        </w:rPr>
      </w:pPr>
    </w:p>
    <w:p w:rsidR="0036155D" w:rsidRPr="0036155D" w:rsidRDefault="0036155D" w:rsidP="0036155D">
      <w:pPr>
        <w:pStyle w:val="FootnoteText"/>
        <w:ind w:left="426" w:hanging="426"/>
        <w:rPr>
          <w:rFonts w:ascii="Calibri" w:hAnsi="Calibri"/>
          <w:sz w:val="28"/>
          <w:szCs w:val="28"/>
        </w:rPr>
      </w:pPr>
      <w:r w:rsidRPr="0036155D">
        <w:rPr>
          <w:rFonts w:ascii="Calibri" w:hAnsi="Calibri"/>
          <w:sz w:val="28"/>
          <w:szCs w:val="28"/>
        </w:rPr>
        <w:t xml:space="preserve">        </w:t>
      </w:r>
    </w:p>
    <w:p w:rsidR="0036155D" w:rsidRPr="0036155D" w:rsidRDefault="0036155D" w:rsidP="0036155D">
      <w:pPr>
        <w:pStyle w:val="FootnoteText"/>
        <w:ind w:left="426" w:hanging="426"/>
        <w:rPr>
          <w:rFonts w:ascii="Calibri" w:hAnsi="Calibri"/>
          <w:sz w:val="28"/>
          <w:szCs w:val="28"/>
        </w:rPr>
      </w:pPr>
    </w:p>
    <w:p w:rsidR="0036155D" w:rsidRPr="0036155D" w:rsidRDefault="0036155D" w:rsidP="0036155D">
      <w:pPr>
        <w:pStyle w:val="FootnoteText"/>
        <w:ind w:left="426" w:hanging="426"/>
        <w:rPr>
          <w:rFonts w:ascii="Calibri" w:hAnsi="Calibri"/>
          <w:sz w:val="28"/>
          <w:szCs w:val="28"/>
        </w:rPr>
      </w:pPr>
    </w:p>
    <w:p w:rsidR="0036155D" w:rsidRPr="0036155D" w:rsidRDefault="0036155D" w:rsidP="0036155D">
      <w:pPr>
        <w:pStyle w:val="FootnoteText"/>
        <w:rPr>
          <w:rFonts w:ascii="Calibri" w:hAnsi="Calibri"/>
          <w:sz w:val="28"/>
          <w:szCs w:val="28"/>
        </w:rPr>
      </w:pPr>
    </w:p>
    <w:p w:rsidR="0036155D" w:rsidRPr="0036155D" w:rsidRDefault="0036155D" w:rsidP="003C6211">
      <w:pPr>
        <w:pStyle w:val="FootnoteText"/>
        <w:rPr>
          <w:rFonts w:ascii="Calibri" w:hAnsi="Calibri"/>
          <w:sz w:val="28"/>
          <w:szCs w:val="28"/>
        </w:rPr>
      </w:pPr>
    </w:p>
    <w:p w:rsidR="0036155D" w:rsidRPr="0036155D" w:rsidRDefault="0036155D">
      <w:pPr>
        <w:rPr>
          <w:rFonts w:ascii="Calibri" w:hAnsi="Calibri"/>
          <w:sz w:val="28"/>
          <w:szCs w:val="28"/>
        </w:rPr>
      </w:pPr>
    </w:p>
    <w:sectPr w:rsidR="0036155D" w:rsidRPr="0036155D" w:rsidSect="00EB14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0FE" w:rsidRDefault="008100FE" w:rsidP="00885B85">
      <w:pPr>
        <w:spacing w:after="0" w:line="240" w:lineRule="auto"/>
      </w:pPr>
      <w:r>
        <w:separator/>
      </w:r>
    </w:p>
  </w:endnote>
  <w:endnote w:type="continuationSeparator" w:id="0">
    <w:p w:rsidR="008100FE" w:rsidRDefault="008100FE" w:rsidP="00885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0FE" w:rsidRDefault="008100FE" w:rsidP="00885B85">
      <w:pPr>
        <w:spacing w:after="0" w:line="240" w:lineRule="auto"/>
      </w:pPr>
      <w:r>
        <w:separator/>
      </w:r>
    </w:p>
  </w:footnote>
  <w:footnote w:type="continuationSeparator" w:id="0">
    <w:p w:rsidR="008100FE" w:rsidRDefault="008100FE" w:rsidP="00885B85">
      <w:pPr>
        <w:spacing w:after="0" w:line="240" w:lineRule="auto"/>
      </w:pPr>
      <w:r>
        <w:continuationSeparator/>
      </w:r>
    </w:p>
  </w:footnote>
  <w:footnote w:id="1">
    <w:p w:rsidR="008100FE" w:rsidRDefault="008100FE" w:rsidP="00F24D56">
      <w:pPr>
        <w:pStyle w:val="FootnoteText"/>
        <w:ind w:left="284" w:hanging="284"/>
      </w:pPr>
      <w:r>
        <w:rPr>
          <w:rStyle w:val="FootnoteReference"/>
        </w:rPr>
        <w:footnoteRef/>
      </w:r>
      <w:r>
        <w:t xml:space="preserve"> British Library </w:t>
      </w:r>
      <w:hyperlink r:id="rId1" w:history="1">
        <w:r w:rsidRPr="009B28F8">
          <w:rPr>
            <w:rStyle w:val="Hyperlink"/>
          </w:rPr>
          <w:t>http://www.bl.uk/manuscripts/Viewer.aspx?ref=cotton_ms_tiberius_b_v!1_f002r</w:t>
        </w:r>
      </w:hyperlink>
      <w:r>
        <w:t xml:space="preserve"> accessed 14:30 16/11/2020</w:t>
      </w:r>
    </w:p>
  </w:footnote>
  <w:footnote w:id="2">
    <w:p w:rsidR="008100FE" w:rsidRPr="0072582D" w:rsidRDefault="008100FE" w:rsidP="008436B2">
      <w:pPr>
        <w:pStyle w:val="FootnoteText"/>
        <w:ind w:left="426" w:hanging="426"/>
        <w:rPr>
          <w:rFonts w:cstheme="minorHAnsi"/>
        </w:rPr>
      </w:pPr>
      <w:r w:rsidRPr="0072582D">
        <w:rPr>
          <w:rStyle w:val="FootnoteReference"/>
          <w:rFonts w:cstheme="minorHAnsi"/>
        </w:rPr>
        <w:footnoteRef/>
      </w:r>
      <w:r w:rsidRPr="0072582D">
        <w:rPr>
          <w:rFonts w:cstheme="minorHAnsi"/>
        </w:rPr>
        <w:t xml:space="preserve"> British Library </w:t>
      </w:r>
      <w:hyperlink r:id="rId2" w:history="1">
        <w:r w:rsidRPr="0072582D">
          <w:rPr>
            <w:rStyle w:val="Hyperlink"/>
            <w:rFonts w:cstheme="minorHAnsi"/>
          </w:rPr>
          <w:t>http://www.bl.uk/manuscripts/Viewer.aspx?ref=cotton_ms_tiberius_b_v!1_f002r</w:t>
        </w:r>
      </w:hyperlink>
      <w:r w:rsidRPr="0072582D">
        <w:rPr>
          <w:rFonts w:cstheme="minorHAnsi"/>
        </w:rPr>
        <w:t xml:space="preserve"> accessed 14:30 16/11/2020.</w:t>
      </w:r>
    </w:p>
  </w:footnote>
  <w:footnote w:id="3">
    <w:p w:rsidR="008100FE" w:rsidRPr="0072582D" w:rsidRDefault="008100FE" w:rsidP="008436B2">
      <w:pPr>
        <w:pStyle w:val="FootnoteText"/>
        <w:ind w:left="426" w:hanging="426"/>
        <w:rPr>
          <w:rFonts w:cstheme="minorHAnsi"/>
        </w:rPr>
      </w:pPr>
      <w:r w:rsidRPr="0072582D">
        <w:rPr>
          <w:rStyle w:val="FootnoteReference"/>
          <w:rFonts w:cstheme="minorHAnsi"/>
        </w:rPr>
        <w:footnoteRef/>
      </w:r>
      <w:r w:rsidRPr="0072582D">
        <w:rPr>
          <w:rFonts w:cstheme="minorHAnsi"/>
        </w:rPr>
        <w:t>British Library http://www.bl.uk/manuscripts/FullDisplay.aspx?ref=Cotton_MS_Tiberius_B_V/1 states the following dimensions for the manuscript and folio. Binding 360 × 305 mm (folios 260 x 220; text space approximately 220 x 195 mm). Accessed 14:30 16/11/2020.</w:t>
      </w:r>
    </w:p>
  </w:footnote>
  <w:footnote w:id="4">
    <w:p w:rsidR="008100FE" w:rsidRPr="0072582D" w:rsidRDefault="008100FE" w:rsidP="008436B2">
      <w:pPr>
        <w:ind w:left="426" w:hanging="426"/>
        <w:rPr>
          <w:rFonts w:cstheme="minorHAnsi"/>
          <w:sz w:val="20"/>
          <w:szCs w:val="20"/>
        </w:rPr>
      </w:pPr>
      <w:r w:rsidRPr="0072582D">
        <w:rPr>
          <w:rStyle w:val="FootnoteReference"/>
          <w:rFonts w:cstheme="minorHAnsi"/>
          <w:sz w:val="20"/>
          <w:szCs w:val="20"/>
        </w:rPr>
        <w:footnoteRef/>
      </w:r>
      <w:r w:rsidRPr="0072582D">
        <w:rPr>
          <w:rFonts w:cstheme="minorHAnsi"/>
          <w:sz w:val="20"/>
          <w:szCs w:val="20"/>
        </w:rPr>
        <w:t xml:space="preserve"> Jennifer Morris Review</w:t>
      </w:r>
      <w:r w:rsidRPr="0072582D">
        <w:rPr>
          <w:rStyle w:val="HTMLCite"/>
          <w:rFonts w:cstheme="minorHAnsi"/>
          <w:sz w:val="20"/>
          <w:szCs w:val="20"/>
        </w:rPr>
        <w:t xml:space="preserve"> Modern Philology</w:t>
      </w:r>
      <w:r w:rsidRPr="0072582D">
        <w:rPr>
          <w:rFonts w:cstheme="minorHAnsi"/>
          <w:sz w:val="20"/>
          <w:szCs w:val="20"/>
        </w:rPr>
        <w:t xml:space="preserve"> Vol. 83, No. </w:t>
      </w:r>
      <w:r w:rsidRPr="008436B2">
        <w:rPr>
          <w:rFonts w:cstheme="minorHAnsi"/>
          <w:sz w:val="20"/>
          <w:szCs w:val="20"/>
        </w:rPr>
        <w:t>3 (</w:t>
      </w:r>
      <w:hyperlink r:id="rId3" w:history="1">
        <w:r w:rsidRPr="008436B2">
          <w:rPr>
            <w:rStyle w:val="Hyperlink"/>
            <w:rFonts w:cstheme="minorHAnsi"/>
            <w:color w:val="auto"/>
            <w:sz w:val="20"/>
            <w:szCs w:val="20"/>
            <w:u w:val="none"/>
          </w:rPr>
          <w:t>The University of Chicago Press</w:t>
        </w:r>
      </w:hyperlink>
      <w:r w:rsidRPr="0072582D">
        <w:rPr>
          <w:rFonts w:cstheme="minorHAnsi"/>
          <w:sz w:val="20"/>
          <w:szCs w:val="20"/>
        </w:rPr>
        <w:t xml:space="preserve"> Feb., 1986), pp. 298-303 (6 pages)</w:t>
      </w:r>
      <w:r w:rsidRPr="0072582D">
        <w:rPr>
          <w:rStyle w:val="HTMLCite"/>
          <w:rFonts w:cstheme="minorHAnsi"/>
          <w:sz w:val="20"/>
          <w:szCs w:val="20"/>
        </w:rPr>
        <w:t xml:space="preserve"> An Eleventh-Century Anglo-Saxon Illustrated Miscellany: British Library Cotton Tiberius B. V Part I, Together with Leaves from British Library Cotton Nero D. II</w:t>
      </w:r>
      <w:r w:rsidRPr="0072582D">
        <w:rPr>
          <w:rFonts w:cstheme="minorHAnsi"/>
          <w:sz w:val="20"/>
          <w:szCs w:val="20"/>
        </w:rPr>
        <w:t xml:space="preserve"> by P. McGurk, D. N. Dumville, M. R. Godden, Ann Knock </w:t>
      </w:r>
      <w:hyperlink r:id="rId4" w:anchor="metadata_info_tab_contents" w:history="1">
        <w:r w:rsidRPr="0072582D">
          <w:rPr>
            <w:rStyle w:val="Hyperlink"/>
            <w:rFonts w:cstheme="minorHAnsi"/>
            <w:sz w:val="20"/>
            <w:szCs w:val="20"/>
          </w:rPr>
          <w:t>https://www-jstor-org.ezproxy.uwtsd.ac.uk/stable/437390?seq=6#metadata_info_tab_contents</w:t>
        </w:r>
      </w:hyperlink>
      <w:r w:rsidRPr="0072582D">
        <w:rPr>
          <w:rFonts w:cstheme="minorHAnsi"/>
          <w:sz w:val="20"/>
          <w:szCs w:val="20"/>
        </w:rPr>
        <w:t xml:space="preserve"> accessed 15:30 16/11/2020.</w:t>
      </w:r>
    </w:p>
  </w:footnote>
  <w:footnote w:id="5">
    <w:p w:rsidR="008100FE" w:rsidRDefault="008100FE">
      <w:pPr>
        <w:pStyle w:val="FootnoteText"/>
      </w:pPr>
      <w:r>
        <w:rPr>
          <w:rStyle w:val="FootnoteReference"/>
        </w:rPr>
        <w:footnoteRef/>
      </w:r>
      <w:r>
        <w:t xml:space="preserve"> Brown, Michelle P. Anglo Saxon Manuscripts (The British Library London 1991) p 5.</w:t>
      </w:r>
    </w:p>
  </w:footnote>
  <w:footnote w:id="6">
    <w:p w:rsidR="008100FE" w:rsidRDefault="008100FE">
      <w:pPr>
        <w:pStyle w:val="FootnoteText"/>
      </w:pPr>
      <w:r>
        <w:rPr>
          <w:rStyle w:val="FootnoteReference"/>
        </w:rPr>
        <w:footnoteRef/>
      </w:r>
      <w:r>
        <w:t xml:space="preserve"> Ibid Brown, Michelle P. Anglo Saxon Manuscripts p 5-21.</w:t>
      </w:r>
    </w:p>
  </w:footnote>
  <w:footnote w:id="7">
    <w:p w:rsidR="008100FE" w:rsidRPr="0072582D" w:rsidRDefault="008100FE" w:rsidP="008436B2">
      <w:pPr>
        <w:pStyle w:val="FootnoteText"/>
        <w:ind w:left="426" w:hanging="426"/>
        <w:rPr>
          <w:rFonts w:cstheme="minorHAnsi"/>
        </w:rPr>
      </w:pPr>
      <w:r w:rsidRPr="0072582D">
        <w:rPr>
          <w:rStyle w:val="FootnoteReference"/>
          <w:rFonts w:cstheme="minorHAnsi"/>
        </w:rPr>
        <w:footnoteRef/>
      </w:r>
      <w:r w:rsidRPr="0072582D">
        <w:rPr>
          <w:rFonts w:cstheme="minorHAnsi"/>
        </w:rPr>
        <w:t xml:space="preserve"> </w:t>
      </w:r>
      <w:r w:rsidRPr="0072582D">
        <w:rPr>
          <w:rFonts w:eastAsia="Times New Roman" w:cstheme="minorHAnsi"/>
          <w:lang w:eastAsia="en-GB"/>
        </w:rPr>
        <w:t>Mack Katharin. “</w:t>
      </w:r>
      <w:r w:rsidRPr="0072582D">
        <w:rPr>
          <w:rFonts w:eastAsia="Times New Roman" w:cstheme="minorHAnsi"/>
          <w:i/>
          <w:lang w:eastAsia="en-GB"/>
        </w:rPr>
        <w:t>Changing Thegns: Cnut's Conquest and the English Aristocracy</w:t>
      </w:r>
      <w:r w:rsidRPr="0072582D">
        <w:rPr>
          <w:rFonts w:eastAsia="Times New Roman" w:cstheme="minorHAnsi"/>
          <w:lang w:eastAsia="en-GB"/>
        </w:rPr>
        <w:t xml:space="preserve">.” </w:t>
      </w:r>
      <w:r w:rsidRPr="0072582D">
        <w:rPr>
          <w:rFonts w:eastAsia="Times New Roman" w:cstheme="minorHAnsi"/>
          <w:i/>
          <w:iCs/>
          <w:lang w:eastAsia="en-GB"/>
        </w:rPr>
        <w:t>Albion: A Quarterly Journal Concerned with British Studies”</w:t>
      </w:r>
      <w:r w:rsidRPr="0072582D">
        <w:rPr>
          <w:rFonts w:eastAsia="Times New Roman" w:cstheme="minorHAnsi"/>
          <w:lang w:eastAsia="en-GB"/>
        </w:rPr>
        <w:t>, vol. 16, no. 4, 1984, pp. 375–387</w:t>
      </w:r>
      <w:r>
        <w:rPr>
          <w:rFonts w:eastAsia="Times New Roman" w:cstheme="minorHAnsi"/>
          <w:lang w:eastAsia="en-GB"/>
        </w:rPr>
        <w:t>.</w:t>
      </w:r>
    </w:p>
  </w:footnote>
  <w:footnote w:id="8">
    <w:p w:rsidR="008100FE" w:rsidRPr="0072582D" w:rsidRDefault="008100FE">
      <w:pPr>
        <w:pStyle w:val="FootnoteText"/>
        <w:rPr>
          <w:rFonts w:cstheme="minorHAnsi"/>
        </w:rPr>
      </w:pPr>
      <w:r w:rsidRPr="0072582D">
        <w:rPr>
          <w:rStyle w:val="FootnoteReference"/>
          <w:rFonts w:cstheme="minorHAnsi"/>
        </w:rPr>
        <w:footnoteRef/>
      </w:r>
      <w:r w:rsidRPr="0072582D">
        <w:rPr>
          <w:rFonts w:cstheme="minorHAnsi"/>
        </w:rPr>
        <w:t xml:space="preserve">Stenton Frank </w:t>
      </w:r>
      <w:r w:rsidRPr="0072582D">
        <w:rPr>
          <w:rFonts w:cstheme="minorHAnsi"/>
          <w:i/>
        </w:rPr>
        <w:t>Anglo Saxon England</w:t>
      </w:r>
      <w:r w:rsidRPr="0072582D">
        <w:rPr>
          <w:rFonts w:cstheme="minorHAnsi"/>
        </w:rPr>
        <w:t>, 3</w:t>
      </w:r>
      <w:r w:rsidRPr="0072582D">
        <w:rPr>
          <w:rFonts w:cstheme="minorHAnsi"/>
          <w:vertAlign w:val="superscript"/>
        </w:rPr>
        <w:t>rd</w:t>
      </w:r>
      <w:r w:rsidRPr="0072582D">
        <w:rPr>
          <w:rFonts w:cstheme="minorHAnsi"/>
        </w:rPr>
        <w:t xml:space="preserve"> Edition (O</w:t>
      </w:r>
      <w:r>
        <w:rPr>
          <w:rFonts w:cstheme="minorHAnsi"/>
        </w:rPr>
        <w:t>xford The Clarendon Press 1985)</w:t>
      </w:r>
      <w:r w:rsidRPr="0072582D">
        <w:rPr>
          <w:rFonts w:cstheme="minorHAnsi"/>
        </w:rPr>
        <w:t xml:space="preserve"> p. 396-397.</w:t>
      </w:r>
    </w:p>
  </w:footnote>
  <w:footnote w:id="9">
    <w:p w:rsidR="008100FE" w:rsidRDefault="008100FE" w:rsidP="008436B2">
      <w:pPr>
        <w:pStyle w:val="FootnoteText"/>
        <w:ind w:left="284" w:hanging="284"/>
      </w:pPr>
      <w:r>
        <w:rPr>
          <w:rStyle w:val="FootnoteReference"/>
        </w:rPr>
        <w:footnoteRef/>
      </w:r>
      <w:r>
        <w:t xml:space="preserve"> Gameson Richard </w:t>
      </w:r>
      <w:r w:rsidRPr="00352D6A">
        <w:rPr>
          <w:i/>
        </w:rPr>
        <w:t>The Insular Gospel Book at Hereford Cathedral</w:t>
      </w:r>
      <w:r>
        <w:t>, International Review Of Manuscript Studies, Tome LVI 2002 1. Centre de’tude Des Manuscrite. Brussels. p. 70.</w:t>
      </w:r>
    </w:p>
  </w:footnote>
  <w:footnote w:id="10">
    <w:p w:rsidR="008100FE" w:rsidRPr="000B33DF" w:rsidRDefault="008100FE">
      <w:pPr>
        <w:pStyle w:val="FootnoteText"/>
      </w:pPr>
      <w:r>
        <w:rPr>
          <w:rStyle w:val="FootnoteReference"/>
        </w:rPr>
        <w:footnoteRef/>
      </w:r>
      <w:r>
        <w:t xml:space="preserve"> De Hamel, Christopher. </w:t>
      </w:r>
      <w:r>
        <w:rPr>
          <w:i/>
        </w:rPr>
        <w:t xml:space="preserve">Scribes and Illuminators </w:t>
      </w:r>
      <w:r>
        <w:t>(The British Museum Press 1992) p. 5.</w:t>
      </w:r>
    </w:p>
  </w:footnote>
  <w:footnote w:id="11">
    <w:p w:rsidR="008100FE" w:rsidRDefault="008100FE">
      <w:pPr>
        <w:pStyle w:val="FootnoteText"/>
      </w:pPr>
      <w:r>
        <w:rPr>
          <w:rStyle w:val="FootnoteReference"/>
        </w:rPr>
        <w:footnoteRef/>
      </w:r>
      <w:r>
        <w:t xml:space="preserve"> Clanchy M T , </w:t>
      </w:r>
      <w:r>
        <w:rPr>
          <w:i/>
          <w:iCs/>
        </w:rPr>
        <w:t>From Memory to Written Record England 1066-1307</w:t>
      </w:r>
      <w:r>
        <w:t xml:space="preserve"> (Blackwell Publishing, 2003), p. 19.</w:t>
      </w:r>
    </w:p>
  </w:footnote>
  <w:footnote w:id="12">
    <w:p w:rsidR="008100FE" w:rsidRDefault="008100FE">
      <w:pPr>
        <w:pStyle w:val="FootnoteText"/>
      </w:pPr>
      <w:r>
        <w:rPr>
          <w:rStyle w:val="FootnoteReference"/>
        </w:rPr>
        <w:footnoteRef/>
      </w:r>
      <w:r>
        <w:t xml:space="preserve"> Ibid Brown, Michelle P. Anglo Saxon Manuscripts p 50 Fig. 53.</w:t>
      </w:r>
    </w:p>
  </w:footnote>
  <w:footnote w:id="13">
    <w:p w:rsidR="008100FE" w:rsidRDefault="008100FE">
      <w:pPr>
        <w:pStyle w:val="FootnoteText"/>
      </w:pPr>
      <w:r>
        <w:rPr>
          <w:rStyle w:val="FootnoteReference"/>
        </w:rPr>
        <w:footnoteRef/>
      </w:r>
      <w:r>
        <w:t xml:space="preserve"> Donovan Claire. </w:t>
      </w:r>
      <w:r w:rsidRPr="00EB2671">
        <w:rPr>
          <w:i/>
        </w:rPr>
        <w:t>The Winchester Bible</w:t>
      </w:r>
      <w:r>
        <w:t xml:space="preserve"> (Winchester Cathedral, Winchester 1993), p 40. </w:t>
      </w:r>
    </w:p>
  </w:footnote>
  <w:footnote w:id="14">
    <w:p w:rsidR="008100FE" w:rsidRDefault="008100FE" w:rsidP="009D4AE9">
      <w:pPr>
        <w:pStyle w:val="FootnoteText"/>
        <w:ind w:left="426" w:hanging="426"/>
      </w:pPr>
      <w:r>
        <w:rPr>
          <w:rStyle w:val="FootnoteReference"/>
        </w:rPr>
        <w:footnoteRef/>
      </w:r>
      <w:r>
        <w:t xml:space="preserve"> British Library </w:t>
      </w:r>
      <w:hyperlink r:id="rId5" w:history="1">
        <w:r w:rsidRPr="00FD3B0C">
          <w:rPr>
            <w:rStyle w:val="Hyperlink"/>
          </w:rPr>
          <w:t>https://www.bl.uk/medieval-english-french-manuscripts/articles/medieval-calendars#</w:t>
        </w:r>
      </w:hyperlink>
      <w:r>
        <w:t xml:space="preserve">         accessed 11/12/2020.</w:t>
      </w:r>
    </w:p>
  </w:footnote>
  <w:footnote w:id="15">
    <w:p w:rsidR="008100FE" w:rsidRPr="0097443D" w:rsidRDefault="008100FE" w:rsidP="009D4AE9">
      <w:pPr>
        <w:ind w:left="426" w:hanging="426"/>
        <w:rPr>
          <w:rFonts w:ascii="Times New Roman" w:eastAsia="Times New Roman" w:hAnsi="Times New Roman" w:cs="Times New Roman"/>
          <w:sz w:val="20"/>
          <w:szCs w:val="20"/>
          <w:lang w:eastAsia="en-GB"/>
        </w:rPr>
      </w:pPr>
      <w:r>
        <w:rPr>
          <w:rStyle w:val="FootnoteReference"/>
        </w:rPr>
        <w:footnoteRef/>
      </w:r>
      <w:r>
        <w:t xml:space="preserve"> </w:t>
      </w:r>
      <w:r w:rsidRPr="005778DE">
        <w:rPr>
          <w:rFonts w:ascii="Times New Roman" w:eastAsia="Times New Roman" w:hAnsi="Times New Roman" w:cs="Times New Roman"/>
          <w:sz w:val="20"/>
          <w:szCs w:val="20"/>
          <w:lang w:eastAsia="en-GB"/>
        </w:rPr>
        <w:t xml:space="preserve">Sandler, Lucy Freeman. “The Word in the Text and the Image in the Margin: The Case of the Luttrell Psalter.” </w:t>
      </w:r>
      <w:r w:rsidRPr="005778DE">
        <w:rPr>
          <w:rFonts w:ascii="Times New Roman" w:eastAsia="Times New Roman" w:hAnsi="Times New Roman" w:cs="Times New Roman"/>
          <w:i/>
          <w:iCs/>
          <w:sz w:val="20"/>
          <w:szCs w:val="20"/>
          <w:lang w:eastAsia="en-GB"/>
        </w:rPr>
        <w:t>The Journal of the Walters Art Gallery</w:t>
      </w:r>
      <w:r>
        <w:rPr>
          <w:rFonts w:ascii="Times New Roman" w:eastAsia="Times New Roman" w:hAnsi="Times New Roman" w:cs="Times New Roman"/>
          <w:sz w:val="20"/>
          <w:szCs w:val="20"/>
          <w:lang w:eastAsia="en-GB"/>
        </w:rPr>
        <w:t>, vol. 54, 1996, p. 88</w:t>
      </w:r>
      <w:r w:rsidRPr="005778DE">
        <w:rPr>
          <w:rFonts w:ascii="Times New Roman" w:eastAsia="Times New Roman" w:hAnsi="Times New Roman" w:cs="Times New Roman"/>
          <w:sz w:val="20"/>
          <w:szCs w:val="20"/>
          <w:lang w:eastAsia="en-GB"/>
        </w:rPr>
        <w:t xml:space="preserve">. </w:t>
      </w:r>
      <w:r w:rsidRPr="005778DE">
        <w:rPr>
          <w:rFonts w:ascii="Times New Roman" w:eastAsia="Times New Roman" w:hAnsi="Times New Roman" w:cs="Times New Roman"/>
          <w:i/>
          <w:iCs/>
          <w:sz w:val="20"/>
          <w:szCs w:val="20"/>
          <w:lang w:eastAsia="en-GB"/>
        </w:rPr>
        <w:t>JSTOR</w:t>
      </w:r>
      <w:r w:rsidRPr="005778DE">
        <w:rPr>
          <w:rFonts w:ascii="Times New Roman" w:eastAsia="Times New Roman" w:hAnsi="Times New Roman" w:cs="Times New Roman"/>
          <w:sz w:val="20"/>
          <w:szCs w:val="20"/>
          <w:lang w:eastAsia="en-GB"/>
        </w:rPr>
        <w:t>, www.jstor.org/</w:t>
      </w:r>
      <w:r>
        <w:rPr>
          <w:rFonts w:ascii="Times New Roman" w:eastAsia="Times New Roman" w:hAnsi="Times New Roman" w:cs="Times New Roman"/>
          <w:sz w:val="20"/>
          <w:szCs w:val="20"/>
          <w:lang w:eastAsia="en-GB"/>
        </w:rPr>
        <w:t>stable/20169111. Accessed 2/12/</w:t>
      </w:r>
      <w:r w:rsidRPr="005778DE">
        <w:rPr>
          <w:rFonts w:ascii="Times New Roman" w:eastAsia="Times New Roman" w:hAnsi="Times New Roman" w:cs="Times New Roman"/>
          <w:sz w:val="20"/>
          <w:szCs w:val="20"/>
          <w:lang w:eastAsia="en-GB"/>
        </w:rPr>
        <w:t xml:space="preserve"> 2020.</w:t>
      </w:r>
    </w:p>
  </w:footnote>
  <w:footnote w:id="16">
    <w:p w:rsidR="008100FE" w:rsidRDefault="008100FE" w:rsidP="00F24D56">
      <w:pPr>
        <w:pStyle w:val="FootnoteText"/>
        <w:ind w:left="426" w:hanging="426"/>
      </w:pPr>
      <w:r>
        <w:rPr>
          <w:rStyle w:val="FootnoteReference"/>
        </w:rPr>
        <w:footnoteRef/>
      </w:r>
      <w:r>
        <w:t xml:space="preserve"> Manning  in Bennett cited in Bennett H.S. </w:t>
      </w:r>
      <w:r w:rsidRPr="00D859FE">
        <w:rPr>
          <w:i/>
        </w:rPr>
        <w:t>Life On The English Manor</w:t>
      </w:r>
      <w:r>
        <w:t xml:space="preserve"> (Cambridge University Press 1938) p. 34.</w:t>
      </w:r>
    </w:p>
  </w:footnote>
  <w:footnote w:id="17">
    <w:p w:rsidR="008100FE" w:rsidRDefault="008100FE" w:rsidP="00010565">
      <w:pPr>
        <w:pStyle w:val="FootnoteText"/>
        <w:ind w:left="426" w:hanging="426"/>
      </w:pPr>
      <w:r>
        <w:rPr>
          <w:rStyle w:val="FootnoteReference"/>
        </w:rPr>
        <w:footnoteRef/>
      </w:r>
      <w:r>
        <w:t xml:space="preserve"> Dyer, C.  Making a Living </w:t>
      </w:r>
      <w:proofErr w:type="gramStart"/>
      <w:r>
        <w:t>In</w:t>
      </w:r>
      <w:proofErr w:type="gramEnd"/>
      <w:r>
        <w:t xml:space="preserve"> The Middle Ages: The People Of Britain 850-1520, (Yale University Press London 2002) p 24.</w:t>
      </w:r>
    </w:p>
  </w:footnote>
  <w:footnote w:id="18">
    <w:p w:rsidR="008100FE" w:rsidRDefault="008100FE" w:rsidP="0097443D">
      <w:pPr>
        <w:pStyle w:val="FootnoteText"/>
      </w:pPr>
      <w:r>
        <w:rPr>
          <w:rStyle w:val="FootnoteReference"/>
        </w:rPr>
        <w:footnoteRef/>
      </w:r>
      <w:r>
        <w:t xml:space="preserve"> White, Lynne Medieval technology and social change (London Oxford University Press 1962) p 41-55</w:t>
      </w:r>
    </w:p>
  </w:footnote>
  <w:footnote w:id="19">
    <w:p w:rsidR="008100FE" w:rsidRDefault="008100FE" w:rsidP="008436B2">
      <w:pPr>
        <w:pStyle w:val="FootnoteText"/>
        <w:ind w:left="426" w:hanging="426"/>
      </w:pPr>
      <w:r>
        <w:rPr>
          <w:rStyle w:val="FootnoteReference"/>
        </w:rPr>
        <w:footnoteRef/>
      </w:r>
      <w:r w:rsidRPr="00F12EF4">
        <w:t>https://www.sciencedirect.com/topics/earth-and-planetary-sciences/medieval-warm-period</w:t>
      </w:r>
      <w:r>
        <w:t xml:space="preserve"> The effects of the warm period were particularly evident in Europe, where grain crops flourished, alpine tree lines rose, many new cities arose, and the population more than doubled between 900 and 1300 AD</w:t>
      </w:r>
      <w:proofErr w:type="gramStart"/>
      <w:r>
        <w:t>..</w:t>
      </w:r>
      <w:proofErr w:type="gramEnd"/>
    </w:p>
  </w:footnote>
  <w:footnote w:id="20">
    <w:p w:rsidR="008100FE" w:rsidRDefault="008100FE">
      <w:pPr>
        <w:pStyle w:val="FootnoteText"/>
      </w:pPr>
      <w:r>
        <w:rPr>
          <w:rStyle w:val="FootnoteReference"/>
        </w:rPr>
        <w:footnoteRef/>
      </w:r>
      <w:r>
        <w:t xml:space="preserve"> Ibid Brown, Michelle P. Anglo Saxon Manuscripts p 49.</w:t>
      </w:r>
    </w:p>
  </w:footnote>
  <w:footnote w:id="21">
    <w:p w:rsidR="008100FE" w:rsidRDefault="008100FE">
      <w:pPr>
        <w:pStyle w:val="FootnoteText"/>
      </w:pPr>
      <w:r>
        <w:rPr>
          <w:rStyle w:val="FootnoteReference"/>
        </w:rPr>
        <w:footnoteRef/>
      </w:r>
      <w:r>
        <w:t xml:space="preserve"> Brown Michelle, </w:t>
      </w:r>
      <w:r>
        <w:rPr>
          <w:i/>
          <w:iCs/>
        </w:rPr>
        <w:t>The World Of The Luttrell Psalter</w:t>
      </w:r>
      <w:r>
        <w:t xml:space="preserve"> (London: The British Library, 2006)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B607C"/>
    <w:rsid w:val="00010565"/>
    <w:rsid w:val="000432B9"/>
    <w:rsid w:val="000B33DF"/>
    <w:rsid w:val="000C6B5D"/>
    <w:rsid w:val="000D3CA2"/>
    <w:rsid w:val="000E16D3"/>
    <w:rsid w:val="000F4A68"/>
    <w:rsid w:val="00116790"/>
    <w:rsid w:val="00144F67"/>
    <w:rsid w:val="001922DD"/>
    <w:rsid w:val="00192CA6"/>
    <w:rsid w:val="002A6B6D"/>
    <w:rsid w:val="002B09CB"/>
    <w:rsid w:val="0036155D"/>
    <w:rsid w:val="00390004"/>
    <w:rsid w:val="003C6211"/>
    <w:rsid w:val="003D1B75"/>
    <w:rsid w:val="003E2435"/>
    <w:rsid w:val="003F514E"/>
    <w:rsid w:val="00435C01"/>
    <w:rsid w:val="00466B96"/>
    <w:rsid w:val="004F23CA"/>
    <w:rsid w:val="00534A17"/>
    <w:rsid w:val="00590CD5"/>
    <w:rsid w:val="005A0342"/>
    <w:rsid w:val="005B600E"/>
    <w:rsid w:val="006278E4"/>
    <w:rsid w:val="00630F30"/>
    <w:rsid w:val="00687D4F"/>
    <w:rsid w:val="006B207C"/>
    <w:rsid w:val="006D71AA"/>
    <w:rsid w:val="00722CE4"/>
    <w:rsid w:val="0072582D"/>
    <w:rsid w:val="007A2046"/>
    <w:rsid w:val="007D6109"/>
    <w:rsid w:val="008100FE"/>
    <w:rsid w:val="00834707"/>
    <w:rsid w:val="008436B2"/>
    <w:rsid w:val="00885B85"/>
    <w:rsid w:val="0089054B"/>
    <w:rsid w:val="009070BE"/>
    <w:rsid w:val="009314B5"/>
    <w:rsid w:val="0097443D"/>
    <w:rsid w:val="00990DCF"/>
    <w:rsid w:val="009D4AE9"/>
    <w:rsid w:val="009E1BD2"/>
    <w:rsid w:val="009F3F39"/>
    <w:rsid w:val="00A363E6"/>
    <w:rsid w:val="00A64CCD"/>
    <w:rsid w:val="00A84946"/>
    <w:rsid w:val="00A91AAF"/>
    <w:rsid w:val="00A94C9F"/>
    <w:rsid w:val="00AB390A"/>
    <w:rsid w:val="00B10D62"/>
    <w:rsid w:val="00B34FCA"/>
    <w:rsid w:val="00BB607C"/>
    <w:rsid w:val="00BE3C85"/>
    <w:rsid w:val="00BF51A7"/>
    <w:rsid w:val="00C17F0D"/>
    <w:rsid w:val="00C87345"/>
    <w:rsid w:val="00CE10F1"/>
    <w:rsid w:val="00CF594B"/>
    <w:rsid w:val="00DA653C"/>
    <w:rsid w:val="00DB076B"/>
    <w:rsid w:val="00DF2753"/>
    <w:rsid w:val="00EB1478"/>
    <w:rsid w:val="00EB2671"/>
    <w:rsid w:val="00EC0C45"/>
    <w:rsid w:val="00EF4B2F"/>
    <w:rsid w:val="00F10FAD"/>
    <w:rsid w:val="00F12EF4"/>
    <w:rsid w:val="00F1677A"/>
    <w:rsid w:val="00F24D56"/>
    <w:rsid w:val="00F531C2"/>
    <w:rsid w:val="00F76287"/>
    <w:rsid w:val="00FA01BB"/>
    <w:rsid w:val="00FC6878"/>
    <w:rsid w:val="00FF3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7CFB508-C9F7-4FD4-834A-0ABFF3509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14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60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B607C"/>
    <w:rPr>
      <w:b/>
      <w:bCs/>
    </w:rPr>
  </w:style>
  <w:style w:type="paragraph" w:styleId="FootnoteText">
    <w:name w:val="footnote text"/>
    <w:basedOn w:val="Normal"/>
    <w:link w:val="FootnoteTextChar"/>
    <w:uiPriority w:val="99"/>
    <w:unhideWhenUsed/>
    <w:rsid w:val="00885B85"/>
    <w:pPr>
      <w:spacing w:after="0" w:line="240" w:lineRule="auto"/>
    </w:pPr>
    <w:rPr>
      <w:sz w:val="20"/>
      <w:szCs w:val="20"/>
    </w:rPr>
  </w:style>
  <w:style w:type="character" w:customStyle="1" w:styleId="FootnoteTextChar">
    <w:name w:val="Footnote Text Char"/>
    <w:basedOn w:val="DefaultParagraphFont"/>
    <w:link w:val="FootnoteText"/>
    <w:uiPriority w:val="99"/>
    <w:rsid w:val="00885B85"/>
    <w:rPr>
      <w:sz w:val="20"/>
      <w:szCs w:val="20"/>
    </w:rPr>
  </w:style>
  <w:style w:type="character" w:styleId="FootnoteReference">
    <w:name w:val="footnote reference"/>
    <w:basedOn w:val="DefaultParagraphFont"/>
    <w:uiPriority w:val="99"/>
    <w:semiHidden/>
    <w:unhideWhenUsed/>
    <w:rsid w:val="00885B85"/>
    <w:rPr>
      <w:vertAlign w:val="superscript"/>
    </w:rPr>
  </w:style>
  <w:style w:type="character" w:styleId="Hyperlink">
    <w:name w:val="Hyperlink"/>
    <w:basedOn w:val="DefaultParagraphFont"/>
    <w:uiPriority w:val="99"/>
    <w:unhideWhenUsed/>
    <w:rsid w:val="00885B85"/>
    <w:rPr>
      <w:color w:val="0000FF" w:themeColor="hyperlink"/>
      <w:u w:val="single"/>
    </w:rPr>
  </w:style>
  <w:style w:type="paragraph" w:styleId="BalloonText">
    <w:name w:val="Balloon Text"/>
    <w:basedOn w:val="Normal"/>
    <w:link w:val="BalloonTextChar"/>
    <w:uiPriority w:val="99"/>
    <w:semiHidden/>
    <w:unhideWhenUsed/>
    <w:rsid w:val="00FF3A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A32"/>
    <w:rPr>
      <w:rFonts w:ascii="Tahoma" w:hAnsi="Tahoma" w:cs="Tahoma"/>
      <w:sz w:val="16"/>
      <w:szCs w:val="16"/>
    </w:rPr>
  </w:style>
  <w:style w:type="character" w:styleId="HTMLCite">
    <w:name w:val="HTML Cite"/>
    <w:basedOn w:val="DefaultParagraphFont"/>
    <w:uiPriority w:val="99"/>
    <w:semiHidden/>
    <w:unhideWhenUsed/>
    <w:rsid w:val="00DF2753"/>
    <w:rPr>
      <w:i/>
      <w:iCs/>
    </w:rPr>
  </w:style>
  <w:style w:type="character" w:styleId="FollowedHyperlink">
    <w:name w:val="FollowedHyperlink"/>
    <w:basedOn w:val="DefaultParagraphFont"/>
    <w:uiPriority w:val="99"/>
    <w:semiHidden/>
    <w:unhideWhenUsed/>
    <w:rsid w:val="002B09C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407818">
      <w:bodyDiv w:val="1"/>
      <w:marLeft w:val="0"/>
      <w:marRight w:val="0"/>
      <w:marTop w:val="0"/>
      <w:marBottom w:val="0"/>
      <w:divBdr>
        <w:top w:val="none" w:sz="0" w:space="0" w:color="auto"/>
        <w:left w:val="none" w:sz="0" w:space="0" w:color="auto"/>
        <w:bottom w:val="none" w:sz="0" w:space="0" w:color="auto"/>
        <w:right w:val="none" w:sz="0" w:space="0" w:color="auto"/>
      </w:divBdr>
      <w:divsChild>
        <w:div w:id="138616569">
          <w:marLeft w:val="0"/>
          <w:marRight w:val="0"/>
          <w:marTop w:val="0"/>
          <w:marBottom w:val="0"/>
          <w:divBdr>
            <w:top w:val="none" w:sz="0" w:space="0" w:color="auto"/>
            <w:left w:val="none" w:sz="0" w:space="0" w:color="auto"/>
            <w:bottom w:val="none" w:sz="0" w:space="0" w:color="auto"/>
            <w:right w:val="none" w:sz="0" w:space="0" w:color="auto"/>
          </w:divBdr>
          <w:divsChild>
            <w:div w:id="1288854498">
              <w:marLeft w:val="0"/>
              <w:marRight w:val="0"/>
              <w:marTop w:val="0"/>
              <w:marBottom w:val="0"/>
              <w:divBdr>
                <w:top w:val="none" w:sz="0" w:space="0" w:color="auto"/>
                <w:left w:val="none" w:sz="0" w:space="0" w:color="auto"/>
                <w:bottom w:val="none" w:sz="0" w:space="0" w:color="auto"/>
                <w:right w:val="none" w:sz="0" w:space="0" w:color="auto"/>
              </w:divBdr>
              <w:divsChild>
                <w:div w:id="1831943260">
                  <w:marLeft w:val="0"/>
                  <w:marRight w:val="0"/>
                  <w:marTop w:val="0"/>
                  <w:marBottom w:val="0"/>
                  <w:divBdr>
                    <w:top w:val="none" w:sz="0" w:space="0" w:color="auto"/>
                    <w:left w:val="none" w:sz="0" w:space="0" w:color="auto"/>
                    <w:bottom w:val="none" w:sz="0" w:space="0" w:color="auto"/>
                    <w:right w:val="none" w:sz="0" w:space="0" w:color="auto"/>
                  </w:divBdr>
                </w:div>
                <w:div w:id="9662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08236">
          <w:marLeft w:val="0"/>
          <w:marRight w:val="0"/>
          <w:marTop w:val="0"/>
          <w:marBottom w:val="0"/>
          <w:divBdr>
            <w:top w:val="none" w:sz="0" w:space="0" w:color="auto"/>
            <w:left w:val="none" w:sz="0" w:space="0" w:color="auto"/>
            <w:bottom w:val="none" w:sz="0" w:space="0" w:color="auto"/>
            <w:right w:val="none" w:sz="0" w:space="0" w:color="auto"/>
          </w:divBdr>
          <w:divsChild>
            <w:div w:id="1192261548">
              <w:marLeft w:val="0"/>
              <w:marRight w:val="0"/>
              <w:marTop w:val="0"/>
              <w:marBottom w:val="0"/>
              <w:divBdr>
                <w:top w:val="none" w:sz="0" w:space="0" w:color="auto"/>
                <w:left w:val="none" w:sz="0" w:space="0" w:color="auto"/>
                <w:bottom w:val="none" w:sz="0" w:space="0" w:color="auto"/>
                <w:right w:val="none" w:sz="0" w:space="0" w:color="auto"/>
              </w:divBdr>
              <w:divsChild>
                <w:div w:id="1363553666">
                  <w:marLeft w:val="0"/>
                  <w:marRight w:val="0"/>
                  <w:marTop w:val="0"/>
                  <w:marBottom w:val="0"/>
                  <w:divBdr>
                    <w:top w:val="none" w:sz="0" w:space="0" w:color="auto"/>
                    <w:left w:val="none" w:sz="0" w:space="0" w:color="auto"/>
                    <w:bottom w:val="none" w:sz="0" w:space="0" w:color="auto"/>
                    <w:right w:val="none" w:sz="0" w:space="0" w:color="auto"/>
                  </w:divBdr>
                </w:div>
                <w:div w:id="2144469427">
                  <w:marLeft w:val="0"/>
                  <w:marRight w:val="0"/>
                  <w:marTop w:val="0"/>
                  <w:marBottom w:val="0"/>
                  <w:divBdr>
                    <w:top w:val="none" w:sz="0" w:space="0" w:color="auto"/>
                    <w:left w:val="none" w:sz="0" w:space="0" w:color="auto"/>
                    <w:bottom w:val="none" w:sz="0" w:space="0" w:color="auto"/>
                    <w:right w:val="none" w:sz="0" w:space="0" w:color="auto"/>
                  </w:divBdr>
                  <w:divsChild>
                    <w:div w:id="162348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0080">
              <w:marLeft w:val="0"/>
              <w:marRight w:val="0"/>
              <w:marTop w:val="0"/>
              <w:marBottom w:val="0"/>
              <w:divBdr>
                <w:top w:val="none" w:sz="0" w:space="0" w:color="auto"/>
                <w:left w:val="none" w:sz="0" w:space="0" w:color="auto"/>
                <w:bottom w:val="none" w:sz="0" w:space="0" w:color="auto"/>
                <w:right w:val="none" w:sz="0" w:space="0" w:color="auto"/>
              </w:divBdr>
              <w:divsChild>
                <w:div w:id="93887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559764">
      <w:bodyDiv w:val="1"/>
      <w:marLeft w:val="0"/>
      <w:marRight w:val="0"/>
      <w:marTop w:val="0"/>
      <w:marBottom w:val="0"/>
      <w:divBdr>
        <w:top w:val="none" w:sz="0" w:space="0" w:color="auto"/>
        <w:left w:val="none" w:sz="0" w:space="0" w:color="auto"/>
        <w:bottom w:val="none" w:sz="0" w:space="0" w:color="auto"/>
        <w:right w:val="none" w:sz="0" w:space="0" w:color="auto"/>
      </w:divBdr>
    </w:div>
    <w:div w:id="1591618296">
      <w:bodyDiv w:val="1"/>
      <w:marLeft w:val="0"/>
      <w:marRight w:val="0"/>
      <w:marTop w:val="0"/>
      <w:marBottom w:val="0"/>
      <w:divBdr>
        <w:top w:val="none" w:sz="0" w:space="0" w:color="auto"/>
        <w:left w:val="none" w:sz="0" w:space="0" w:color="auto"/>
        <w:bottom w:val="none" w:sz="0" w:space="0" w:color="auto"/>
        <w:right w:val="none" w:sz="0" w:space="0" w:color="auto"/>
      </w:divBdr>
      <w:divsChild>
        <w:div w:id="1540319076">
          <w:marLeft w:val="0"/>
          <w:marRight w:val="0"/>
          <w:marTop w:val="0"/>
          <w:marBottom w:val="0"/>
          <w:divBdr>
            <w:top w:val="none" w:sz="0" w:space="0" w:color="auto"/>
            <w:left w:val="none" w:sz="0" w:space="0" w:color="auto"/>
            <w:bottom w:val="none" w:sz="0" w:space="0" w:color="auto"/>
            <w:right w:val="none" w:sz="0" w:space="0" w:color="auto"/>
          </w:divBdr>
        </w:div>
        <w:div w:id="511334033">
          <w:marLeft w:val="0"/>
          <w:marRight w:val="0"/>
          <w:marTop w:val="0"/>
          <w:marBottom w:val="0"/>
          <w:divBdr>
            <w:top w:val="none" w:sz="0" w:space="0" w:color="auto"/>
            <w:left w:val="none" w:sz="0" w:space="0" w:color="auto"/>
            <w:bottom w:val="none" w:sz="0" w:space="0" w:color="auto"/>
            <w:right w:val="none" w:sz="0" w:space="0" w:color="auto"/>
          </w:divBdr>
        </w:div>
        <w:div w:id="691227224">
          <w:marLeft w:val="0"/>
          <w:marRight w:val="0"/>
          <w:marTop w:val="0"/>
          <w:marBottom w:val="0"/>
          <w:divBdr>
            <w:top w:val="none" w:sz="0" w:space="0" w:color="auto"/>
            <w:left w:val="none" w:sz="0" w:space="0" w:color="auto"/>
            <w:bottom w:val="none" w:sz="0" w:space="0" w:color="auto"/>
            <w:right w:val="none" w:sz="0" w:space="0" w:color="auto"/>
          </w:divBdr>
        </w:div>
        <w:div w:id="1072199103">
          <w:marLeft w:val="0"/>
          <w:marRight w:val="0"/>
          <w:marTop w:val="0"/>
          <w:marBottom w:val="0"/>
          <w:divBdr>
            <w:top w:val="none" w:sz="0" w:space="0" w:color="auto"/>
            <w:left w:val="none" w:sz="0" w:space="0" w:color="auto"/>
            <w:bottom w:val="none" w:sz="0" w:space="0" w:color="auto"/>
            <w:right w:val="none" w:sz="0" w:space="0" w:color="auto"/>
          </w:divBdr>
        </w:div>
        <w:div w:id="1149902803">
          <w:marLeft w:val="0"/>
          <w:marRight w:val="0"/>
          <w:marTop w:val="0"/>
          <w:marBottom w:val="0"/>
          <w:divBdr>
            <w:top w:val="none" w:sz="0" w:space="0" w:color="auto"/>
            <w:left w:val="none" w:sz="0" w:space="0" w:color="auto"/>
            <w:bottom w:val="none" w:sz="0" w:space="0" w:color="auto"/>
            <w:right w:val="none" w:sz="0" w:space="0" w:color="auto"/>
          </w:divBdr>
        </w:div>
        <w:div w:id="1680429301">
          <w:marLeft w:val="0"/>
          <w:marRight w:val="0"/>
          <w:marTop w:val="0"/>
          <w:marBottom w:val="0"/>
          <w:divBdr>
            <w:top w:val="none" w:sz="0" w:space="0" w:color="auto"/>
            <w:left w:val="none" w:sz="0" w:space="0" w:color="auto"/>
            <w:bottom w:val="none" w:sz="0" w:space="0" w:color="auto"/>
            <w:right w:val="none" w:sz="0" w:space="0" w:color="auto"/>
          </w:divBdr>
        </w:div>
        <w:div w:id="15945100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ezproxy.uwtsd.ac.uk/publisher/ucpress" TargetMode="External"/><Relationship Id="rId5" Type="http://schemas.openxmlformats.org/officeDocument/2006/relationships/footnotes" Target="footnotes.xml"/><Relationship Id="rId10" Type="http://schemas.openxmlformats.org/officeDocument/2006/relationships/hyperlink" Target="https://www.bl.uk/medieval-english-french-manuscripts/articles/medieval-calendars" TargetMode="External"/><Relationship Id="rId4" Type="http://schemas.openxmlformats.org/officeDocument/2006/relationships/webSettings" Target="webSettings.xml"/><Relationship Id="rId9" Type="http://schemas.openxmlformats.org/officeDocument/2006/relationships/hyperlink" Target="http://www.bl.uk/manuscripts/Viewer.aspx?ref=cotton_ms_tiberius_b_v!1_f002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ezproxy.uwtsd.ac.uk/publisher/ucpress" TargetMode="External"/><Relationship Id="rId2" Type="http://schemas.openxmlformats.org/officeDocument/2006/relationships/hyperlink" Target="http://www.bl.uk/manuscripts/Viewer.aspx?ref=cotton_ms_tiberius_b_v!1_f002r" TargetMode="External"/><Relationship Id="rId1" Type="http://schemas.openxmlformats.org/officeDocument/2006/relationships/hyperlink" Target="http://www.bl.uk/manuscripts/Viewer.aspx?ref=cotton_ms_tiberius_b_v!1_f002r" TargetMode="External"/><Relationship Id="rId5" Type="http://schemas.openxmlformats.org/officeDocument/2006/relationships/hyperlink" Target="https://www.bl.uk/medieval-english-french-manuscripts/articles/medieval-calendars" TargetMode="External"/><Relationship Id="rId4" Type="http://schemas.openxmlformats.org/officeDocument/2006/relationships/hyperlink" Target="https://www-jstor-org.ezproxy.uwtsd.ac.uk/stable/437390?seq=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1C45E2-3EEA-4F63-A568-8D96F7DDE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TotalTime>
  <Pages>10</Pages>
  <Words>2458</Words>
  <Characters>12294</Characters>
  <Application>Microsoft Office Word</Application>
  <DocSecurity>0</DocSecurity>
  <Lines>299</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AUser</cp:lastModifiedBy>
  <cp:revision>13</cp:revision>
  <dcterms:created xsi:type="dcterms:W3CDTF">2020-11-16T13:40:00Z</dcterms:created>
  <dcterms:modified xsi:type="dcterms:W3CDTF">2020-12-18T13:09:00Z</dcterms:modified>
</cp:coreProperties>
</file>