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tcPr>
          <w:p w14:paraId="02F8EE88" w14:textId="0AC2C5B4" w:rsidR="00986B43" w:rsidRPr="00891D09" w:rsidRDefault="00986B43"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691EBC" w:rsidRPr="00891D09">
              <w:rPr>
                <w:rFonts w:ascii="Times New Roman" w:hAnsi="Times New Roman" w:cs="Times New Roman"/>
                <w:bCs/>
                <w:color w:val="auto"/>
                <w:sz w:val="48"/>
              </w:rPr>
              <w:t xml:space="preserve">Rhodd Young </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23109F32" w:rsidR="009C337F" w:rsidRPr="00891D09" w:rsidRDefault="009C337F" w:rsidP="005D3F07">
            <w:pPr>
              <w:overflowPunct/>
              <w:autoSpaceDE/>
              <w:autoSpaceDN/>
              <w:adjustRightInd/>
              <w:ind w:right="-957"/>
              <w:textAlignment w:val="auto"/>
              <w:rPr>
                <w:rFonts w:ascii="Times New Roman" w:hAnsi="Times New Roman" w:cs="Times New Roman"/>
                <w:bCs/>
                <w:color w:val="auto"/>
                <w:sz w:val="48"/>
              </w:rPr>
            </w:pPr>
            <w:r>
              <w:rPr>
                <w:rFonts w:ascii="Times New Roman" w:hAnsi="Times New Roman" w:cs="Times New Roman"/>
                <w:b/>
                <w:color w:val="auto"/>
                <w:sz w:val="48"/>
              </w:rPr>
              <w:t>Email address:</w:t>
            </w:r>
            <w:r w:rsidR="00A02E0D">
              <w:t xml:space="preserve"> </w:t>
            </w:r>
            <w:r w:rsidR="00A02E0D" w:rsidRPr="00891D09">
              <w:rPr>
                <w:rFonts w:ascii="Times New Roman" w:hAnsi="Times New Roman" w:cs="Times New Roman"/>
                <w:bCs/>
                <w:color w:val="auto"/>
                <w:sz w:val="48"/>
              </w:rPr>
              <w:t>2329656@student.uwtsd.ac.uk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12F56E86" w:rsidR="00F927A1" w:rsidRPr="00891D09" w:rsidRDefault="0085230E" w:rsidP="005D3F07">
            <w:pPr>
              <w:overflowPunct/>
              <w:autoSpaceDE/>
              <w:autoSpaceDN/>
              <w:adjustRightInd/>
              <w:ind w:right="-957"/>
              <w:textAlignment w:val="auto"/>
              <w:rPr>
                <w:rFonts w:ascii="Times New Roman" w:hAnsi="Times New Roman" w:cs="Times New Roman"/>
                <w:bCs/>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891D09">
              <w:rPr>
                <w:rFonts w:ascii="Times New Roman" w:hAnsi="Times New Roman" w:cs="Times New Roman"/>
                <w:b/>
                <w:color w:val="auto"/>
                <w:sz w:val="48"/>
              </w:rPr>
              <w:t xml:space="preserve"> </w:t>
            </w:r>
            <w:r w:rsidR="00A02E0D" w:rsidRPr="00891D09">
              <w:rPr>
                <w:rFonts w:ascii="Times New Roman" w:hAnsi="Times New Roman" w:cs="Times New Roman"/>
                <w:bCs/>
                <w:color w:val="auto"/>
                <w:sz w:val="32"/>
                <w:szCs w:val="32"/>
              </w:rPr>
              <w:t>2329656</w:t>
            </w:r>
          </w:p>
          <w:p w14:paraId="622FD17A" w14:textId="77777777" w:rsidR="0085230E" w:rsidRPr="00891D09" w:rsidRDefault="0085230E" w:rsidP="005D3F07">
            <w:pPr>
              <w:overflowPunct/>
              <w:autoSpaceDE/>
              <w:autoSpaceDN/>
              <w:adjustRightInd/>
              <w:ind w:right="-957"/>
              <w:textAlignment w:val="auto"/>
              <w:rPr>
                <w:rFonts w:ascii="Times New Roman" w:hAnsi="Times New Roman" w:cs="Times New Roman"/>
                <w:bCs/>
                <w:color w:val="auto"/>
                <w:sz w:val="48"/>
              </w:rPr>
            </w:pPr>
          </w:p>
          <w:p w14:paraId="5F84129B" w14:textId="4756DF6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49374F">
              <w:rPr>
                <w:rFonts w:ascii="Times New Roman" w:hAnsi="Times New Roman" w:cs="Times New Roman"/>
                <w:b/>
                <w:color w:val="auto"/>
                <w:sz w:val="48"/>
              </w:rPr>
              <w:t>21</w:t>
            </w:r>
            <w:r w:rsidR="00AE6231">
              <w:rPr>
                <w:rFonts w:ascii="Times New Roman" w:hAnsi="Times New Roman" w:cs="Times New Roman"/>
                <w:b/>
                <w:color w:val="auto"/>
                <w:sz w:val="48"/>
              </w:rPr>
              <w:t>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0EF984DF" w14:textId="02707E04" w:rsidR="000D0BB6" w:rsidRPr="00EE5BC3" w:rsidRDefault="00337FEF" w:rsidP="00EE5BC3">
      <w:pPr>
        <w:jc w:val="center"/>
        <w:rPr>
          <w:b/>
          <w:sz w:val="28"/>
          <w:szCs w:val="28"/>
        </w:rPr>
      </w:pPr>
      <w:r w:rsidRPr="00EE5BC3">
        <w:rPr>
          <w:b/>
          <w:sz w:val="28"/>
          <w:szCs w:val="28"/>
        </w:rPr>
        <w:t>Task 4</w:t>
      </w:r>
    </w:p>
    <w:p w14:paraId="156B2346" w14:textId="77777777" w:rsidR="00002C7A" w:rsidRPr="00EE5BC3" w:rsidRDefault="00002C7A" w:rsidP="00EE5BC3">
      <w:pPr>
        <w:jc w:val="center"/>
        <w:rPr>
          <w:b/>
          <w:sz w:val="28"/>
          <w:szCs w:val="28"/>
        </w:rPr>
      </w:pPr>
    </w:p>
    <w:p w14:paraId="4A34FA1D" w14:textId="77777777" w:rsidR="00002C7A" w:rsidRPr="00EE5BC3" w:rsidRDefault="00002C7A" w:rsidP="00EE5BC3">
      <w:pPr>
        <w:jc w:val="center"/>
        <w:rPr>
          <w:b/>
          <w:sz w:val="28"/>
          <w:szCs w:val="28"/>
        </w:rPr>
      </w:pPr>
      <w:r w:rsidRPr="00EE5BC3">
        <w:rPr>
          <w:b/>
          <w:sz w:val="28"/>
          <w:szCs w:val="28"/>
        </w:rPr>
        <w:t>Safeguarding</w:t>
      </w:r>
      <w:r w:rsidR="005F64AA">
        <w:rPr>
          <w:b/>
          <w:sz w:val="28"/>
          <w:szCs w:val="28"/>
        </w:rPr>
        <w:t xml:space="preserve"> in an area which is not your main area of work</w:t>
      </w:r>
    </w:p>
    <w:p w14:paraId="6D6C0186" w14:textId="77777777" w:rsidR="000D0BB6" w:rsidRPr="008B28E7" w:rsidRDefault="000D0BB6" w:rsidP="00FF7EBB">
      <w:pPr>
        <w:jc w:val="both"/>
        <w:rPr>
          <w:b/>
          <w:sz w:val="24"/>
          <w:szCs w:val="24"/>
        </w:rPr>
      </w:pPr>
    </w:p>
    <w:p w14:paraId="63836D76" w14:textId="77777777" w:rsidR="00337FEF" w:rsidRPr="00EE5BC3" w:rsidRDefault="008B28E7" w:rsidP="00FF7EBB">
      <w:pPr>
        <w:ind w:left="-90"/>
        <w:jc w:val="both"/>
        <w:rPr>
          <w:b/>
          <w:i/>
          <w:sz w:val="24"/>
          <w:szCs w:val="24"/>
        </w:rPr>
      </w:pPr>
      <w:r w:rsidRPr="00EE5BC3">
        <w:rPr>
          <w:b/>
          <w:i/>
          <w:sz w:val="24"/>
          <w:szCs w:val="24"/>
        </w:rPr>
        <w:t xml:space="preserve">Guidance: </w:t>
      </w:r>
    </w:p>
    <w:p w14:paraId="440B2467" w14:textId="322DDD98" w:rsidR="00633165" w:rsidRPr="00706BB5" w:rsidRDefault="00012B16" w:rsidP="4EC15626">
      <w:pPr>
        <w:ind w:left="-90"/>
        <w:jc w:val="both"/>
        <w:rPr>
          <w:i/>
          <w:iCs/>
          <w:sz w:val="24"/>
          <w:szCs w:val="24"/>
        </w:rPr>
      </w:pPr>
      <w:r w:rsidRPr="00F15354">
        <w:rPr>
          <w:i/>
          <w:iCs/>
          <w:sz w:val="24"/>
          <w:szCs w:val="24"/>
        </w:rPr>
        <w:t>Social Care Wales</w:t>
      </w:r>
      <w:r w:rsidR="008B28E7" w:rsidRPr="006179BB">
        <w:rPr>
          <w:i/>
          <w:iCs/>
          <w:sz w:val="24"/>
          <w:szCs w:val="24"/>
        </w:rPr>
        <w:t xml:space="preserve"> require newly qualified social workers </w:t>
      </w:r>
      <w:r w:rsidR="00D60F88" w:rsidRPr="006179BB">
        <w:rPr>
          <w:i/>
          <w:iCs/>
          <w:sz w:val="24"/>
          <w:szCs w:val="24"/>
        </w:rPr>
        <w:t xml:space="preserve">to provide evidence of </w:t>
      </w:r>
      <w:r w:rsidR="008B28E7" w:rsidRPr="00A5656A">
        <w:rPr>
          <w:i/>
          <w:iCs/>
          <w:sz w:val="24"/>
          <w:szCs w:val="24"/>
        </w:rPr>
        <w:t xml:space="preserve">their </w:t>
      </w:r>
      <w:r w:rsidR="00D60F88" w:rsidRPr="00A5656A">
        <w:rPr>
          <w:i/>
          <w:iCs/>
          <w:sz w:val="24"/>
          <w:szCs w:val="24"/>
        </w:rPr>
        <w:t>understanding of safeguarding work with adults and children</w:t>
      </w:r>
      <w:r w:rsidR="008B28E7" w:rsidRPr="009C7342">
        <w:rPr>
          <w:i/>
          <w:iCs/>
          <w:sz w:val="24"/>
          <w:szCs w:val="24"/>
        </w:rPr>
        <w:t>.</w:t>
      </w:r>
      <w:r w:rsidR="00D60F88" w:rsidRPr="009C7342">
        <w:rPr>
          <w:i/>
          <w:iCs/>
          <w:sz w:val="24"/>
          <w:szCs w:val="24"/>
        </w:rPr>
        <w:t xml:space="preserve"> </w:t>
      </w:r>
      <w:r w:rsidR="004911B4" w:rsidRPr="00706BB5">
        <w:rPr>
          <w:i/>
          <w:iCs/>
          <w:sz w:val="24"/>
          <w:szCs w:val="24"/>
        </w:rPr>
        <w:t>The</w:t>
      </w:r>
      <w:r w:rsidR="00D60F88" w:rsidRPr="00706BB5">
        <w:rPr>
          <w:i/>
          <w:iCs/>
          <w:sz w:val="24"/>
          <w:szCs w:val="24"/>
        </w:rPr>
        <w:t xml:space="preserve"> assignment below will enable you to </w:t>
      </w:r>
      <w:r w:rsidR="00EE5BC3" w:rsidRPr="00706BB5">
        <w:rPr>
          <w:i/>
          <w:iCs/>
          <w:sz w:val="24"/>
          <w:szCs w:val="24"/>
        </w:rPr>
        <w:t>demonstrate this</w:t>
      </w:r>
      <w:r w:rsidR="008B28E7" w:rsidRPr="00706BB5">
        <w:rPr>
          <w:i/>
          <w:iCs/>
          <w:sz w:val="24"/>
          <w:szCs w:val="24"/>
        </w:rPr>
        <w:t xml:space="preserve">. </w:t>
      </w:r>
      <w:r w:rsidR="008B28E7" w:rsidRPr="00706BB5">
        <w:rPr>
          <w:b/>
          <w:bCs/>
          <w:i/>
          <w:iCs/>
          <w:sz w:val="24"/>
          <w:szCs w:val="24"/>
        </w:rPr>
        <w:t>N.B</w:t>
      </w:r>
      <w:r w:rsidR="008B28E7" w:rsidRPr="00706BB5">
        <w:rPr>
          <w:i/>
          <w:iCs/>
          <w:sz w:val="24"/>
          <w:szCs w:val="24"/>
        </w:rPr>
        <w:t xml:space="preserve">. </w:t>
      </w:r>
      <w:r w:rsidR="00D60F88" w:rsidRPr="00706BB5">
        <w:rPr>
          <w:i/>
          <w:iCs/>
          <w:sz w:val="24"/>
          <w:szCs w:val="24"/>
        </w:rPr>
        <w:t xml:space="preserve">if your </w:t>
      </w:r>
      <w:r w:rsidR="009D477B" w:rsidRPr="00706BB5">
        <w:rPr>
          <w:i/>
          <w:iCs/>
          <w:sz w:val="24"/>
          <w:szCs w:val="24"/>
        </w:rPr>
        <w:t>usual area</w:t>
      </w:r>
      <w:r w:rsidR="00D60F88" w:rsidRPr="00706BB5">
        <w:rPr>
          <w:i/>
          <w:iCs/>
          <w:sz w:val="24"/>
          <w:szCs w:val="24"/>
        </w:rPr>
        <w:t xml:space="preserve"> of work is with children please write about adult</w:t>
      </w:r>
      <w:r w:rsidR="003C19F1" w:rsidRPr="00706BB5">
        <w:rPr>
          <w:i/>
          <w:iCs/>
          <w:sz w:val="24"/>
          <w:szCs w:val="24"/>
        </w:rPr>
        <w:t xml:space="preserve"> safeguarding. I</w:t>
      </w:r>
      <w:r w:rsidR="00D60F88" w:rsidRPr="00706BB5">
        <w:rPr>
          <w:i/>
          <w:iCs/>
          <w:sz w:val="24"/>
          <w:szCs w:val="24"/>
        </w:rPr>
        <w:t xml:space="preserve">f you </w:t>
      </w:r>
      <w:r w:rsidR="009D477B" w:rsidRPr="00706BB5">
        <w:rPr>
          <w:i/>
          <w:iCs/>
          <w:sz w:val="24"/>
          <w:szCs w:val="24"/>
        </w:rPr>
        <w:t>usually work</w:t>
      </w:r>
      <w:r w:rsidR="00D60F88" w:rsidRPr="00706BB5">
        <w:rPr>
          <w:i/>
          <w:iCs/>
          <w:sz w:val="24"/>
          <w:szCs w:val="24"/>
        </w:rPr>
        <w:t xml:space="preserve"> with adults</w:t>
      </w:r>
      <w:r w:rsidR="3CD2139F" w:rsidRPr="00706BB5">
        <w:rPr>
          <w:i/>
          <w:iCs/>
          <w:sz w:val="24"/>
          <w:szCs w:val="24"/>
        </w:rPr>
        <w:t>,</w:t>
      </w:r>
      <w:r w:rsidR="00D60F88" w:rsidRPr="00706BB5">
        <w:rPr>
          <w:i/>
          <w:iCs/>
          <w:sz w:val="24"/>
          <w:szCs w:val="24"/>
        </w:rPr>
        <w:t xml:space="preserve"> then write about child</w:t>
      </w:r>
      <w:r w:rsidR="003C19F1" w:rsidRPr="00706BB5">
        <w:rPr>
          <w:i/>
          <w:iCs/>
          <w:sz w:val="24"/>
          <w:szCs w:val="24"/>
        </w:rPr>
        <w:t xml:space="preserve"> safeguarding</w:t>
      </w:r>
      <w:r w:rsidR="00D60F88" w:rsidRPr="00706BB5">
        <w:rPr>
          <w:i/>
          <w:iCs/>
          <w:sz w:val="24"/>
          <w:szCs w:val="24"/>
        </w:rPr>
        <w:t xml:space="preserve">. </w:t>
      </w:r>
      <w:r w:rsidR="00337FEF" w:rsidRPr="00706BB5">
        <w:rPr>
          <w:i/>
          <w:iCs/>
          <w:sz w:val="24"/>
          <w:szCs w:val="24"/>
        </w:rPr>
        <w:t xml:space="preserve"> </w:t>
      </w:r>
      <w:r w:rsidR="0079422A" w:rsidRPr="00706BB5">
        <w:rPr>
          <w:i/>
          <w:iCs/>
          <w:sz w:val="24"/>
          <w:szCs w:val="24"/>
        </w:rPr>
        <w:t>E</w:t>
      </w:r>
      <w:r w:rsidR="00337FEF" w:rsidRPr="00706BB5">
        <w:rPr>
          <w:i/>
          <w:iCs/>
          <w:sz w:val="24"/>
          <w:szCs w:val="24"/>
        </w:rPr>
        <w:t xml:space="preserve">nsure you meet </w:t>
      </w:r>
      <w:r w:rsidR="00FC0334" w:rsidRPr="00706BB5">
        <w:rPr>
          <w:i/>
          <w:iCs/>
          <w:sz w:val="24"/>
          <w:szCs w:val="24"/>
        </w:rPr>
        <w:t>the</w:t>
      </w:r>
      <w:r w:rsidR="00AA7960" w:rsidRPr="00706BB5">
        <w:rPr>
          <w:i/>
          <w:iCs/>
          <w:sz w:val="24"/>
          <w:szCs w:val="24"/>
        </w:rPr>
        <w:t xml:space="preserve"> </w:t>
      </w:r>
      <w:r w:rsidR="00064063" w:rsidRPr="00706BB5">
        <w:rPr>
          <w:i/>
          <w:iCs/>
          <w:sz w:val="24"/>
          <w:szCs w:val="24"/>
        </w:rPr>
        <w:t xml:space="preserve">learning out comes for this task </w:t>
      </w:r>
      <w:r w:rsidR="0079422A" w:rsidRPr="00706BB5">
        <w:rPr>
          <w:i/>
          <w:iCs/>
          <w:sz w:val="24"/>
          <w:szCs w:val="24"/>
        </w:rPr>
        <w:t>(</w:t>
      </w:r>
      <w:r w:rsidR="00064063" w:rsidRPr="00706BB5">
        <w:rPr>
          <w:i/>
          <w:iCs/>
          <w:sz w:val="24"/>
          <w:szCs w:val="24"/>
        </w:rPr>
        <w:t xml:space="preserve">see appendix </w:t>
      </w:r>
      <w:r w:rsidR="003D1BC0">
        <w:rPr>
          <w:i/>
          <w:iCs/>
          <w:sz w:val="24"/>
          <w:szCs w:val="24"/>
        </w:rPr>
        <w:t>5</w:t>
      </w:r>
      <w:r w:rsidR="00064063" w:rsidRPr="00706BB5">
        <w:rPr>
          <w:i/>
          <w:iCs/>
          <w:sz w:val="24"/>
          <w:szCs w:val="24"/>
        </w:rPr>
        <w:t xml:space="preserve"> </w:t>
      </w:r>
      <w:r w:rsidR="00FC0334" w:rsidRPr="00F15354">
        <w:rPr>
          <w:i/>
          <w:iCs/>
          <w:sz w:val="24"/>
          <w:szCs w:val="24"/>
        </w:rPr>
        <w:t>of the</w:t>
      </w:r>
      <w:r w:rsidR="007A628F" w:rsidRPr="4EC15626">
        <w:rPr>
          <w:i/>
          <w:iCs/>
          <w:sz w:val="24"/>
          <w:szCs w:val="24"/>
        </w:rPr>
        <w:t xml:space="preserve"> h</w:t>
      </w:r>
      <w:r w:rsidR="00FC0334" w:rsidRPr="00F15354">
        <w:rPr>
          <w:i/>
          <w:iCs/>
          <w:sz w:val="24"/>
          <w:szCs w:val="24"/>
        </w:rPr>
        <w:t>andbook</w:t>
      </w:r>
      <w:r w:rsidR="0079422A" w:rsidRPr="006179BB">
        <w:rPr>
          <w:i/>
          <w:iCs/>
          <w:sz w:val="24"/>
          <w:szCs w:val="24"/>
        </w:rPr>
        <w:t>).</w:t>
      </w:r>
    </w:p>
    <w:p w14:paraId="7A8069C4"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152141E6" w14:textId="77777777" w:rsidTr="006108C9">
        <w:tc>
          <w:tcPr>
            <w:tcW w:w="10188" w:type="dxa"/>
          </w:tcPr>
          <w:p w14:paraId="2B66890D" w14:textId="56A37C4F" w:rsidR="00337FEF" w:rsidRPr="00EB695F" w:rsidRDefault="00337FEF" w:rsidP="00FF7EBB">
            <w:pPr>
              <w:jc w:val="both"/>
              <w:rPr>
                <w:b/>
                <w:sz w:val="24"/>
                <w:szCs w:val="24"/>
              </w:rPr>
            </w:pPr>
            <w:r w:rsidRPr="00EB695F">
              <w:rPr>
                <w:b/>
                <w:sz w:val="24"/>
                <w:szCs w:val="24"/>
              </w:rPr>
              <w:t>Question</w:t>
            </w:r>
            <w:r w:rsidR="00FC0334">
              <w:rPr>
                <w:b/>
                <w:sz w:val="24"/>
                <w:szCs w:val="24"/>
              </w:rPr>
              <w:t xml:space="preserve"> a</w:t>
            </w:r>
            <w:r w:rsidR="007A628F">
              <w:rPr>
                <w:b/>
                <w:sz w:val="24"/>
                <w:szCs w:val="24"/>
              </w:rPr>
              <w:t>:</w:t>
            </w:r>
          </w:p>
          <w:p w14:paraId="17A49383"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w:t>
            </w:r>
            <w:proofErr w:type="gramStart"/>
            <w:r w:rsidRPr="00AE1868">
              <w:rPr>
                <w:b/>
                <w:sz w:val="24"/>
                <w:szCs w:val="24"/>
              </w:rPr>
              <w:t>main focus</w:t>
            </w:r>
            <w:proofErr w:type="gramEnd"/>
            <w:r w:rsidRPr="00AE1868">
              <w:rPr>
                <w:b/>
                <w:sz w:val="24"/>
                <w:szCs w:val="24"/>
              </w:rPr>
              <w:t xml:space="preserve">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6D8CB8AF" w14:textId="77777777" w:rsidR="00FC0334" w:rsidRDefault="00FC0334" w:rsidP="00FF7EBB">
            <w:pPr>
              <w:jc w:val="both"/>
              <w:rPr>
                <w:sz w:val="24"/>
                <w:szCs w:val="24"/>
              </w:rPr>
            </w:pPr>
          </w:p>
          <w:p w14:paraId="4A95F4DB" w14:textId="77777777" w:rsidR="00FC0334" w:rsidRDefault="00FC0334" w:rsidP="00FF7EBB">
            <w:pPr>
              <w:jc w:val="both"/>
              <w:rPr>
                <w:sz w:val="24"/>
                <w:szCs w:val="24"/>
              </w:rPr>
            </w:pPr>
          </w:p>
          <w:p w14:paraId="51628A5F" w14:textId="6C9DB6BC" w:rsid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In this essay, I will focus on children’s safeguarding legislation, guidance, policies and procedures as I currently work in adult services. </w:t>
            </w:r>
          </w:p>
          <w:p w14:paraId="1768AB5E" w14:textId="77777777" w:rsidR="00891D09" w:rsidRPr="00691EBC" w:rsidRDefault="00891D09" w:rsidP="00691EBC">
            <w:pPr>
              <w:spacing w:line="480" w:lineRule="auto"/>
              <w:jc w:val="both"/>
              <w:rPr>
                <w:rFonts w:ascii="Times New Roman" w:hAnsi="Times New Roman" w:cs="Times New Roman"/>
                <w:sz w:val="24"/>
                <w:szCs w:val="24"/>
              </w:rPr>
            </w:pPr>
          </w:p>
          <w:p w14:paraId="63969746"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The Social Services and Well-being (Wales) Act 2014 and the Children Act 1989 are important pieces of legislation for safeguarding children in Wales. Part 7 of the Social Services and Well-being (Wales) Act 2014 provides the specific safeguarding framework. Section 130 places a duty on relevant partners to inform the local authority where they have reasonable cause to suspect that a child is at risk. The Act defines a ‘child at risk’ as a child who is experiencing, or is at risk of, abuse, neglect or other kinds of harm and has needs for care and support (s.130(4)). Following a report, the local authority must consider whether there are grounds for making enquiries under section 47 of the Children Act 1989. Where there is reasonable cause to suspect that a child is suffering, or is likely to suffer, significant harm, section 47 enquiries may be undertaken. </w:t>
            </w:r>
          </w:p>
          <w:p w14:paraId="151F6A40" w14:textId="77777777" w:rsidR="00691EBC" w:rsidRPr="00691EBC" w:rsidRDefault="00691EBC" w:rsidP="00691EBC">
            <w:pPr>
              <w:spacing w:line="480" w:lineRule="auto"/>
              <w:jc w:val="both"/>
              <w:rPr>
                <w:rFonts w:ascii="Times New Roman" w:hAnsi="Times New Roman" w:cs="Times New Roman"/>
                <w:sz w:val="24"/>
                <w:szCs w:val="24"/>
              </w:rPr>
            </w:pPr>
          </w:p>
          <w:p w14:paraId="23363E2F"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lastRenderedPageBreak/>
              <w:t xml:space="preserve">The Wales Safeguarding Procedures also play an important role in safeguarding children. They provide practical guidance for practitioners across Wales and explain the roles and responsibilities of different agencies when responding to safeguarding concerns. The procedures help practitioners apply the legislation and statutory safeguarding guidance. They provide guidance on the safeguarding process, including responding to reports, gathering information, multi-agency working, seeing and involving the child and deciding whether a section 47 enquiry is needed (Wales Safeguarding Procedures, 2019). </w:t>
            </w:r>
          </w:p>
          <w:p w14:paraId="1F603F47" w14:textId="77777777" w:rsidR="00691EBC" w:rsidRPr="00691EBC" w:rsidRDefault="00691EBC" w:rsidP="00691EBC">
            <w:pPr>
              <w:spacing w:line="480" w:lineRule="auto"/>
              <w:jc w:val="both"/>
              <w:rPr>
                <w:rFonts w:ascii="Times New Roman" w:hAnsi="Times New Roman" w:cs="Times New Roman"/>
                <w:sz w:val="24"/>
                <w:szCs w:val="24"/>
              </w:rPr>
            </w:pPr>
          </w:p>
          <w:p w14:paraId="72FC5E2C"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The Welsh Government’s </w:t>
            </w:r>
            <w:r w:rsidRPr="00691EBC">
              <w:rPr>
                <w:rFonts w:ascii="Times New Roman" w:hAnsi="Times New Roman" w:cs="Times New Roman"/>
                <w:i/>
                <w:iCs/>
                <w:sz w:val="24"/>
                <w:szCs w:val="24"/>
              </w:rPr>
              <w:t>Working Together to Safeguard People: Volume 5 – Handling Individual Cases to Protect Children at Risk</w:t>
            </w:r>
            <w:r w:rsidRPr="00691EBC">
              <w:rPr>
                <w:rFonts w:ascii="Times New Roman" w:hAnsi="Times New Roman" w:cs="Times New Roman"/>
                <w:sz w:val="24"/>
                <w:szCs w:val="24"/>
              </w:rPr>
              <w:t xml:space="preserve"> provides statutory guidance for practitioners. It emphasises the importance of agencies working together, sharing relevant information and being clear about roles and responsibilities. It also highlights the importance of involving children and their families while ensuring that the rights and welfare of the child are protected (Welsh Government, 2018). </w:t>
            </w:r>
          </w:p>
          <w:p w14:paraId="1DCF20E0" w14:textId="77777777" w:rsidR="00691EBC" w:rsidRPr="00691EBC" w:rsidRDefault="00691EBC" w:rsidP="00691EBC">
            <w:pPr>
              <w:spacing w:line="480" w:lineRule="auto"/>
              <w:jc w:val="both"/>
              <w:rPr>
                <w:rFonts w:ascii="Times New Roman" w:hAnsi="Times New Roman" w:cs="Times New Roman"/>
                <w:sz w:val="24"/>
                <w:szCs w:val="24"/>
              </w:rPr>
            </w:pPr>
          </w:p>
          <w:p w14:paraId="56B5BAAA"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XXX Council also uses the Effective Child Protection (ECP) framework to support child protection practice. ECP is based on four key areas: conversations, thresholds, change and measure. It provides practitioners with a consistent approach to identifying risk, understanding the changes needed to keep children safe and measuring progress. The framework is used alongside assessment, supervision and multi-agency working to support decision-making and improve outcomes for children (Effective Child Protection, n.d.).</w:t>
            </w:r>
          </w:p>
          <w:p w14:paraId="70C2795C" w14:textId="77777777" w:rsidR="00691EBC" w:rsidRPr="00691EBC" w:rsidRDefault="00691EBC" w:rsidP="00691EBC">
            <w:pPr>
              <w:spacing w:line="480" w:lineRule="auto"/>
              <w:jc w:val="both"/>
              <w:rPr>
                <w:rFonts w:ascii="Times New Roman" w:hAnsi="Times New Roman" w:cs="Times New Roman"/>
                <w:sz w:val="24"/>
                <w:szCs w:val="24"/>
              </w:rPr>
            </w:pPr>
          </w:p>
          <w:p w14:paraId="14C6EF31"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XXX Council also has organisational safeguarding policies and procedures which set out the responsibilities of staff when concerns about children arise. The policy states that safeguarding is the responsibility of everyone working for the council, and that concerns about a child at risk should be </w:t>
            </w:r>
            <w:r w:rsidRPr="00691EBC">
              <w:rPr>
                <w:rFonts w:ascii="Times New Roman" w:hAnsi="Times New Roman" w:cs="Times New Roman"/>
                <w:sz w:val="24"/>
                <w:szCs w:val="24"/>
              </w:rPr>
              <w:lastRenderedPageBreak/>
              <w:t xml:space="preserve">reported. Social services have lead responsibility for protecting children who may be experiencing harm or neglect. The policy also supports staff to understand their safeguarding responsibilities and the procedures they should follow (XXX Council, 2025). </w:t>
            </w:r>
          </w:p>
          <w:p w14:paraId="0AFEB676" w14:textId="77777777" w:rsidR="00691EBC" w:rsidRPr="00691EBC" w:rsidRDefault="00691EBC" w:rsidP="00691EBC">
            <w:pPr>
              <w:spacing w:line="480" w:lineRule="auto"/>
              <w:jc w:val="both"/>
              <w:rPr>
                <w:rFonts w:ascii="Times New Roman" w:hAnsi="Times New Roman" w:cs="Times New Roman"/>
                <w:sz w:val="24"/>
                <w:szCs w:val="24"/>
              </w:rPr>
            </w:pPr>
          </w:p>
          <w:p w14:paraId="2ED2DFB4"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In conclusion, this essay has covered the relevant legislation, national guidance, local arrangements and organisational policies and procedures for safeguarding children in Wales. </w:t>
            </w:r>
          </w:p>
          <w:p w14:paraId="75DF59E2" w14:textId="77777777" w:rsidR="00FC0334" w:rsidRPr="00691EBC" w:rsidRDefault="00FC0334" w:rsidP="00691EBC">
            <w:pPr>
              <w:spacing w:line="480" w:lineRule="auto"/>
              <w:jc w:val="both"/>
              <w:rPr>
                <w:rFonts w:ascii="Times New Roman" w:hAnsi="Times New Roman" w:cs="Times New Roman"/>
                <w:sz w:val="24"/>
                <w:szCs w:val="24"/>
              </w:rPr>
            </w:pPr>
          </w:p>
          <w:p w14:paraId="26232808" w14:textId="688F0792"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(485)</w:t>
            </w:r>
          </w:p>
          <w:p w14:paraId="206514B9" w14:textId="77777777" w:rsidR="00FC0334" w:rsidRDefault="00FC0334" w:rsidP="00FF7EBB">
            <w:pPr>
              <w:jc w:val="both"/>
              <w:rPr>
                <w:sz w:val="24"/>
                <w:szCs w:val="24"/>
              </w:rPr>
            </w:pPr>
          </w:p>
          <w:p w14:paraId="60D8C669" w14:textId="77777777" w:rsidR="00FC0334" w:rsidRDefault="00FC0334" w:rsidP="00FF7EBB">
            <w:pPr>
              <w:jc w:val="both"/>
              <w:rPr>
                <w:sz w:val="24"/>
                <w:szCs w:val="24"/>
              </w:rPr>
            </w:pPr>
          </w:p>
          <w:p w14:paraId="774095BD" w14:textId="77777777" w:rsidR="00FC0334" w:rsidRPr="006108C9" w:rsidRDefault="00FC0334" w:rsidP="00FF7EBB">
            <w:pPr>
              <w:jc w:val="both"/>
              <w:rPr>
                <w:sz w:val="24"/>
                <w:szCs w:val="24"/>
              </w:rPr>
            </w:pPr>
          </w:p>
          <w:p w14:paraId="4FF8EBF3" w14:textId="77777777" w:rsidR="005A545C" w:rsidRDefault="005414F4" w:rsidP="00FF7EBB">
            <w:pPr>
              <w:jc w:val="both"/>
              <w:rPr>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r w:rsidR="007A628F">
              <w:rPr>
                <w:sz w:val="24"/>
                <w:szCs w:val="24"/>
              </w:rPr>
              <w:t>.</w:t>
            </w:r>
          </w:p>
          <w:p w14:paraId="03BD6D93" w14:textId="56AD433A" w:rsidR="007A628F" w:rsidRPr="008B28E7" w:rsidRDefault="007A628F" w:rsidP="00FF7EBB">
            <w:pPr>
              <w:jc w:val="both"/>
              <w:rPr>
                <w:b/>
                <w:sz w:val="24"/>
                <w:szCs w:val="24"/>
              </w:rPr>
            </w:pPr>
          </w:p>
        </w:tc>
      </w:tr>
    </w:tbl>
    <w:p w14:paraId="37E9CF73" w14:textId="77777777" w:rsidR="00AA666E" w:rsidRPr="008B28E7" w:rsidRDefault="00AA666E" w:rsidP="00FF7EBB">
      <w:pPr>
        <w:jc w:val="both"/>
        <w:rPr>
          <w:sz w:val="24"/>
          <w:szCs w:val="24"/>
        </w:rPr>
      </w:pPr>
    </w:p>
    <w:p w14:paraId="1FC83FC7" w14:textId="77777777" w:rsidR="00AA666E" w:rsidRPr="008B28E7" w:rsidRDefault="00AA666E" w:rsidP="00FF7EBB">
      <w:pPr>
        <w:jc w:val="both"/>
        <w:rPr>
          <w:sz w:val="24"/>
          <w:szCs w:val="24"/>
        </w:rPr>
      </w:pPr>
    </w:p>
    <w:p w14:paraId="60437654" w14:textId="77777777" w:rsidR="00AA666E" w:rsidRDefault="00AA666E" w:rsidP="00FF7EBB">
      <w:pPr>
        <w:jc w:val="both"/>
        <w:rPr>
          <w:sz w:val="24"/>
          <w:szCs w:val="24"/>
        </w:rPr>
      </w:pPr>
    </w:p>
    <w:tbl>
      <w:tblPr>
        <w:tblpPr w:leftFromText="180" w:rightFromText="180" w:vertAnchor="text" w:horzAnchor="margin" w:tblpY="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FC0334" w:rsidRPr="008B28E7" w14:paraId="3399E76C" w14:textId="77777777" w:rsidTr="00FC0334">
        <w:tc>
          <w:tcPr>
            <w:tcW w:w="10278" w:type="dxa"/>
          </w:tcPr>
          <w:p w14:paraId="171F67D5" w14:textId="77777777" w:rsidR="00FC0334" w:rsidRPr="00EB695F" w:rsidRDefault="00FC0334" w:rsidP="00FC0334">
            <w:pPr>
              <w:jc w:val="both"/>
              <w:rPr>
                <w:b/>
                <w:sz w:val="24"/>
                <w:szCs w:val="24"/>
              </w:rPr>
            </w:pPr>
            <w:r w:rsidRPr="00EB695F">
              <w:rPr>
                <w:b/>
                <w:sz w:val="24"/>
                <w:szCs w:val="24"/>
              </w:rPr>
              <w:t>Question</w:t>
            </w:r>
            <w:r>
              <w:rPr>
                <w:b/>
                <w:sz w:val="24"/>
                <w:szCs w:val="24"/>
              </w:rPr>
              <w:t xml:space="preserve"> b</w:t>
            </w:r>
            <w:r w:rsidRPr="00EB695F">
              <w:rPr>
                <w:b/>
                <w:sz w:val="24"/>
                <w:szCs w:val="24"/>
              </w:rPr>
              <w:t>:</w:t>
            </w:r>
          </w:p>
          <w:p w14:paraId="2ADF1EC3" w14:textId="58E4B8DE" w:rsidR="00FC0334" w:rsidRDefault="00FC0334" w:rsidP="00FC0334">
            <w:pPr>
              <w:jc w:val="both"/>
              <w:rPr>
                <w:sz w:val="24"/>
                <w:szCs w:val="24"/>
              </w:rPr>
            </w:pPr>
            <w:r w:rsidRPr="006108C9">
              <w:rPr>
                <w:sz w:val="24"/>
                <w:szCs w:val="24"/>
              </w:rPr>
              <w:t>Reflect on the difference between safeguarding in adul</w:t>
            </w:r>
            <w:r w:rsidRPr="00EC3A85">
              <w:rPr>
                <w:sz w:val="24"/>
                <w:szCs w:val="24"/>
              </w:rPr>
              <w:t>t</w:t>
            </w:r>
            <w:r w:rsidR="00C63CAB" w:rsidRPr="00EC3A85">
              <w:rPr>
                <w:sz w:val="24"/>
                <w:szCs w:val="24"/>
              </w:rPr>
              <w:t>s’</w:t>
            </w:r>
            <w:r w:rsidRPr="006108C9">
              <w:rPr>
                <w:sz w:val="24"/>
                <w:szCs w:val="24"/>
              </w:rPr>
              <w:t xml:space="preserve"> and children</w:t>
            </w:r>
            <w:r w:rsidR="007A628F">
              <w:rPr>
                <w:sz w:val="24"/>
                <w:szCs w:val="24"/>
              </w:rPr>
              <w:t>’s</w:t>
            </w:r>
            <w:r w:rsidRPr="006108C9">
              <w:rPr>
                <w:sz w:val="24"/>
                <w:szCs w:val="24"/>
              </w:rPr>
              <w:t xml:space="preserve"> work</w:t>
            </w:r>
          </w:p>
          <w:p w14:paraId="4CABE426" w14:textId="77777777" w:rsidR="00FC0334" w:rsidRDefault="00FC0334" w:rsidP="00FC0334">
            <w:pPr>
              <w:jc w:val="both"/>
              <w:rPr>
                <w:sz w:val="24"/>
                <w:szCs w:val="24"/>
              </w:rPr>
            </w:pPr>
          </w:p>
          <w:p w14:paraId="795C6051" w14:textId="77777777" w:rsidR="00FC0334" w:rsidRDefault="00FC0334" w:rsidP="00FC0334">
            <w:pPr>
              <w:jc w:val="both"/>
              <w:rPr>
                <w:sz w:val="24"/>
                <w:szCs w:val="24"/>
              </w:rPr>
            </w:pPr>
          </w:p>
          <w:p w14:paraId="286B14E9"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Safeguarding adults and children both aim to protect people from abuse, neglect and harm. However, there are important differences in how safeguarding is approached, particularly around consent, capacity, autonomy and the level of protection required. One of the main differences is consent and capacity. In adult safeguarding, an adult who has capacity has the right to make their own decisions, even where professionals believe that the decision may place them at risk, which is in line with the principles of the Mental Capacity Act 2005. Where possible, their consent should be sought before safeguarding action is taken, and they may choose not to consent. Their wishes, feelings and desired outcomes should therefore be considered throughout the safeguarding process (Wales Safeguarding Procedures, 2019). However, there are circumstances where safeguarding action may need to be taken </w:t>
            </w:r>
            <w:r w:rsidRPr="00691EBC">
              <w:rPr>
                <w:rFonts w:ascii="Times New Roman" w:hAnsi="Times New Roman" w:cs="Times New Roman"/>
                <w:sz w:val="24"/>
                <w:szCs w:val="24"/>
              </w:rPr>
              <w:lastRenderedPageBreak/>
              <w:t>without consent. This means that safeguarding adults involves balancing protection with the person’s right to autonomy (Spreadbury and Hubbard, 2020).</w:t>
            </w:r>
          </w:p>
          <w:p w14:paraId="1072F0F1" w14:textId="77777777" w:rsidR="00691EBC" w:rsidRPr="00691EBC" w:rsidRDefault="00691EBC" w:rsidP="00691EBC">
            <w:pPr>
              <w:spacing w:line="480" w:lineRule="auto"/>
              <w:jc w:val="both"/>
              <w:rPr>
                <w:rFonts w:ascii="Times New Roman" w:hAnsi="Times New Roman" w:cs="Times New Roman"/>
                <w:sz w:val="24"/>
                <w:szCs w:val="24"/>
              </w:rPr>
            </w:pPr>
          </w:p>
          <w:p w14:paraId="2F0DF754"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Safeguarding children is different because under the Children Act 1989, the child’s welfare should be paramount consideration in decision-making. Children may be dependent on adults for their care and may not always be able to recognise or communicate risks themselves. Their wishes and feelings should still be listened to and considered. This reflects the principles of the Social Services and Well-being (Wales) Act 2014, which emphasises the child’s voice and participation. However, where there are concerns about their safety, professionals must consider whether the relevant safeguarding threshold has been met and what action is needed to protect them (Welsh Government, 2018). </w:t>
            </w:r>
          </w:p>
          <w:p w14:paraId="0EC2CC4A" w14:textId="77777777" w:rsidR="00691EBC" w:rsidRPr="00691EBC" w:rsidRDefault="00691EBC" w:rsidP="00691EBC">
            <w:pPr>
              <w:spacing w:line="480" w:lineRule="auto"/>
              <w:jc w:val="both"/>
              <w:rPr>
                <w:rFonts w:ascii="Times New Roman" w:hAnsi="Times New Roman" w:cs="Times New Roman"/>
                <w:sz w:val="24"/>
                <w:szCs w:val="24"/>
              </w:rPr>
            </w:pPr>
          </w:p>
          <w:p w14:paraId="45D60C56" w14:textId="77777777" w:rsidR="00691EBC"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Gillick competence is another important difference. A child under 16 may be able to make certain decisions if they have sufficient maturity and understanding of the decision. Therefore, professionals should consider the individual child’s understanding rather than relying solely on their age. However, where there are concerns about the child’s safety, their protection takes priority and information may need to be shared even if it is against the child’s wishes (NSPCC, 2022). </w:t>
            </w:r>
          </w:p>
          <w:p w14:paraId="13048797" w14:textId="77777777" w:rsidR="00691EBC" w:rsidRPr="00691EBC" w:rsidRDefault="00691EBC" w:rsidP="00691EBC">
            <w:pPr>
              <w:spacing w:line="480" w:lineRule="auto"/>
              <w:jc w:val="both"/>
              <w:rPr>
                <w:rFonts w:ascii="Times New Roman" w:hAnsi="Times New Roman" w:cs="Times New Roman"/>
                <w:sz w:val="24"/>
                <w:szCs w:val="24"/>
              </w:rPr>
            </w:pPr>
          </w:p>
          <w:p w14:paraId="67E7ED72" w14:textId="10695486" w:rsidR="00FC0334" w:rsidRPr="00691EBC" w:rsidRDefault="00691EBC" w:rsidP="00691EBC">
            <w:pPr>
              <w:spacing w:line="480" w:lineRule="auto"/>
              <w:jc w:val="both"/>
              <w:rPr>
                <w:rFonts w:ascii="Times New Roman" w:hAnsi="Times New Roman" w:cs="Times New Roman"/>
                <w:sz w:val="24"/>
                <w:szCs w:val="24"/>
              </w:rPr>
            </w:pPr>
            <w:r w:rsidRPr="00691EBC">
              <w:rPr>
                <w:rFonts w:ascii="Times New Roman" w:hAnsi="Times New Roman" w:cs="Times New Roman"/>
                <w:sz w:val="24"/>
                <w:szCs w:val="24"/>
              </w:rPr>
              <w:t xml:space="preserve">Overall, the differences between adult and children’s safeguarding are mainly linked to autonomy, capacity, welfare and protection. Adults with capacity have the right to make their own decisions, whereas children’s safeguarding requires professionals to consider their welfare, wishes and feelings alongside the risks they may face. The use of Gillick competence also means that a child’s age alone does not determine their ability to make decisions. These differences mean that professionals need to adapt their approach depending on whether they are safeguarding an adult or a child. </w:t>
            </w:r>
          </w:p>
          <w:p w14:paraId="478D2F84" w14:textId="77777777" w:rsidR="00FC0334" w:rsidRDefault="00FC0334" w:rsidP="00FC0334">
            <w:pPr>
              <w:jc w:val="both"/>
              <w:rPr>
                <w:sz w:val="24"/>
                <w:szCs w:val="24"/>
              </w:rPr>
            </w:pPr>
          </w:p>
          <w:p w14:paraId="0E64B386" w14:textId="77777777" w:rsidR="00FC0334" w:rsidRDefault="00FC0334" w:rsidP="00FC0334">
            <w:pPr>
              <w:jc w:val="both"/>
              <w:rPr>
                <w:sz w:val="24"/>
                <w:szCs w:val="24"/>
              </w:rPr>
            </w:pPr>
          </w:p>
          <w:p w14:paraId="4847C39E" w14:textId="04DABD8B" w:rsidR="00FC0334" w:rsidRPr="00691EBC" w:rsidRDefault="00691EBC" w:rsidP="00FC0334">
            <w:pPr>
              <w:jc w:val="both"/>
              <w:rPr>
                <w:rFonts w:ascii="Times New Roman" w:hAnsi="Times New Roman" w:cs="Times New Roman"/>
                <w:sz w:val="24"/>
                <w:szCs w:val="24"/>
              </w:rPr>
            </w:pPr>
            <w:r w:rsidRPr="00691EBC">
              <w:rPr>
                <w:rFonts w:ascii="Times New Roman" w:hAnsi="Times New Roman" w:cs="Times New Roman"/>
                <w:sz w:val="24"/>
                <w:szCs w:val="24"/>
              </w:rPr>
              <w:t>(414)</w:t>
            </w:r>
          </w:p>
          <w:p w14:paraId="04285720" w14:textId="77777777" w:rsidR="00FC0334" w:rsidRDefault="00FC0334" w:rsidP="00FC0334">
            <w:pPr>
              <w:jc w:val="both"/>
              <w:rPr>
                <w:sz w:val="24"/>
                <w:szCs w:val="24"/>
              </w:rPr>
            </w:pPr>
          </w:p>
          <w:p w14:paraId="1AA3081F" w14:textId="77777777" w:rsidR="00FC0334" w:rsidRDefault="00FC0334" w:rsidP="00FC0334">
            <w:pPr>
              <w:jc w:val="both"/>
              <w:rPr>
                <w:sz w:val="24"/>
                <w:szCs w:val="24"/>
              </w:rPr>
            </w:pPr>
          </w:p>
          <w:p w14:paraId="7B7B4827" w14:textId="77777777" w:rsidR="00FC0334" w:rsidRDefault="00FC0334" w:rsidP="00FC0334">
            <w:pPr>
              <w:jc w:val="both"/>
              <w:rPr>
                <w:sz w:val="24"/>
                <w:szCs w:val="24"/>
              </w:rPr>
            </w:pPr>
          </w:p>
          <w:p w14:paraId="438BF787" w14:textId="77777777" w:rsidR="00FC0334" w:rsidRPr="006108C9" w:rsidRDefault="00FC0334" w:rsidP="00FC0334">
            <w:pPr>
              <w:jc w:val="both"/>
              <w:rPr>
                <w:sz w:val="24"/>
                <w:szCs w:val="24"/>
              </w:rPr>
            </w:pPr>
          </w:p>
          <w:p w14:paraId="6BA3DD84" w14:textId="0013357A" w:rsidR="00FC0334" w:rsidRDefault="00FC0334" w:rsidP="00FC0334">
            <w:pPr>
              <w:jc w:val="both"/>
              <w:rPr>
                <w:i/>
                <w:sz w:val="24"/>
                <w:szCs w:val="24"/>
              </w:rPr>
            </w:pPr>
            <w:r>
              <w:rPr>
                <w:i/>
                <w:sz w:val="24"/>
                <w:szCs w:val="24"/>
              </w:rPr>
              <w:t>4</w:t>
            </w:r>
            <w:r w:rsidRPr="006108C9">
              <w:rPr>
                <w:i/>
                <w:sz w:val="24"/>
                <w:szCs w:val="24"/>
              </w:rPr>
              <w:t>00 words</w:t>
            </w:r>
            <w:r w:rsidRPr="006108C9">
              <w:rPr>
                <w:sz w:val="24"/>
                <w:szCs w:val="24"/>
              </w:rPr>
              <w:t xml:space="preserve"> </w:t>
            </w:r>
            <w:r w:rsidRPr="006108C9">
              <w:rPr>
                <w:i/>
                <w:sz w:val="24"/>
                <w:szCs w:val="24"/>
              </w:rPr>
              <w:t>(+/- 10%: include your actual word count at the end of each section)</w:t>
            </w:r>
            <w:r w:rsidR="007A628F">
              <w:rPr>
                <w:i/>
                <w:sz w:val="24"/>
                <w:szCs w:val="24"/>
              </w:rPr>
              <w:t>.</w:t>
            </w:r>
          </w:p>
          <w:p w14:paraId="08760B3D" w14:textId="77777777" w:rsidR="00FC0334" w:rsidRPr="006108C9" w:rsidRDefault="00FC0334" w:rsidP="00FC0334">
            <w:pPr>
              <w:jc w:val="both"/>
              <w:rPr>
                <w:sz w:val="24"/>
                <w:szCs w:val="24"/>
              </w:rPr>
            </w:pPr>
          </w:p>
        </w:tc>
      </w:tr>
    </w:tbl>
    <w:p w14:paraId="76FCF233" w14:textId="77777777" w:rsidR="00FC0334" w:rsidRDefault="00FC0334" w:rsidP="00FC0334">
      <w:pPr>
        <w:rPr>
          <w:sz w:val="24"/>
          <w:szCs w:val="24"/>
        </w:rPr>
      </w:pPr>
    </w:p>
    <w:sectPr w:rsidR="00FC033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3FA23D3" w14:textId="77777777" w:rsidR="00015341" w:rsidRDefault="00015341">
      <w:r>
        <w:separator/>
      </w:r>
    </w:p>
  </w:endnote>
  <w:endnote w:type="continuationSeparator" w:id="0">
    <w:p w14:paraId="5CF79F12" w14:textId="77777777" w:rsidR="00015341" w:rsidRDefault="00015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FA3DEAF" w14:textId="311829FB" w:rsidR="00A5656A" w:rsidRDefault="00A5656A">
    <w:pPr>
      <w:pStyle w:val="Footer"/>
      <w:jc w:val="right"/>
    </w:pPr>
    <w:r>
      <w:fldChar w:fldCharType="begin"/>
    </w:r>
    <w:r>
      <w:instrText xml:space="preserve"> PAGE   \* MERGEFORMAT </w:instrText>
    </w:r>
    <w:r>
      <w:fldChar w:fldCharType="separate"/>
    </w:r>
    <w:r w:rsidR="006F1438">
      <w:rPr>
        <w:noProof/>
      </w:rPr>
      <w:t>2</w:t>
    </w:r>
    <w:r w:rsidR="006F1438">
      <w:rPr>
        <w:noProof/>
      </w:rPr>
      <w:t>4</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077C81" w14:textId="77777777" w:rsidR="00015341" w:rsidRDefault="00015341">
      <w:r>
        <w:separator/>
      </w:r>
    </w:p>
  </w:footnote>
  <w:footnote w:type="continuationSeparator" w:id="0">
    <w:p w14:paraId="430B82C5" w14:textId="77777777" w:rsidR="00015341" w:rsidRDefault="0001534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968662216">
    <w:abstractNumId w:val="1"/>
    <w:lvlOverride w:ilvl="0">
      <w:lvl w:ilvl="0">
        <w:start w:val="1"/>
        <w:numFmt w:val="bullet"/>
        <w:lvlText w:val=""/>
        <w:lvlJc w:val="left"/>
        <w:pPr>
          <w:ind w:left="720" w:hanging="360"/>
        </w:pPr>
        <w:rPr>
          <w:rFonts w:ascii="Symbol" w:hAnsi="Symbol" w:hint="default"/>
        </w:rPr>
      </w:lvl>
    </w:lvlOverride>
  </w:num>
  <w:num w:numId="2" w16cid:durableId="270674470">
    <w:abstractNumId w:val="22"/>
  </w:num>
  <w:num w:numId="3" w16cid:durableId="1938977855">
    <w:abstractNumId w:val="45"/>
  </w:num>
  <w:num w:numId="4" w16cid:durableId="1850633156">
    <w:abstractNumId w:val="47"/>
  </w:num>
  <w:num w:numId="5" w16cid:durableId="2042589495">
    <w:abstractNumId w:val="34"/>
  </w:num>
  <w:num w:numId="6" w16cid:durableId="933980368">
    <w:abstractNumId w:val="32"/>
  </w:num>
  <w:num w:numId="7" w16cid:durableId="1060399973">
    <w:abstractNumId w:val="29"/>
  </w:num>
  <w:num w:numId="8" w16cid:durableId="1237400777">
    <w:abstractNumId w:val="30"/>
  </w:num>
  <w:num w:numId="9" w16cid:durableId="1914463563">
    <w:abstractNumId w:val="10"/>
  </w:num>
  <w:num w:numId="10" w16cid:durableId="693307142">
    <w:abstractNumId w:val="33"/>
  </w:num>
  <w:num w:numId="11" w16cid:durableId="141846751">
    <w:abstractNumId w:val="17"/>
  </w:num>
  <w:num w:numId="12" w16cid:durableId="1310867263">
    <w:abstractNumId w:val="16"/>
  </w:num>
  <w:num w:numId="13" w16cid:durableId="65736213">
    <w:abstractNumId w:val="27"/>
  </w:num>
  <w:num w:numId="14" w16cid:durableId="825441142">
    <w:abstractNumId w:val="8"/>
  </w:num>
  <w:num w:numId="15" w16cid:durableId="1016493186">
    <w:abstractNumId w:val="26"/>
  </w:num>
  <w:num w:numId="16" w16cid:durableId="1273785188">
    <w:abstractNumId w:val="15"/>
  </w:num>
  <w:num w:numId="17" w16cid:durableId="431317323">
    <w:abstractNumId w:val="13"/>
  </w:num>
  <w:num w:numId="18" w16cid:durableId="1020622863">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85028592">
    <w:abstractNumId w:val="23"/>
  </w:num>
  <w:num w:numId="20" w16cid:durableId="413284070">
    <w:abstractNumId w:val="18"/>
  </w:num>
  <w:num w:numId="21" w16cid:durableId="798959287">
    <w:abstractNumId w:val="14"/>
  </w:num>
  <w:num w:numId="22" w16cid:durableId="352731724">
    <w:abstractNumId w:val="11"/>
  </w:num>
  <w:num w:numId="23" w16cid:durableId="456266206">
    <w:abstractNumId w:val="28"/>
  </w:num>
  <w:num w:numId="24" w16cid:durableId="317615789">
    <w:abstractNumId w:val="19"/>
  </w:num>
  <w:num w:numId="25" w16cid:durableId="856430468">
    <w:abstractNumId w:val="41"/>
  </w:num>
  <w:num w:numId="26" w16cid:durableId="1104690971">
    <w:abstractNumId w:val="35"/>
  </w:num>
  <w:num w:numId="27" w16cid:durableId="1201670287">
    <w:abstractNumId w:val="40"/>
  </w:num>
  <w:num w:numId="28" w16cid:durableId="598562144">
    <w:abstractNumId w:val="20"/>
  </w:num>
  <w:num w:numId="29" w16cid:durableId="871068292">
    <w:abstractNumId w:val="43"/>
  </w:num>
  <w:num w:numId="30" w16cid:durableId="482159744">
    <w:abstractNumId w:val="31"/>
  </w:num>
  <w:num w:numId="31" w16cid:durableId="1565527110">
    <w:abstractNumId w:val="12"/>
  </w:num>
  <w:num w:numId="32" w16cid:durableId="1175995731">
    <w:abstractNumId w:val="44"/>
  </w:num>
  <w:num w:numId="33" w16cid:durableId="694232600">
    <w:abstractNumId w:val="39"/>
  </w:num>
  <w:num w:numId="34" w16cid:durableId="1062095063">
    <w:abstractNumId w:val="5"/>
  </w:num>
  <w:num w:numId="35" w16cid:durableId="2051881075">
    <w:abstractNumId w:val="46"/>
  </w:num>
  <w:num w:numId="36" w16cid:durableId="2107188112">
    <w:abstractNumId w:val="42"/>
  </w:num>
  <w:num w:numId="37" w16cid:durableId="1313413796">
    <w:abstractNumId w:val="36"/>
  </w:num>
  <w:num w:numId="38" w16cid:durableId="1682197957">
    <w:abstractNumId w:val="37"/>
  </w:num>
  <w:num w:numId="39" w16cid:durableId="340203735">
    <w:abstractNumId w:val="4"/>
  </w:num>
  <w:num w:numId="40" w16cid:durableId="1266502755">
    <w:abstractNumId w:val="6"/>
  </w:num>
  <w:num w:numId="41" w16cid:durableId="2138642120">
    <w:abstractNumId w:val="25"/>
  </w:num>
  <w:num w:numId="42" w16cid:durableId="2082366208">
    <w:abstractNumId w:val="7"/>
  </w:num>
  <w:num w:numId="43" w16cid:durableId="488403910">
    <w:abstractNumId w:val="3"/>
  </w:num>
  <w:num w:numId="44" w16cid:durableId="210268195">
    <w:abstractNumId w:val="38"/>
  </w:num>
  <w:num w:numId="45" w16cid:durableId="891695978">
    <w:abstractNumId w:val="0"/>
  </w:num>
  <w:num w:numId="46" w16cid:durableId="827289017">
    <w:abstractNumId w:val="14"/>
  </w:num>
  <w:num w:numId="47" w16cid:durableId="167212813">
    <w:abstractNumId w:val="48"/>
  </w:num>
  <w:num w:numId="48" w16cid:durableId="1210147369">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16cid:durableId="2136363939">
    <w:abstractNumId w:val="11"/>
  </w:num>
  <w:num w:numId="50" w16cid:durableId="1163856707">
    <w:abstractNumId w:val="28"/>
  </w:num>
  <w:num w:numId="51" w16cid:durableId="536360681">
    <w:abstractNumId w:val="24"/>
  </w:num>
  <w:num w:numId="52" w16cid:durableId="1666274935">
    <w:abstractNumId w:val="21"/>
  </w:num>
  <w:num w:numId="53" w16cid:durableId="435172075">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138E"/>
    <w:rsid w:val="00002C7A"/>
    <w:rsid w:val="000045B8"/>
    <w:rsid w:val="00011F6E"/>
    <w:rsid w:val="00012B16"/>
    <w:rsid w:val="00015341"/>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374F"/>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1EBC"/>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37336"/>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1D09"/>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2E0D"/>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0497"/>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A004268-9B46-4F3E-94F9-557DC358163B}">
  <ds:schemaRefs>
    <ds:schemaRef ds:uri="http://schemas.openxmlformats.org/officeDocument/2006/bibliography"/>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6</Pages>
  <Words>1120</Words>
  <Characters>6385</Characters>
  <Application>Microsoft Office Word</Application>
  <DocSecurity>0</DocSecurity>
  <Lines>53</Lines>
  <Paragraphs>14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7491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Rhodd Niamh Young (OEDOLION)</cp:lastModifiedBy>
  <cp:revision>3</cp:revision>
  <cp:lastPrinted>2020-02-11T19:20:00Z</cp:lastPrinted>
  <dcterms:created xsi:type="dcterms:W3CDTF">2026-10-04T11:36:00Z</dcterms:created>
  <dcterms:modified xsi:type="dcterms:W3CDTF">2026-10-04T11:38:00Z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