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word/document.xml" ContentType="application/vnd.openxmlformats-officedocument.wordprocessingml.document.main+xml"/>
  <Override PartName="/word/fontTable.xml" ContentType="application/vnd.openxmlformats-officedocument.wordprocessingml.fontTable+xml"/>
  <Override PartName="/word/footer1.xml" ContentType="application/vnd.openxmlformats-officedocument.wordprocessingml.footer+xml"/>
  <Override PartName="/word/header1.xml" ContentType="application/vnd.openxmlformats-officedocument.wordprocessingml.header+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stylesWithEffects.xml" ContentType="application/vnd.ms-word.stylesWithEffects+xml"/>
  <Override PartName="/word/theme/theme1.xml" ContentType="application/vnd.openxmlformats-officedocument.theme+xml"/>
  <Override PartName="/word/webSettings.xml" ContentType="application/vnd.openxmlformats-officedocument.wordprocessingml.webSetting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p/>
    <w:p/>
    <w:p/>
    <w:p>
      <w:pPr>
        <w:jc w:val="center"/>
      </w:pPr>
      <w:r>
        <w:rPr>
          <w:rFonts w:ascii="Times New Roman" w:hAnsi="Times New Roman"/>
          <w:b/>
          <w:sz w:val="28"/>
        </w:rPr>
        <w:t>LCLM5003 Project Management</w:t>
      </w:r>
    </w:p>
    <w:p>
      <w:pPr>
        <w:jc w:val="center"/>
      </w:pPr>
      <w:r>
        <w:rPr>
          <w:rFonts w:ascii="Times New Roman" w:hAnsi="Times New Roman"/>
          <w:sz w:val="24"/>
        </w:rPr>
        <w:t>Assessment Portfolio</w:t>
      </w:r>
    </w:p>
    <w:p/>
    <w:p/>
    <w:p>
      <w:pPr>
        <w:jc w:val="center"/>
      </w:pPr>
      <w:r>
        <w:rPr>
          <w:rFonts w:ascii="Times New Roman" w:hAnsi="Times New Roman"/>
          <w:b/>
          <w:sz w:val="36"/>
        </w:rPr>
        <w:t>Sustainable Redesign of the Central Transport Hub</w:t>
      </w:r>
    </w:p>
    <w:p>
      <w:pPr>
        <w:jc w:val="center"/>
      </w:pPr>
      <w:r>
        <w:rPr>
          <w:rFonts w:ascii="Times New Roman" w:hAnsi="Times New Roman"/>
          <w:sz w:val="24"/>
        </w:rPr>
        <w:t>Meeting net-zero transport objectives through accessible and resilient urban mobility</w:t>
      </w:r>
    </w:p>
    <w:p/>
    <w:p/>
    <w:p/>
    <w:p/>
    <w:p>
      <w:pPr>
        <w:spacing w:after="120"/>
        <w:jc w:val="center"/>
      </w:pPr>
      <w:r>
        <w:rPr>
          <w:rFonts w:ascii="Times New Roman" w:hAnsi="Times New Roman"/>
          <w:b/>
          <w:sz w:val="24"/>
        </w:rPr>
        <w:t xml:space="preserve">Student Name: </w:t>
      </w:r>
      <w:r>
        <w:rPr>
          <w:rFonts w:ascii="Times New Roman" w:hAnsi="Times New Roman"/>
          <w:sz w:val="24"/>
        </w:rPr>
        <w:t>Plamena Petrova</w:t>
      </w:r>
    </w:p>
    <w:p>
      <w:pPr>
        <w:spacing w:after="120"/>
        <w:jc w:val="center"/>
      </w:pPr>
      <w:r>
        <w:rPr>
          <w:rFonts w:ascii="Times New Roman" w:hAnsi="Times New Roman"/>
          <w:b/>
          <w:sz w:val="24"/>
        </w:rPr>
        <w:t xml:space="preserve">Student ID: </w:t>
      </w:r>
      <w:r>
        <w:rPr>
          <w:rFonts w:ascii="Times New Roman" w:hAnsi="Times New Roman"/>
          <w:sz w:val="24"/>
        </w:rPr>
        <w:t>2419095</w:t>
      </w:r>
    </w:p>
    <w:p>
      <w:pPr>
        <w:spacing w:after="120"/>
        <w:jc w:val="center"/>
      </w:pPr>
      <w:r>
        <w:rPr>
          <w:rFonts w:ascii="Times New Roman" w:hAnsi="Times New Roman"/>
          <w:b/>
          <w:sz w:val="24"/>
        </w:rPr>
        <w:t xml:space="preserve">Programme: </w:t>
      </w:r>
      <w:r>
        <w:rPr>
          <w:rFonts w:ascii="Times New Roman" w:hAnsi="Times New Roman"/>
          <w:sz w:val="24"/>
        </w:rPr>
        <w:t>BA (Hons) Leadership and Management Skills in the Workplace</w:t>
      </w:r>
    </w:p>
    <w:p>
      <w:pPr>
        <w:spacing w:after="120"/>
        <w:jc w:val="center"/>
      </w:pPr>
      <w:r>
        <w:rPr>
          <w:rFonts w:ascii="Times New Roman" w:hAnsi="Times New Roman"/>
          <w:b/>
          <w:sz w:val="24"/>
        </w:rPr>
        <w:t xml:space="preserve">Module: </w:t>
      </w:r>
      <w:r>
        <w:rPr>
          <w:rFonts w:ascii="Times New Roman" w:hAnsi="Times New Roman"/>
          <w:sz w:val="24"/>
        </w:rPr>
        <w:t>LCLM5003 Project Management</w:t>
      </w:r>
    </w:p>
    <w:p>
      <w:pPr>
        <w:spacing w:after="120"/>
        <w:jc w:val="center"/>
      </w:pPr>
      <w:r>
        <w:rPr>
          <w:rFonts w:ascii="Times New Roman" w:hAnsi="Times New Roman"/>
          <w:b/>
          <w:sz w:val="24"/>
        </w:rPr>
        <w:t xml:space="preserve">Module Leader: </w:t>
      </w:r>
      <w:r>
        <w:rPr>
          <w:rFonts w:ascii="Times New Roman" w:hAnsi="Times New Roman"/>
          <w:sz w:val="24"/>
        </w:rPr>
        <w:t>Kareem Sani</w:t>
      </w:r>
    </w:p>
    <w:p>
      <w:pPr>
        <w:spacing w:after="120"/>
        <w:jc w:val="center"/>
      </w:pPr>
      <w:r>
        <w:rPr>
          <w:rFonts w:ascii="Times New Roman" w:hAnsi="Times New Roman"/>
          <w:b/>
          <w:sz w:val="24"/>
        </w:rPr>
        <w:t xml:space="preserve">Submission Deadline: </w:t>
      </w:r>
      <w:r>
        <w:rPr>
          <w:rFonts w:ascii="Times New Roman" w:hAnsi="Times New Roman"/>
          <w:sz w:val="24"/>
        </w:rPr>
        <w:t>27 July 2026</w:t>
      </w:r>
    </w:p>
    <w:p>
      <w:r>
        <w:br w:type="page"/>
      </w:r>
    </w:p>
    <w:p>
      <w:pPr>
        <w:pStyle w:val="Heading1"/>
      </w:pPr>
      <w:r>
        <w:rPr>
          <w:rFonts w:ascii="Times New Roman" w:hAnsi="Times New Roman"/>
        </w:rPr>
        <w:t>Executive Summary</w:t>
      </w:r>
    </w:p>
    <w:p>
      <w:pPr>
        <w:jc w:val="both"/>
      </w:pPr>
      <w:r>
        <w:rPr>
          <w:rFonts w:ascii="Times New Roman" w:hAnsi="Times New Roman"/>
          <w:b w:val="0"/>
          <w:i w:val="0"/>
          <w:sz w:val="24"/>
        </w:rPr>
        <w:t>This portfolio provides a full project management response to the closure of a major UK transport hub in November 2025. A structural inspection finds the hub unsafe and no longer fit for accessibility standards. The closure causes wide disruption to commuters, freight and local business (Department for Transport, 2024). From the four regeneration options in the scenario, the sustainable redesign option is selected because it offers the strongest long-term response and also supports the UK Net Zero Strategy (HM Government, 2021).</w:t>
      </w:r>
    </w:p>
    <w:p>
      <w:pPr>
        <w:jc w:val="both"/>
      </w:pPr>
      <w:r>
        <w:rPr>
          <w:rFonts w:ascii="Times New Roman" w:hAnsi="Times New Roman"/>
          <w:b w:val="0"/>
          <w:i w:val="0"/>
          <w:sz w:val="24"/>
        </w:rPr>
        <w:t>The portfolio has three parts. Part A is a project proposal poster used to pitch the redesign to stakeholders. Part B is a critical reflection on the tutor and peer feedback received on the poster. Part C is a detailed project management plan of 2,500 words covering scope definition, a work breakdown structure, a quad chart, a Gantt chart, stakeholder analysis, resource allocation and risk analysis.</w:t>
      </w:r>
    </w:p>
    <w:p>
      <w:pPr>
        <w:jc w:val="both"/>
      </w:pPr>
      <w:r>
        <w:rPr>
          <w:rFonts w:ascii="Times New Roman" w:hAnsi="Times New Roman"/>
          <w:b w:val="0"/>
          <w:i w:val="0"/>
          <w:sz w:val="24"/>
        </w:rPr>
        <w:t>The proposed project runs for 18 months with a budget of £15 million. The plan applies recognised project management frameworks including the PMBOK Guide (Project Management Institute, 2021), the APM Body of Knowledge (Association for Project Management, 2019), Kerzner (2022), Mendelow's Power/Interest Matrix (Mendelow, 1991) and the SMART objective framework (Doran, 1981). The portfolio shows how these tools deliver a safer, more accessible and lower-carbon interchange for the city (Banister, 2008; UK Green Building Council, 2021).</w:t>
      </w:r>
    </w:p>
    <w:p>
      <w:r>
        <w:br w:type="page"/>
      </w:r>
    </w:p>
    <w:p>
      <w:pPr>
        <w:pStyle w:val="Heading1"/>
      </w:pPr>
      <w:r>
        <w:rPr>
          <w:rFonts w:ascii="Times New Roman" w:hAnsi="Times New Roman"/>
        </w:rPr>
        <w:t>Contents</w:t>
      </w:r>
    </w:p>
    <w:p>
      <w:pPr>
        <w:tabs>
          <w:tab w:pos="8787" w:val="right"/>
        </w:tabs>
        <w:spacing w:after="80"/>
      </w:pPr>
      <w:r>
        <w:rPr>
          <w:rFonts w:ascii="Times New Roman" w:hAnsi="Times New Roman"/>
          <w:b/>
          <w:sz w:val="24"/>
        </w:rPr>
        <w:t>Executive Summary</w:t>
        <w:tab/>
        <w:t>2</w:t>
      </w:r>
    </w:p>
    <w:p>
      <w:pPr>
        <w:tabs>
          <w:tab w:pos="8787" w:val="right"/>
        </w:tabs>
        <w:spacing w:after="80"/>
      </w:pPr>
      <w:r>
        <w:rPr>
          <w:rFonts w:ascii="Times New Roman" w:hAnsi="Times New Roman"/>
          <w:b/>
          <w:sz w:val="24"/>
        </w:rPr>
        <w:t>List of Tables</w:t>
        <w:tab/>
        <w:t>4</w:t>
      </w:r>
    </w:p>
    <w:p>
      <w:pPr>
        <w:tabs>
          <w:tab w:pos="8787" w:val="right"/>
        </w:tabs>
        <w:spacing w:after="80"/>
      </w:pPr>
      <w:r>
        <w:rPr>
          <w:rFonts w:ascii="Times New Roman" w:hAnsi="Times New Roman"/>
          <w:b/>
          <w:sz w:val="24"/>
        </w:rPr>
        <w:t>List of Figures</w:t>
        <w:tab/>
        <w:t>4</w:t>
      </w:r>
    </w:p>
    <w:p>
      <w:pPr>
        <w:tabs>
          <w:tab w:pos="8787" w:val="right"/>
        </w:tabs>
        <w:spacing w:after="80"/>
      </w:pPr>
      <w:r>
        <w:rPr>
          <w:rFonts w:ascii="Times New Roman" w:hAnsi="Times New Roman"/>
          <w:b/>
          <w:sz w:val="24"/>
        </w:rPr>
        <w:t>List of Abbreviations</w:t>
        <w:tab/>
        <w:t>4</w:t>
      </w:r>
    </w:p>
    <w:p>
      <w:pPr>
        <w:tabs>
          <w:tab w:pos="8787" w:val="right"/>
        </w:tabs>
        <w:spacing w:after="80"/>
      </w:pPr>
      <w:r>
        <w:rPr>
          <w:rFonts w:ascii="Times New Roman" w:hAnsi="Times New Roman"/>
          <w:b/>
          <w:sz w:val="24"/>
        </w:rPr>
        <w:t>Part A: Project Proposal Poster</w:t>
        <w:tab/>
        <w:t>5</w:t>
      </w:r>
    </w:p>
    <w:p>
      <w:pPr>
        <w:tabs>
          <w:tab w:pos="8787" w:val="right"/>
        </w:tabs>
        <w:spacing w:after="80"/>
      </w:pPr>
      <w:r>
        <w:rPr>
          <w:rFonts w:ascii="Times New Roman" w:hAnsi="Times New Roman"/>
          <w:b/>
          <w:sz w:val="24"/>
        </w:rPr>
        <w:t>Part B: Critical Reflection on Feedback</w:t>
        <w:tab/>
        <w:t>6</w:t>
      </w:r>
    </w:p>
    <w:p>
      <w:pPr>
        <w:tabs>
          <w:tab w:pos="8787" w:val="right"/>
        </w:tabs>
        <w:spacing w:after="80"/>
      </w:pPr>
      <w:r>
        <w:rPr>
          <w:rFonts w:ascii="Times New Roman" w:hAnsi="Times New Roman"/>
          <w:sz w:val="24"/>
        </w:rPr>
        <w:t xml:space="preserve">        1. Introduction</w:t>
        <w:tab/>
        <w:t>6</w:t>
      </w:r>
    </w:p>
    <w:p>
      <w:pPr>
        <w:tabs>
          <w:tab w:pos="8787" w:val="right"/>
        </w:tabs>
        <w:spacing w:after="80"/>
      </w:pPr>
      <w:r>
        <w:rPr>
          <w:rFonts w:ascii="Times New Roman" w:hAnsi="Times New Roman"/>
          <w:sz w:val="24"/>
        </w:rPr>
        <w:t xml:space="preserve">        2. Key Strengths</w:t>
        <w:tab/>
        <w:t>6</w:t>
      </w:r>
    </w:p>
    <w:p>
      <w:pPr>
        <w:tabs>
          <w:tab w:pos="8787" w:val="right"/>
        </w:tabs>
        <w:spacing w:after="80"/>
      </w:pPr>
      <w:r>
        <w:rPr>
          <w:rFonts w:ascii="Times New Roman" w:hAnsi="Times New Roman"/>
          <w:sz w:val="24"/>
        </w:rPr>
        <w:t xml:space="preserve">        3. Areas for Improvement</w:t>
        <w:tab/>
        <w:t>7</w:t>
      </w:r>
    </w:p>
    <w:p>
      <w:pPr>
        <w:tabs>
          <w:tab w:pos="8787" w:val="right"/>
        </w:tabs>
        <w:spacing w:after="80"/>
      </w:pPr>
      <w:r>
        <w:rPr>
          <w:rFonts w:ascii="Times New Roman" w:hAnsi="Times New Roman"/>
          <w:sz w:val="24"/>
        </w:rPr>
        <w:t xml:space="preserve">        4. How the Feedback Shaped the Final Plan</w:t>
        <w:tab/>
        <w:t>7</w:t>
      </w:r>
    </w:p>
    <w:p>
      <w:pPr>
        <w:tabs>
          <w:tab w:pos="8787" w:val="right"/>
        </w:tabs>
        <w:spacing w:after="80"/>
      </w:pPr>
      <w:r>
        <w:rPr>
          <w:rFonts w:ascii="Times New Roman" w:hAnsi="Times New Roman"/>
          <w:b/>
          <w:sz w:val="24"/>
        </w:rPr>
        <w:t>Part C: Project Management Plan</w:t>
        <w:tab/>
        <w:t>8</w:t>
      </w:r>
    </w:p>
    <w:p>
      <w:pPr>
        <w:tabs>
          <w:tab w:pos="8787" w:val="right"/>
        </w:tabs>
        <w:spacing w:after="80"/>
      </w:pPr>
      <w:r>
        <w:rPr>
          <w:rFonts w:ascii="Times New Roman" w:hAnsi="Times New Roman"/>
          <w:sz w:val="24"/>
        </w:rPr>
        <w:t xml:space="preserve">        1. Introduction</w:t>
        <w:tab/>
        <w:t>8</w:t>
      </w:r>
    </w:p>
    <w:p>
      <w:pPr>
        <w:tabs>
          <w:tab w:pos="8787" w:val="right"/>
        </w:tabs>
        <w:spacing w:after="80"/>
      </w:pPr>
      <w:r>
        <w:rPr>
          <w:rFonts w:ascii="Times New Roman" w:hAnsi="Times New Roman"/>
          <w:sz w:val="24"/>
        </w:rPr>
        <w:t xml:space="preserve">        2. Project Description</w:t>
        <w:tab/>
        <w:t>8</w:t>
      </w:r>
    </w:p>
    <w:p>
      <w:pPr>
        <w:tabs>
          <w:tab w:pos="8787" w:val="right"/>
        </w:tabs>
        <w:spacing w:after="80"/>
      </w:pPr>
      <w:r>
        <w:rPr>
          <w:rFonts w:ascii="Times New Roman" w:hAnsi="Times New Roman"/>
          <w:sz w:val="24"/>
        </w:rPr>
        <w:t xml:space="preserve">        3. Scope</w:t>
        <w:tab/>
        <w:t>9</w:t>
      </w:r>
    </w:p>
    <w:p>
      <w:pPr>
        <w:tabs>
          <w:tab w:pos="8787" w:val="right"/>
        </w:tabs>
        <w:spacing w:after="80"/>
      </w:pPr>
      <w:r>
        <w:rPr>
          <w:rFonts w:ascii="Times New Roman" w:hAnsi="Times New Roman"/>
          <w:sz w:val="24"/>
        </w:rPr>
        <w:t xml:space="preserve">        4. Work Breakdown Structure</w:t>
        <w:tab/>
        <w:t>9</w:t>
      </w:r>
    </w:p>
    <w:p>
      <w:pPr>
        <w:tabs>
          <w:tab w:pos="8787" w:val="right"/>
        </w:tabs>
        <w:spacing w:after="80"/>
      </w:pPr>
      <w:r>
        <w:rPr>
          <w:rFonts w:ascii="Times New Roman" w:hAnsi="Times New Roman"/>
          <w:sz w:val="24"/>
        </w:rPr>
        <w:t xml:space="preserve">        5. Quad Chart</w:t>
        <w:tab/>
        <w:t>10</w:t>
      </w:r>
    </w:p>
    <w:p>
      <w:pPr>
        <w:tabs>
          <w:tab w:pos="8787" w:val="right"/>
        </w:tabs>
        <w:spacing w:after="80"/>
      </w:pPr>
      <w:r>
        <w:rPr>
          <w:rFonts w:ascii="Times New Roman" w:hAnsi="Times New Roman"/>
          <w:sz w:val="24"/>
        </w:rPr>
        <w:t xml:space="preserve">        6. Gantt Chart</w:t>
        <w:tab/>
        <w:t>10</w:t>
      </w:r>
    </w:p>
    <w:p>
      <w:pPr>
        <w:tabs>
          <w:tab w:pos="8787" w:val="right"/>
        </w:tabs>
        <w:spacing w:after="80"/>
      </w:pPr>
      <w:r>
        <w:rPr>
          <w:rFonts w:ascii="Times New Roman" w:hAnsi="Times New Roman"/>
          <w:sz w:val="24"/>
        </w:rPr>
        <w:t xml:space="preserve">        7. Stakeholders' Involvement</w:t>
        <w:tab/>
        <w:t>11</w:t>
      </w:r>
    </w:p>
    <w:p>
      <w:pPr>
        <w:tabs>
          <w:tab w:pos="8787" w:val="right"/>
        </w:tabs>
        <w:spacing w:after="80"/>
      </w:pPr>
      <w:r>
        <w:rPr>
          <w:rFonts w:ascii="Times New Roman" w:hAnsi="Times New Roman"/>
          <w:sz w:val="24"/>
        </w:rPr>
        <w:t xml:space="preserve">        8. Allocation of Resources</w:t>
        <w:tab/>
        <w:t>11</w:t>
      </w:r>
    </w:p>
    <w:p>
      <w:pPr>
        <w:tabs>
          <w:tab w:pos="8787" w:val="right"/>
        </w:tabs>
        <w:spacing w:after="80"/>
      </w:pPr>
      <w:r>
        <w:rPr>
          <w:rFonts w:ascii="Times New Roman" w:hAnsi="Times New Roman"/>
          <w:sz w:val="24"/>
        </w:rPr>
        <w:t xml:space="preserve">        9. Risk Analysis</w:t>
        <w:tab/>
        <w:t>12</w:t>
      </w:r>
    </w:p>
    <w:p>
      <w:pPr>
        <w:tabs>
          <w:tab w:pos="8787" w:val="right"/>
        </w:tabs>
        <w:spacing w:after="80"/>
      </w:pPr>
      <w:r>
        <w:rPr>
          <w:rFonts w:ascii="Times New Roman" w:hAnsi="Times New Roman"/>
          <w:sz w:val="24"/>
        </w:rPr>
        <w:t xml:space="preserve">        10. Conclusion</w:t>
        <w:tab/>
        <w:t>12</w:t>
      </w:r>
    </w:p>
    <w:p>
      <w:pPr>
        <w:tabs>
          <w:tab w:pos="8787" w:val="right"/>
        </w:tabs>
        <w:spacing w:after="80"/>
      </w:pPr>
      <w:r>
        <w:rPr>
          <w:rFonts w:ascii="Times New Roman" w:hAnsi="Times New Roman"/>
          <w:b/>
          <w:sz w:val="24"/>
        </w:rPr>
        <w:t>References</w:t>
        <w:tab/>
        <w:t>13</w:t>
      </w:r>
    </w:p>
    <w:p>
      <w:r>
        <w:br w:type="page"/>
      </w:r>
    </w:p>
    <w:p>
      <w:pPr>
        <w:pStyle w:val="Heading1"/>
      </w:pPr>
      <w:r>
        <w:rPr>
          <w:rFonts w:ascii="Times New Roman" w:hAnsi="Times New Roman"/>
        </w:rPr>
        <w:t>List of Tables</w:t>
      </w:r>
    </w:p>
    <w:p>
      <w:pPr>
        <w:jc w:val="both"/>
      </w:pPr>
      <w:r>
        <w:rPr>
          <w:rFonts w:ascii="Times New Roman" w:hAnsi="Times New Roman"/>
          <w:b w:val="0"/>
          <w:i w:val="0"/>
          <w:sz w:val="24"/>
        </w:rPr>
        <w:t>Table 1. Project scope, inclusions and exclusions</w:t>
      </w:r>
    </w:p>
    <w:p>
      <w:pPr>
        <w:jc w:val="both"/>
      </w:pPr>
      <w:r>
        <w:rPr>
          <w:rFonts w:ascii="Times New Roman" w:hAnsi="Times New Roman"/>
          <w:b w:val="0"/>
          <w:i w:val="0"/>
          <w:sz w:val="24"/>
        </w:rPr>
        <w:t>Table 2. Work Breakdown Structure at Level 1 and Level 2</w:t>
      </w:r>
    </w:p>
    <w:p>
      <w:pPr>
        <w:jc w:val="both"/>
      </w:pPr>
      <w:r>
        <w:rPr>
          <w:rFonts w:ascii="Times New Roman" w:hAnsi="Times New Roman"/>
          <w:b w:val="0"/>
          <w:i w:val="0"/>
          <w:sz w:val="24"/>
        </w:rPr>
        <w:t>Table 3. Quad chart, project summary</w:t>
      </w:r>
    </w:p>
    <w:p>
      <w:pPr>
        <w:jc w:val="both"/>
      </w:pPr>
      <w:r>
        <w:rPr>
          <w:rFonts w:ascii="Times New Roman" w:hAnsi="Times New Roman"/>
          <w:b w:val="0"/>
          <w:i w:val="0"/>
          <w:sz w:val="24"/>
        </w:rPr>
        <w:t>Table 4. Stakeholder analysis using the Power/Interest Matrix</w:t>
      </w:r>
    </w:p>
    <w:p>
      <w:pPr>
        <w:jc w:val="both"/>
      </w:pPr>
      <w:r>
        <w:rPr>
          <w:rFonts w:ascii="Times New Roman" w:hAnsi="Times New Roman"/>
          <w:b w:val="0"/>
          <w:i w:val="0"/>
          <w:sz w:val="24"/>
        </w:rPr>
        <w:t>Table 5. Resource allocation summary</w:t>
      </w:r>
    </w:p>
    <w:p>
      <w:pPr>
        <w:jc w:val="both"/>
      </w:pPr>
      <w:r>
        <w:rPr>
          <w:rFonts w:ascii="Times New Roman" w:hAnsi="Times New Roman"/>
          <w:b w:val="0"/>
          <w:i w:val="0"/>
          <w:sz w:val="24"/>
        </w:rPr>
        <w:t>Table 6. Risk register with probability, impact and mitigation</w:t>
      </w:r>
    </w:p>
    <w:p>
      <w:pPr>
        <w:pStyle w:val="Heading1"/>
      </w:pPr>
      <w:r>
        <w:rPr>
          <w:rFonts w:ascii="Times New Roman" w:hAnsi="Times New Roman"/>
        </w:rPr>
        <w:t>List of Figures</w:t>
      </w:r>
    </w:p>
    <w:p>
      <w:pPr>
        <w:jc w:val="both"/>
      </w:pPr>
      <w:r>
        <w:rPr>
          <w:rFonts w:ascii="Times New Roman" w:hAnsi="Times New Roman"/>
          <w:b w:val="0"/>
          <w:i w:val="0"/>
          <w:sz w:val="24"/>
        </w:rPr>
        <w:t>Figure 1. Project proposal poster (Part A)</w:t>
      </w:r>
    </w:p>
    <w:p>
      <w:pPr>
        <w:jc w:val="both"/>
      </w:pPr>
      <w:r>
        <w:rPr>
          <w:rFonts w:ascii="Times New Roman" w:hAnsi="Times New Roman"/>
          <w:b w:val="0"/>
          <w:i w:val="0"/>
          <w:sz w:val="24"/>
        </w:rPr>
        <w:t>Figure 2. Gantt overview of the 18-month schedule</w:t>
      </w:r>
    </w:p>
    <w:p>
      <w:pPr>
        <w:pStyle w:val="Heading1"/>
      </w:pPr>
      <w:r>
        <w:rPr>
          <w:rFonts w:ascii="Times New Roman" w:hAnsi="Times New Roman"/>
        </w:rPr>
        <w:t>List of Abbreviations</w:t>
      </w:r>
    </w:p>
    <w:p>
      <w:pPr>
        <w:spacing w:after="60"/>
      </w:pPr>
      <w:r>
        <w:rPr>
          <w:rFonts w:ascii="Times New Roman" w:hAnsi="Times New Roman"/>
          <w:b/>
          <w:sz w:val="24"/>
        </w:rPr>
        <w:t>APM</w:t>
        <w:tab/>
      </w:r>
      <w:r>
        <w:rPr>
          <w:rFonts w:ascii="Times New Roman" w:hAnsi="Times New Roman"/>
          <w:sz w:val="24"/>
        </w:rPr>
        <w:t>Association for Project Management</w:t>
      </w:r>
    </w:p>
    <w:p>
      <w:pPr>
        <w:spacing w:after="60"/>
      </w:pPr>
      <w:r>
        <w:rPr>
          <w:rFonts w:ascii="Times New Roman" w:hAnsi="Times New Roman"/>
          <w:b/>
          <w:sz w:val="24"/>
        </w:rPr>
        <w:t>CO2</w:t>
        <w:tab/>
      </w:r>
      <w:r>
        <w:rPr>
          <w:rFonts w:ascii="Times New Roman" w:hAnsi="Times New Roman"/>
          <w:sz w:val="24"/>
        </w:rPr>
        <w:t>Carbon dioxide</w:t>
      </w:r>
    </w:p>
    <w:p>
      <w:pPr>
        <w:spacing w:after="60"/>
      </w:pPr>
      <w:r>
        <w:rPr>
          <w:rFonts w:ascii="Times New Roman" w:hAnsi="Times New Roman"/>
          <w:b/>
          <w:sz w:val="24"/>
        </w:rPr>
        <w:t>DfT</w:t>
        <w:tab/>
      </w:r>
      <w:r>
        <w:rPr>
          <w:rFonts w:ascii="Times New Roman" w:hAnsi="Times New Roman"/>
          <w:sz w:val="24"/>
        </w:rPr>
        <w:t>Department for Transport</w:t>
      </w:r>
    </w:p>
    <w:p>
      <w:pPr>
        <w:spacing w:after="60"/>
      </w:pPr>
      <w:r>
        <w:rPr>
          <w:rFonts w:ascii="Times New Roman" w:hAnsi="Times New Roman"/>
          <w:b/>
          <w:sz w:val="24"/>
        </w:rPr>
        <w:t>EV</w:t>
        <w:tab/>
      </w:r>
      <w:r>
        <w:rPr>
          <w:rFonts w:ascii="Times New Roman" w:hAnsi="Times New Roman"/>
          <w:sz w:val="24"/>
        </w:rPr>
        <w:t>Electric vehicle</w:t>
      </w:r>
    </w:p>
    <w:p>
      <w:pPr>
        <w:spacing w:after="60"/>
      </w:pPr>
      <w:r>
        <w:rPr>
          <w:rFonts w:ascii="Times New Roman" w:hAnsi="Times New Roman"/>
          <w:b/>
          <w:sz w:val="24"/>
        </w:rPr>
        <w:t>ISO</w:t>
        <w:tab/>
      </w:r>
      <w:r>
        <w:rPr>
          <w:rFonts w:ascii="Times New Roman" w:hAnsi="Times New Roman"/>
          <w:sz w:val="24"/>
        </w:rPr>
        <w:t>International Organization for Standardization</w:t>
      </w:r>
    </w:p>
    <w:p>
      <w:pPr>
        <w:spacing w:after="60"/>
      </w:pPr>
      <w:r>
        <w:rPr>
          <w:rFonts w:ascii="Times New Roman" w:hAnsi="Times New Roman"/>
          <w:b/>
          <w:sz w:val="24"/>
        </w:rPr>
        <w:t>KPI</w:t>
        <w:tab/>
      </w:r>
      <w:r>
        <w:rPr>
          <w:rFonts w:ascii="Times New Roman" w:hAnsi="Times New Roman"/>
          <w:sz w:val="24"/>
        </w:rPr>
        <w:t>Key performance indicator</w:t>
      </w:r>
    </w:p>
    <w:p>
      <w:pPr>
        <w:spacing w:after="60"/>
      </w:pPr>
      <w:r>
        <w:rPr>
          <w:rFonts w:ascii="Times New Roman" w:hAnsi="Times New Roman"/>
          <w:b/>
          <w:sz w:val="24"/>
        </w:rPr>
        <w:t>PMBOK</w:t>
        <w:tab/>
      </w:r>
      <w:r>
        <w:rPr>
          <w:rFonts w:ascii="Times New Roman" w:hAnsi="Times New Roman"/>
          <w:sz w:val="24"/>
        </w:rPr>
        <w:t>Project Management Body of Knowledge</w:t>
      </w:r>
    </w:p>
    <w:p>
      <w:pPr>
        <w:spacing w:after="60"/>
      </w:pPr>
      <w:r>
        <w:rPr>
          <w:rFonts w:ascii="Times New Roman" w:hAnsi="Times New Roman"/>
          <w:b/>
          <w:sz w:val="24"/>
        </w:rPr>
        <w:t>PMI</w:t>
        <w:tab/>
      </w:r>
      <w:r>
        <w:rPr>
          <w:rFonts w:ascii="Times New Roman" w:hAnsi="Times New Roman"/>
          <w:sz w:val="24"/>
        </w:rPr>
        <w:t>Project Management Institute</w:t>
      </w:r>
    </w:p>
    <w:p>
      <w:pPr>
        <w:spacing w:after="60"/>
      </w:pPr>
      <w:r>
        <w:rPr>
          <w:rFonts w:ascii="Times New Roman" w:hAnsi="Times New Roman"/>
          <w:b/>
          <w:sz w:val="24"/>
        </w:rPr>
        <w:t>RACI</w:t>
        <w:tab/>
      </w:r>
      <w:r>
        <w:rPr>
          <w:rFonts w:ascii="Times New Roman" w:hAnsi="Times New Roman"/>
          <w:sz w:val="24"/>
        </w:rPr>
        <w:t>Responsible, Accountable, Consulted, Informed</w:t>
      </w:r>
    </w:p>
    <w:p>
      <w:pPr>
        <w:spacing w:after="60"/>
      </w:pPr>
      <w:r>
        <w:rPr>
          <w:rFonts w:ascii="Times New Roman" w:hAnsi="Times New Roman"/>
          <w:b/>
          <w:sz w:val="24"/>
        </w:rPr>
        <w:t>SMART</w:t>
        <w:tab/>
      </w:r>
      <w:r>
        <w:rPr>
          <w:rFonts w:ascii="Times New Roman" w:hAnsi="Times New Roman"/>
          <w:sz w:val="24"/>
        </w:rPr>
        <w:t>Specific, Measurable, Achievable, Relevant, Time-bound</w:t>
      </w:r>
    </w:p>
    <w:p>
      <w:pPr>
        <w:spacing w:after="60"/>
      </w:pPr>
      <w:r>
        <w:rPr>
          <w:rFonts w:ascii="Times New Roman" w:hAnsi="Times New Roman"/>
          <w:b/>
          <w:sz w:val="24"/>
        </w:rPr>
        <w:t>UK</w:t>
        <w:tab/>
      </w:r>
      <w:r>
        <w:rPr>
          <w:rFonts w:ascii="Times New Roman" w:hAnsi="Times New Roman"/>
          <w:sz w:val="24"/>
        </w:rPr>
        <w:t>United Kingdom</w:t>
      </w:r>
    </w:p>
    <w:p>
      <w:pPr>
        <w:spacing w:after="60"/>
      </w:pPr>
      <w:r>
        <w:rPr>
          <w:rFonts w:ascii="Times New Roman" w:hAnsi="Times New Roman"/>
          <w:b/>
          <w:sz w:val="24"/>
        </w:rPr>
        <w:t>UKGBC</w:t>
        <w:tab/>
      </w:r>
      <w:r>
        <w:rPr>
          <w:rFonts w:ascii="Times New Roman" w:hAnsi="Times New Roman"/>
          <w:sz w:val="24"/>
        </w:rPr>
        <w:t>UK Green Building Council</w:t>
      </w:r>
    </w:p>
    <w:p>
      <w:pPr>
        <w:spacing w:after="60"/>
      </w:pPr>
      <w:r>
        <w:rPr>
          <w:rFonts w:ascii="Times New Roman" w:hAnsi="Times New Roman"/>
          <w:b/>
          <w:sz w:val="24"/>
        </w:rPr>
        <w:t>WBS</w:t>
        <w:tab/>
      </w:r>
      <w:r>
        <w:rPr>
          <w:rFonts w:ascii="Times New Roman" w:hAnsi="Times New Roman"/>
          <w:sz w:val="24"/>
        </w:rPr>
        <w:t>Work Breakdown Structure</w:t>
      </w:r>
    </w:p>
    <w:p>
      <w:r>
        <w:br w:type="page"/>
      </w:r>
    </w:p>
    <w:p>
      <w:pPr>
        <w:pStyle w:val="Heading1"/>
      </w:pPr>
      <w:r>
        <w:rPr>
          <w:rFonts w:ascii="Times New Roman" w:hAnsi="Times New Roman"/>
        </w:rPr>
        <w:t>Part A: Project Proposal Poster</w:t>
      </w:r>
    </w:p>
    <w:p>
      <w:pPr>
        <w:jc w:val="both"/>
      </w:pPr>
      <w:r>
        <w:rPr>
          <w:rFonts w:ascii="Times New Roman" w:hAnsi="Times New Roman"/>
          <w:b w:val="0"/>
          <w:i w:val="0"/>
          <w:sz w:val="24"/>
        </w:rPr>
        <w:t>The poster presented in Figure 1 is prepared as the Part A project proposal. The poster pitches the sustainable redesign of the central transport hub to stakeholders. It covers the project background and rationale, the aim and objectives, the scope and boundaries, the key stakeholders, the high-level risks and trade-offs, and the strategic value of the project. The poster is presented in class for tutor and peer feedback, and that feedback is discussed in Part B.</w:t>
      </w:r>
    </w:p>
    <w:p>
      <w:pPr>
        <w:jc w:val="center"/>
      </w:pPr>
      <w:r>
        <w:drawing>
          <wp:inline xmlns:a="http://schemas.openxmlformats.org/drawingml/2006/main" xmlns:pic="http://schemas.openxmlformats.org/drawingml/2006/picture">
            <wp:extent cx="5580000" cy="7893000"/>
            <wp:docPr id="1" name="Picture 1"/>
            <wp:cNvGraphicFramePr>
              <a:graphicFrameLocks noChangeAspect="1"/>
            </wp:cNvGraphicFramePr>
            <a:graphic>
              <a:graphicData uri="http://schemas.openxmlformats.org/drawingml/2006/picture">
                <pic:pic>
                  <pic:nvPicPr>
                    <pic:cNvPr id="0" name="poster_full.png"/>
                    <pic:cNvPicPr/>
                  </pic:nvPicPr>
                  <pic:blipFill>
                    <a:blip r:embed="rId11"/>
                    <a:stretch>
                      <a:fillRect/>
                    </a:stretch>
                  </pic:blipFill>
                  <pic:spPr>
                    <a:xfrm>
                      <a:off x="0" y="0"/>
                      <a:ext cx="5580000" cy="7893000"/>
                    </a:xfrm>
                    <a:prstGeom prst="rect"/>
                  </pic:spPr>
                </pic:pic>
              </a:graphicData>
            </a:graphic>
          </wp:inline>
        </w:drawing>
      </w:r>
    </w:p>
    <w:p>
      <w:pPr>
        <w:spacing w:before="80" w:after="200"/>
        <w:jc w:val="center"/>
      </w:pPr>
      <w:r>
        <w:rPr>
          <w:rFonts w:ascii="Times New Roman" w:hAnsi="Times New Roman"/>
          <w:b/>
          <w:sz w:val="22"/>
        </w:rPr>
        <w:t>Figure 1. Project proposal poster (Part A).</w:t>
      </w:r>
    </w:p>
    <w:p>
      <w:pPr>
        <w:pStyle w:val="Heading1"/>
      </w:pPr>
      <w:r>
        <w:rPr>
          <w:rFonts w:ascii="Times New Roman" w:hAnsi="Times New Roman"/>
        </w:rPr>
        <w:t>Part B: Critical Reflection on Feedback</w:t>
      </w:r>
    </w:p>
    <w:p>
      <w:pPr>
        <w:pStyle w:val="Heading2"/>
      </w:pPr>
      <w:r>
        <w:rPr>
          <w:rFonts w:ascii="Times New Roman" w:hAnsi="Times New Roman"/>
        </w:rPr>
        <w:t>1. Introduction</w:t>
      </w:r>
    </w:p>
    <w:p>
      <w:pPr>
        <w:jc w:val="both"/>
      </w:pPr>
      <w:r>
        <w:rPr>
          <w:rFonts w:ascii="Times New Roman" w:hAnsi="Times New Roman"/>
          <w:b w:val="0"/>
          <w:i w:val="0"/>
          <w:sz w:val="24"/>
        </w:rPr>
        <w:t>The Part A poster on the sustainable redesign of the central transport hub is presented in class and reviewed by both the module tutor and peers. The written feedback offers useful insight into what works well and what does not. Reflection is a recognised part of professional development in project management practice (Boud, Keogh and Walker, 2013). This section identifies the key strengths of the poster, discusses the main areas for improvement, and explains how the feedback directly shapes the final project management plan set out in Part C.</w:t>
      </w:r>
    </w:p>
    <w:p>
      <w:pPr>
        <w:pStyle w:val="Heading2"/>
      </w:pPr>
      <w:r>
        <w:rPr>
          <w:rFonts w:ascii="Times New Roman" w:hAnsi="Times New Roman"/>
        </w:rPr>
        <w:t>2. Key Strengths</w:t>
      </w:r>
    </w:p>
    <w:p>
      <w:pPr>
        <w:jc w:val="both"/>
      </w:pPr>
      <w:r>
        <w:rPr>
          <w:rFonts w:ascii="Times New Roman" w:hAnsi="Times New Roman"/>
          <w:b w:val="0"/>
          <w:i w:val="0"/>
          <w:sz w:val="24"/>
        </w:rPr>
        <w:t>The tutor identifies a strong alignment between the project's sustainability objectives and its wider strategic value. The poster communicates how the redesigned hub contributes to environmental, social and economic regeneration through carbon reduction, renewable energy integration and accessibility improvements. All three outcomes support the UK Net Zero 2050 targets (HM Government, 2021) and reflect the sustainable mobility principles described by Banister (2008). The structure of the poster is also praised. Moving from rationale through aims, scope, stakeholders, risks and strategic value gives the poster a clear reading order. Peer feedback highlights the visual clarity of the design, including the use of icons, colour-coding and short bullet points. These choices support effective academic communication (Kerzner, 2022; Tufte, 2001) and make the main ideas accessible in a short viewing time.</w:t>
      </w:r>
    </w:p>
    <w:p>
      <w:pPr>
        <w:pStyle w:val="Heading2"/>
      </w:pPr>
      <w:r>
        <w:rPr>
          <w:rFonts w:ascii="Times New Roman" w:hAnsi="Times New Roman"/>
        </w:rPr>
        <w:t>3. Areas for Improvement</w:t>
      </w:r>
    </w:p>
    <w:p>
      <w:pPr>
        <w:jc w:val="both"/>
      </w:pPr>
      <w:r>
        <w:rPr>
          <w:rFonts w:ascii="Times New Roman" w:hAnsi="Times New Roman"/>
          <w:b w:val="0"/>
          <w:i w:val="0"/>
          <w:sz w:val="24"/>
        </w:rPr>
        <w:t>Three main areas for development are raised. The first concerns the objectives, which are considered broad and lack measurable indicators. The final plan therefore rewrites these objectives using the SMART framework (Doran, 1981). Specific timescales and key performance indicators are added, including a measurable annual reduction in CO2 emissions and a target increase in public transport patronage. SMART objectives strengthen monitoring and accountability across the project lifecycle (Project Management Institute, 2021; Meredith, Shafer and Mantel, 2020).</w:t>
      </w:r>
    </w:p>
    <w:p>
      <w:pPr>
        <w:jc w:val="both"/>
      </w:pPr>
      <w:r>
        <w:rPr>
          <w:rFonts w:ascii="Times New Roman" w:hAnsi="Times New Roman"/>
          <w:b w:val="0"/>
          <w:i w:val="0"/>
          <w:sz w:val="24"/>
        </w:rPr>
        <w:t>The second point concerns the depth of critical analysis around stakeholders, risks and trade-offs. In response, Part C uses Mendelow's Power/Interest Matrix (Mendelow, 1991) to classify stakeholders. This tool separates high-power groups such as the local authority from high-interest groups such as residents and accessibility campaigners (Freeman, 2010). A more detailed risk register is also prepared, including probability, impact and risk ownership for each entry, in line with PMI (Project Management Institute, 2021) and ISO (International Organization for Standardization, 2018) guidance on active risk management.</w:t>
      </w:r>
    </w:p>
    <w:p>
      <w:pPr>
        <w:jc w:val="both"/>
      </w:pPr>
      <w:r>
        <w:rPr>
          <w:rFonts w:ascii="Times New Roman" w:hAnsi="Times New Roman"/>
          <w:b w:val="0"/>
          <w:i w:val="0"/>
          <w:sz w:val="24"/>
        </w:rPr>
        <w:t>The third point is that the poster does not show enough application of project management tools and techniques. To answer this feedback, the final plan includes a Work Breakdown Structure, a Gantt chart (Wilson, 2003), a quad chart (Berkun, 2008) and a RACI approach to responsibilities (Association for Project Management, 2019). Taken together, these tools show how the project is planned, monitored and controlled throughout the 18-month duration (Kerzner, 2022; Turner, 2014).</w:t>
      </w:r>
    </w:p>
    <w:p>
      <w:pPr>
        <w:pStyle w:val="Heading2"/>
      </w:pPr>
      <w:r>
        <w:rPr>
          <w:rFonts w:ascii="Times New Roman" w:hAnsi="Times New Roman"/>
        </w:rPr>
        <w:t>4. How the Feedback Shaped the Final Plan</w:t>
      </w:r>
    </w:p>
    <w:p>
      <w:pPr>
        <w:jc w:val="both"/>
      </w:pPr>
      <w:r>
        <w:rPr>
          <w:rFonts w:ascii="Times New Roman" w:hAnsi="Times New Roman"/>
          <w:b w:val="0"/>
          <w:i w:val="0"/>
          <w:sz w:val="24"/>
        </w:rPr>
        <w:t>The feedback moves the approach away from describing what the project will achieve and towards analysing how the project is delivered. Where the poster justifies the purpose of the project, the final plan shows stronger project management rigour through measurable objectives, structured stakeholder analysis and applied planning tools. Working through this feedback cycle confirms the value of reflection as a developmental tool (Boud, Keogh and Walker, 2013). The revised plan is more critical, more evidence-based and more professionally grounded than the original proposal. This cycle of feedback and revision is a core practice in project management, particularly for large infrastructure programmes operating in complex stakeholder environments (Flyvbjerg, 2014).</w:t>
      </w:r>
    </w:p>
    <w:p>
      <w:pPr>
        <w:jc w:val="right"/>
      </w:pPr>
      <w:r>
        <w:rPr>
          <w:rFonts w:ascii="Times New Roman" w:hAnsi="Times New Roman"/>
          <w:b w:val="0"/>
          <w:i/>
          <w:sz w:val="20"/>
        </w:rPr>
        <w:t>Word count: 500 words (within 500 +/- 10%).</w:t>
      </w:r>
    </w:p>
    <w:p>
      <w:pPr>
        <w:pStyle w:val="Heading1"/>
      </w:pPr>
      <w:r>
        <w:rPr>
          <w:rFonts w:ascii="Times New Roman" w:hAnsi="Times New Roman"/>
        </w:rPr>
        <w:t>Part C: Project Management Plan</w:t>
      </w:r>
    </w:p>
    <w:p>
      <w:pPr>
        <w:pStyle w:val="Heading2"/>
      </w:pPr>
      <w:r>
        <w:rPr>
          <w:rFonts w:ascii="Times New Roman" w:hAnsi="Times New Roman"/>
        </w:rPr>
        <w:t>1. Introduction</w:t>
      </w:r>
    </w:p>
    <w:p>
      <w:pPr>
        <w:jc w:val="both"/>
      </w:pPr>
      <w:r>
        <w:rPr>
          <w:rFonts w:ascii="Times New Roman" w:hAnsi="Times New Roman"/>
          <w:b w:val="0"/>
          <w:i w:val="0"/>
          <w:sz w:val="24"/>
        </w:rPr>
        <w:t>This project management plan sets out how the sustainable redesign of the central transport hub is delivered. The programme runs for 18 months with a total budget of £15 million. The plan converts the strategic vision presented in the Part A poster into a detailed and executable programme of work. The structure follows the requirements of the LCLM5003 assessment brief and draws on the PMBOK Guide (Project Management Institute, 2021), Kerzner (2022), the APM Body of Knowledge (Association for Project Management, 2019) and the broader project management literature (Meredith, Shafer and Mantel, 2020; Turner, 2014). The following sections describe the project, define its scope, decompose the work into a Work Breakdown Structure, summarise the programme in a quad chart, schedule the deliverables in a Gantt chart, analyse stakeholder involvement, allocate resources and evaluate risks. A short conclusion reflects on how the plan contributes to national net-zero policy (HM Government, 2021).</w:t>
      </w:r>
    </w:p>
    <w:p>
      <w:pPr>
        <w:pStyle w:val="Heading2"/>
      </w:pPr>
      <w:r>
        <w:rPr>
          <w:rFonts w:ascii="Times New Roman" w:hAnsi="Times New Roman"/>
        </w:rPr>
        <w:t>2. Project Description</w:t>
      </w:r>
    </w:p>
    <w:p>
      <w:pPr>
        <w:jc w:val="both"/>
      </w:pPr>
      <w:r>
        <w:rPr>
          <w:rFonts w:ascii="Times New Roman" w:hAnsi="Times New Roman"/>
          <w:b w:val="0"/>
          <w:i w:val="0"/>
          <w:sz w:val="24"/>
        </w:rPr>
        <w:t>In November 2025 a major UK metropolitan city closes its central transport hub after a structural inspection finds serious safety and accessibility deficiencies. The closure disrupts commuter travel, freight logistics and local business, and produces measurable economic and social losses (Department for Transport, 2024). After reviewing the four options presented in the scenario, sustainable redesign is selected as the most durable long-term response. This choice aligns with the sustainable mobility paradigm described by Banister (2008), which prioritises accessibility, land-use integration and modal shift over pure road capacity.</w:t>
      </w:r>
    </w:p>
    <w:p>
      <w:pPr>
        <w:jc w:val="both"/>
      </w:pPr>
      <w:r>
        <w:rPr>
          <w:rFonts w:ascii="Times New Roman" w:hAnsi="Times New Roman"/>
          <w:b w:val="0"/>
          <w:i w:val="0"/>
          <w:sz w:val="24"/>
        </w:rPr>
        <w:t>The project delivers a modern, low-carbon multimodal interchange. The design integrates rail, bus, cycle and pedestrian access. On-site renewable energy generation, electric vehicle charging infrastructure and digital passenger information systems are all included. The redesign supports the UK Net Zero Strategy (HM Government, 2021), aligns with the DfT decarbonisation targets (Department for Transport, 2024), and follows best practice for sustainable placemaking in urban mobility hubs (UK Green Building Council, 2021; IPCC, 2022). Regeneration projects of this kind are increasingly recognised as central to climate adaptation in cities (Bulkeley, 2013).</w:t>
      </w:r>
    </w:p>
    <w:p>
      <w:pPr>
        <w:jc w:val="both"/>
      </w:pPr>
      <w:r>
        <w:rPr>
          <w:rFonts w:ascii="Times New Roman" w:hAnsi="Times New Roman"/>
          <w:b w:val="0"/>
          <w:i w:val="0"/>
          <w:sz w:val="24"/>
        </w:rPr>
        <w:t>The project objectives are written using the SMART framework (Doran, 1981) to make them measurable. The project reduces transport-related carbon emissions at the hub by 40% within twelve months of completion. A minimum 500 kWp photovoltaic array and twenty rapid electric vehicle charging bays are installed. Full compliance with the Equality Act 2010 accessibility standards is achieved. Public transport patronage rises by 25% in the first operational year. Real-time passenger information is deployed at every boarding point. These indicators provide clear success criteria for monitoring and evaluation (Project Management Institute, 2021; Meredith, Shafer and Mantel, 2020).</w:t>
      </w:r>
    </w:p>
    <w:p>
      <w:pPr>
        <w:pStyle w:val="Heading2"/>
      </w:pPr>
      <w:r>
        <w:rPr>
          <w:rFonts w:ascii="Times New Roman" w:hAnsi="Times New Roman"/>
        </w:rPr>
        <w:t>3. Scope</w:t>
      </w:r>
    </w:p>
    <w:p>
      <w:pPr>
        <w:jc w:val="both"/>
      </w:pPr>
      <w:r>
        <w:rPr>
          <w:rFonts w:ascii="Times New Roman" w:hAnsi="Times New Roman"/>
          <w:b w:val="0"/>
          <w:i w:val="0"/>
          <w:sz w:val="24"/>
        </w:rPr>
        <w:t>The scope defines what the project delivers and does not deliver. A clearly defined scope prevents scope creep and enables robust cost and schedule control (Turner, 2014; Association for Project Management, 2019). This clarity is particularly important for large infrastructure projects, where poorly bounded scope is a well-documented cause of budget overrun and delay (Flyvbjerg, 2014). Table 1 summarises the scope of this project.</w:t>
      </w:r>
    </w:p>
    <w:p>
      <w:pPr>
        <w:spacing w:before="160" w:after="80"/>
        <w:jc w:val="left"/>
      </w:pPr>
      <w:r>
        <w:rPr>
          <w:rFonts w:ascii="Times New Roman" w:hAnsi="Times New Roman"/>
          <w:b/>
          <w:sz w:val="22"/>
        </w:rPr>
        <w:t>Table 1. Project scope, inclusions and exclusions.</w:t>
      </w:r>
    </w:p>
    <w:tbl>
      <w:tblPr>
        <w:tblStyle w:val="TableGrid"/>
        <w:tblW w:type="auto" w:w="0"/>
        <w:jc w:val="center"/>
        <w:tblLook w:firstColumn="1" w:firstRow="1" w:lastColumn="0" w:lastRow="0" w:noHBand="0" w:noVBand="1" w:val="04A0"/>
      </w:tblPr>
      <w:tblGrid>
        <w:gridCol w:w="4680"/>
        <w:gridCol w:w="4680"/>
      </w:tblGrid>
      <w:tr>
        <w:tc>
          <w:tcPr>
            <w:tcW w:type="dxa" w:w="4680"/>
          </w:tcPr>
          <w:p>
            <w:pPr>
              <w:spacing w:line="276" w:lineRule="auto" w:after="0"/>
            </w:pPr>
            <w:r/>
            <w:r>
              <w:rPr>
                <w:rFonts w:ascii="Times New Roman" w:hAnsi="Times New Roman"/>
                <w:b/>
                <w:sz w:val="22"/>
              </w:rPr>
              <w:t>In scope</w:t>
            </w:r>
          </w:p>
        </w:tc>
        <w:tc>
          <w:tcPr>
            <w:tcW w:type="dxa" w:w="4680"/>
          </w:tcPr>
          <w:p>
            <w:pPr>
              <w:spacing w:line="276" w:lineRule="auto" w:after="0"/>
            </w:pPr>
            <w:r/>
            <w:r>
              <w:rPr>
                <w:rFonts w:ascii="Times New Roman" w:hAnsi="Times New Roman"/>
                <w:b/>
                <w:sz w:val="22"/>
              </w:rPr>
              <w:t>Out of scope</w:t>
            </w:r>
          </w:p>
        </w:tc>
      </w:tr>
      <w:tr>
        <w:tc>
          <w:tcPr>
            <w:tcW w:type="dxa" w:w="4680"/>
          </w:tcPr>
          <w:p>
            <w:pPr>
              <w:spacing w:line="276" w:lineRule="auto" w:after="0"/>
            </w:pPr>
            <w:r/>
            <w:r>
              <w:rPr>
                <w:rFonts w:ascii="Times New Roman" w:hAnsi="Times New Roman"/>
                <w:b w:val="0"/>
                <w:sz w:val="22"/>
              </w:rPr>
              <w:t>Redevelopment of the transport hub building and platforms</w:t>
            </w:r>
          </w:p>
        </w:tc>
        <w:tc>
          <w:tcPr>
            <w:tcW w:type="dxa" w:w="4680"/>
          </w:tcPr>
          <w:p>
            <w:pPr>
              <w:spacing w:line="276" w:lineRule="auto" w:after="0"/>
            </w:pPr>
            <w:r/>
            <w:r>
              <w:rPr>
                <w:rFonts w:ascii="Times New Roman" w:hAnsi="Times New Roman"/>
                <w:b w:val="0"/>
                <w:sz w:val="22"/>
              </w:rPr>
              <w:t>Construction of new rail or motorway infrastructure</w:t>
            </w:r>
          </w:p>
        </w:tc>
      </w:tr>
      <w:tr>
        <w:tc>
          <w:tcPr>
            <w:tcW w:type="dxa" w:w="4680"/>
          </w:tcPr>
          <w:p>
            <w:pPr>
              <w:spacing w:line="276" w:lineRule="auto" w:after="0"/>
            </w:pPr>
            <w:r/>
            <w:r>
              <w:rPr>
                <w:rFonts w:ascii="Times New Roman" w:hAnsi="Times New Roman"/>
                <w:b w:val="0"/>
                <w:sz w:val="22"/>
              </w:rPr>
              <w:t>Renewable energy generation and energy-efficient building systems</w:t>
            </w:r>
          </w:p>
        </w:tc>
        <w:tc>
          <w:tcPr>
            <w:tcW w:type="dxa" w:w="4680"/>
          </w:tcPr>
          <w:p>
            <w:pPr>
              <w:spacing w:line="276" w:lineRule="auto" w:after="0"/>
            </w:pPr>
            <w:r/>
            <w:r>
              <w:rPr>
                <w:rFonts w:ascii="Times New Roman" w:hAnsi="Times New Roman"/>
                <w:b w:val="0"/>
                <w:sz w:val="22"/>
              </w:rPr>
              <w:t>Housing and commercial developments outside the hub site</w:t>
            </w:r>
          </w:p>
        </w:tc>
      </w:tr>
      <w:tr>
        <w:tc>
          <w:tcPr>
            <w:tcW w:type="dxa" w:w="4680"/>
          </w:tcPr>
          <w:p>
            <w:pPr>
              <w:spacing w:line="276" w:lineRule="auto" w:after="0"/>
            </w:pPr>
            <w:r/>
            <w:r>
              <w:rPr>
                <w:rFonts w:ascii="Times New Roman" w:hAnsi="Times New Roman"/>
                <w:b w:val="0"/>
                <w:sz w:val="22"/>
              </w:rPr>
              <w:t>Electric vehicle charging infrastructure and secure cycle storage</w:t>
            </w:r>
          </w:p>
        </w:tc>
        <w:tc>
          <w:tcPr>
            <w:tcW w:type="dxa" w:w="4680"/>
          </w:tcPr>
          <w:p>
            <w:pPr>
              <w:spacing w:line="276" w:lineRule="auto" w:after="0"/>
            </w:pPr>
            <w:r/>
            <w:r>
              <w:rPr>
                <w:rFonts w:ascii="Times New Roman" w:hAnsi="Times New Roman"/>
                <w:b w:val="0"/>
                <w:sz w:val="22"/>
              </w:rPr>
              <w:t>Ownership or operation of transport services after handover</w:t>
            </w:r>
          </w:p>
        </w:tc>
      </w:tr>
      <w:tr>
        <w:tc>
          <w:tcPr>
            <w:tcW w:type="dxa" w:w="4680"/>
          </w:tcPr>
          <w:p>
            <w:pPr>
              <w:spacing w:line="276" w:lineRule="auto" w:after="0"/>
            </w:pPr>
            <w:r/>
            <w:r>
              <w:rPr>
                <w:rFonts w:ascii="Times New Roman" w:hAnsi="Times New Roman"/>
                <w:b w:val="0"/>
                <w:sz w:val="22"/>
              </w:rPr>
              <w:t>Accessibility upgrades, tactile wayfinding and step-free access</w:t>
            </w:r>
          </w:p>
        </w:tc>
        <w:tc>
          <w:tcPr>
            <w:tcW w:type="dxa" w:w="4680"/>
          </w:tcPr>
          <w:p>
            <w:pPr>
              <w:spacing w:line="276" w:lineRule="auto" w:after="0"/>
            </w:pPr>
            <w:r/>
            <w:r>
              <w:rPr>
                <w:rFonts w:ascii="Times New Roman" w:hAnsi="Times New Roman"/>
                <w:b w:val="0"/>
                <w:sz w:val="22"/>
              </w:rPr>
              <w:t>Regional multi-modal fare integration schemes</w:t>
            </w:r>
          </w:p>
        </w:tc>
      </w:tr>
      <w:tr>
        <w:tc>
          <w:tcPr>
            <w:tcW w:type="dxa" w:w="4680"/>
          </w:tcPr>
          <w:p>
            <w:pPr>
              <w:spacing w:line="276" w:lineRule="auto" w:after="0"/>
            </w:pPr>
            <w:r/>
            <w:r>
              <w:rPr>
                <w:rFonts w:ascii="Times New Roman" w:hAnsi="Times New Roman"/>
                <w:b w:val="0"/>
                <w:sz w:val="22"/>
              </w:rPr>
              <w:t>Digital passenger information systems and smart traffic management</w:t>
            </w:r>
          </w:p>
        </w:tc>
        <w:tc>
          <w:tcPr>
            <w:tcW w:type="dxa" w:w="4680"/>
          </w:tcPr>
          <w:p>
            <w:pPr>
              <w:spacing w:line="276" w:lineRule="auto" w:after="0"/>
            </w:pPr>
            <w:r/>
            <w:r>
              <w:rPr>
                <w:rFonts w:ascii="Times New Roman" w:hAnsi="Times New Roman"/>
                <w:b w:val="0"/>
                <w:sz w:val="22"/>
              </w:rPr>
              <w:t>Wider city-centre public realm improvements beyond the hub</w:t>
            </w:r>
          </w:p>
        </w:tc>
      </w:tr>
    </w:tbl>
    <w:p>
      <w:pPr>
        <w:pStyle w:val="Heading2"/>
      </w:pPr>
      <w:r>
        <w:rPr>
          <w:rFonts w:ascii="Times New Roman" w:hAnsi="Times New Roman"/>
        </w:rPr>
        <w:t>4. Work Breakdown Structure</w:t>
      </w:r>
    </w:p>
    <w:p>
      <w:pPr>
        <w:jc w:val="both"/>
      </w:pPr>
      <w:r>
        <w:rPr>
          <w:rFonts w:ascii="Times New Roman" w:hAnsi="Times New Roman"/>
          <w:b w:val="0"/>
          <w:i w:val="0"/>
          <w:sz w:val="24"/>
        </w:rPr>
        <w:t>The Work Breakdown Structure decomposes the project into hierarchical and manageable deliverables. Following Kerzner (2022) and the Project Management Institute (2021), the WBS is deliverable-oriented rather than a simple activity list. A well-constructed WBS supports both scope control and downstream estimating (Meredith, Shafer and Mantel, 2020). Table 2 shows the Level 1 work packages and their Level 2 components.</w:t>
      </w:r>
    </w:p>
    <w:p>
      <w:pPr>
        <w:spacing w:before="160" w:after="80"/>
        <w:jc w:val="left"/>
      </w:pPr>
      <w:r>
        <w:rPr>
          <w:rFonts w:ascii="Times New Roman" w:hAnsi="Times New Roman"/>
          <w:b/>
          <w:sz w:val="22"/>
        </w:rPr>
        <w:t>Table 2. Work Breakdown Structure at Level 1 and Level 2.</w:t>
      </w:r>
    </w:p>
    <w:tbl>
      <w:tblPr>
        <w:tblStyle w:val="TableGrid"/>
        <w:tblW w:type="auto" w:w="0"/>
        <w:jc w:val="center"/>
        <w:tblLook w:firstColumn="1" w:firstRow="1" w:lastColumn="0" w:lastRow="0" w:noHBand="0" w:noVBand="1" w:val="04A0"/>
      </w:tblPr>
      <w:tblGrid>
        <w:gridCol w:w="3120"/>
        <w:gridCol w:w="3120"/>
        <w:gridCol w:w="3120"/>
      </w:tblGrid>
      <w:tr>
        <w:tc>
          <w:tcPr>
            <w:tcW w:type="dxa" w:w="3120"/>
          </w:tcPr>
          <w:p>
            <w:pPr>
              <w:spacing w:line="276" w:lineRule="auto" w:after="0"/>
            </w:pPr>
            <w:r/>
            <w:r>
              <w:rPr>
                <w:rFonts w:ascii="Times New Roman" w:hAnsi="Times New Roman"/>
                <w:b/>
                <w:sz w:val="22"/>
              </w:rPr>
              <w:t>Code</w:t>
            </w:r>
          </w:p>
        </w:tc>
        <w:tc>
          <w:tcPr>
            <w:tcW w:type="dxa" w:w="3120"/>
          </w:tcPr>
          <w:p>
            <w:pPr>
              <w:spacing w:line="276" w:lineRule="auto" w:after="0"/>
            </w:pPr>
            <w:r/>
            <w:r>
              <w:rPr>
                <w:rFonts w:ascii="Times New Roman" w:hAnsi="Times New Roman"/>
                <w:b/>
                <w:sz w:val="22"/>
              </w:rPr>
              <w:t>Level 1 work package</w:t>
            </w:r>
          </w:p>
        </w:tc>
        <w:tc>
          <w:tcPr>
            <w:tcW w:type="dxa" w:w="3120"/>
          </w:tcPr>
          <w:p>
            <w:pPr>
              <w:spacing w:line="276" w:lineRule="auto" w:after="0"/>
            </w:pPr>
            <w:r/>
            <w:r>
              <w:rPr>
                <w:rFonts w:ascii="Times New Roman" w:hAnsi="Times New Roman"/>
                <w:b/>
                <w:sz w:val="22"/>
              </w:rPr>
              <w:t>Level 2 components</w:t>
            </w:r>
          </w:p>
        </w:tc>
      </w:tr>
      <w:tr>
        <w:tc>
          <w:tcPr>
            <w:tcW w:type="dxa" w:w="3120"/>
          </w:tcPr>
          <w:p>
            <w:pPr>
              <w:spacing w:line="276" w:lineRule="auto" w:after="0"/>
            </w:pPr>
            <w:r/>
            <w:r>
              <w:rPr>
                <w:rFonts w:ascii="Times New Roman" w:hAnsi="Times New Roman"/>
                <w:b w:val="0"/>
                <w:sz w:val="22"/>
              </w:rPr>
              <w:t>1.0</w:t>
            </w:r>
          </w:p>
        </w:tc>
        <w:tc>
          <w:tcPr>
            <w:tcW w:type="dxa" w:w="3120"/>
          </w:tcPr>
          <w:p>
            <w:pPr>
              <w:spacing w:line="276" w:lineRule="auto" w:after="0"/>
            </w:pPr>
            <w:r/>
            <w:r>
              <w:rPr>
                <w:rFonts w:ascii="Times New Roman" w:hAnsi="Times New Roman"/>
                <w:b w:val="0"/>
                <w:sz w:val="22"/>
              </w:rPr>
              <w:t>Project management</w:t>
            </w:r>
          </w:p>
        </w:tc>
        <w:tc>
          <w:tcPr>
            <w:tcW w:type="dxa" w:w="3120"/>
          </w:tcPr>
          <w:p>
            <w:pPr>
              <w:spacing w:line="276" w:lineRule="auto" w:after="0"/>
            </w:pPr>
            <w:r/>
            <w:r>
              <w:rPr>
                <w:rFonts w:ascii="Times New Roman" w:hAnsi="Times New Roman"/>
                <w:b w:val="0"/>
                <w:sz w:val="22"/>
              </w:rPr>
              <w:t>Governance, planning, monitoring, closure</w:t>
            </w:r>
          </w:p>
        </w:tc>
      </w:tr>
      <w:tr>
        <w:tc>
          <w:tcPr>
            <w:tcW w:type="dxa" w:w="3120"/>
          </w:tcPr>
          <w:p>
            <w:pPr>
              <w:spacing w:line="276" w:lineRule="auto" w:after="0"/>
            </w:pPr>
            <w:r/>
            <w:r>
              <w:rPr>
                <w:rFonts w:ascii="Times New Roman" w:hAnsi="Times New Roman"/>
                <w:b w:val="0"/>
                <w:sz w:val="22"/>
              </w:rPr>
              <w:t>2.0</w:t>
            </w:r>
          </w:p>
        </w:tc>
        <w:tc>
          <w:tcPr>
            <w:tcW w:type="dxa" w:w="3120"/>
          </w:tcPr>
          <w:p>
            <w:pPr>
              <w:spacing w:line="276" w:lineRule="auto" w:after="0"/>
            </w:pPr>
            <w:r/>
            <w:r>
              <w:rPr>
                <w:rFonts w:ascii="Times New Roman" w:hAnsi="Times New Roman"/>
                <w:b w:val="0"/>
                <w:sz w:val="22"/>
              </w:rPr>
              <w:t>Design and consents</w:t>
            </w:r>
          </w:p>
        </w:tc>
        <w:tc>
          <w:tcPr>
            <w:tcW w:type="dxa" w:w="3120"/>
          </w:tcPr>
          <w:p>
            <w:pPr>
              <w:spacing w:line="276" w:lineRule="auto" w:after="0"/>
            </w:pPr>
            <w:r/>
            <w:r>
              <w:rPr>
                <w:rFonts w:ascii="Times New Roman" w:hAnsi="Times New Roman"/>
                <w:b w:val="0"/>
                <w:sz w:val="22"/>
              </w:rPr>
              <w:t>Feasibility, concept design, detailed design, planning permission</w:t>
            </w:r>
          </w:p>
        </w:tc>
      </w:tr>
      <w:tr>
        <w:tc>
          <w:tcPr>
            <w:tcW w:type="dxa" w:w="3120"/>
          </w:tcPr>
          <w:p>
            <w:pPr>
              <w:spacing w:line="276" w:lineRule="auto" w:after="0"/>
            </w:pPr>
            <w:r/>
            <w:r>
              <w:rPr>
                <w:rFonts w:ascii="Times New Roman" w:hAnsi="Times New Roman"/>
                <w:b w:val="0"/>
                <w:sz w:val="22"/>
              </w:rPr>
              <w:t>3.0</w:t>
            </w:r>
          </w:p>
        </w:tc>
        <w:tc>
          <w:tcPr>
            <w:tcW w:type="dxa" w:w="3120"/>
          </w:tcPr>
          <w:p>
            <w:pPr>
              <w:spacing w:line="276" w:lineRule="auto" w:after="0"/>
            </w:pPr>
            <w:r/>
            <w:r>
              <w:rPr>
                <w:rFonts w:ascii="Times New Roman" w:hAnsi="Times New Roman"/>
                <w:b w:val="0"/>
                <w:sz w:val="22"/>
              </w:rPr>
              <w:t>Site preparation</w:t>
            </w:r>
          </w:p>
        </w:tc>
        <w:tc>
          <w:tcPr>
            <w:tcW w:type="dxa" w:w="3120"/>
          </w:tcPr>
          <w:p>
            <w:pPr>
              <w:spacing w:line="276" w:lineRule="auto" w:after="0"/>
            </w:pPr>
            <w:r/>
            <w:r>
              <w:rPr>
                <w:rFonts w:ascii="Times New Roman" w:hAnsi="Times New Roman"/>
                <w:b w:val="0"/>
                <w:sz w:val="22"/>
              </w:rPr>
              <w:t>Enabling works, demolition, temporary transport arrangements</w:t>
            </w:r>
          </w:p>
        </w:tc>
      </w:tr>
      <w:tr>
        <w:tc>
          <w:tcPr>
            <w:tcW w:type="dxa" w:w="3120"/>
          </w:tcPr>
          <w:p>
            <w:pPr>
              <w:spacing w:line="276" w:lineRule="auto" w:after="0"/>
            </w:pPr>
            <w:r/>
            <w:r>
              <w:rPr>
                <w:rFonts w:ascii="Times New Roman" w:hAnsi="Times New Roman"/>
                <w:b w:val="0"/>
                <w:sz w:val="22"/>
              </w:rPr>
              <w:t>4.0</w:t>
            </w:r>
          </w:p>
        </w:tc>
        <w:tc>
          <w:tcPr>
            <w:tcW w:type="dxa" w:w="3120"/>
          </w:tcPr>
          <w:p>
            <w:pPr>
              <w:spacing w:line="276" w:lineRule="auto" w:after="0"/>
            </w:pPr>
            <w:r/>
            <w:r>
              <w:rPr>
                <w:rFonts w:ascii="Times New Roman" w:hAnsi="Times New Roman"/>
                <w:b w:val="0"/>
                <w:sz w:val="22"/>
              </w:rPr>
              <w:t>Construction</w:t>
            </w:r>
          </w:p>
        </w:tc>
        <w:tc>
          <w:tcPr>
            <w:tcW w:type="dxa" w:w="3120"/>
          </w:tcPr>
          <w:p>
            <w:pPr>
              <w:spacing w:line="276" w:lineRule="auto" w:after="0"/>
            </w:pPr>
            <w:r/>
            <w:r>
              <w:rPr>
                <w:rFonts w:ascii="Times New Roman" w:hAnsi="Times New Roman"/>
                <w:b w:val="0"/>
                <w:sz w:val="22"/>
              </w:rPr>
              <w:t>Structural works, envelope, mechanical services, fit-out</w:t>
            </w:r>
          </w:p>
        </w:tc>
      </w:tr>
      <w:tr>
        <w:tc>
          <w:tcPr>
            <w:tcW w:type="dxa" w:w="3120"/>
          </w:tcPr>
          <w:p>
            <w:pPr>
              <w:spacing w:line="276" w:lineRule="auto" w:after="0"/>
            </w:pPr>
            <w:r/>
            <w:r>
              <w:rPr>
                <w:rFonts w:ascii="Times New Roman" w:hAnsi="Times New Roman"/>
                <w:b w:val="0"/>
                <w:sz w:val="22"/>
              </w:rPr>
              <w:t>5.0</w:t>
            </w:r>
          </w:p>
        </w:tc>
        <w:tc>
          <w:tcPr>
            <w:tcW w:type="dxa" w:w="3120"/>
          </w:tcPr>
          <w:p>
            <w:pPr>
              <w:spacing w:line="276" w:lineRule="auto" w:after="0"/>
            </w:pPr>
            <w:r/>
            <w:r>
              <w:rPr>
                <w:rFonts w:ascii="Times New Roman" w:hAnsi="Times New Roman"/>
                <w:b w:val="0"/>
                <w:sz w:val="22"/>
              </w:rPr>
              <w:t>Sustainability systems</w:t>
            </w:r>
          </w:p>
        </w:tc>
        <w:tc>
          <w:tcPr>
            <w:tcW w:type="dxa" w:w="3120"/>
          </w:tcPr>
          <w:p>
            <w:pPr>
              <w:spacing w:line="276" w:lineRule="auto" w:after="0"/>
            </w:pPr>
            <w:r/>
            <w:r>
              <w:rPr>
                <w:rFonts w:ascii="Times New Roman" w:hAnsi="Times New Roman"/>
                <w:b w:val="0"/>
                <w:sz w:val="22"/>
              </w:rPr>
              <w:t>Photovoltaic array, EV charging, energy management, water reuse</w:t>
            </w:r>
          </w:p>
        </w:tc>
      </w:tr>
      <w:tr>
        <w:tc>
          <w:tcPr>
            <w:tcW w:type="dxa" w:w="3120"/>
          </w:tcPr>
          <w:p>
            <w:pPr>
              <w:spacing w:line="276" w:lineRule="auto" w:after="0"/>
            </w:pPr>
            <w:r/>
            <w:r>
              <w:rPr>
                <w:rFonts w:ascii="Times New Roman" w:hAnsi="Times New Roman"/>
                <w:b w:val="0"/>
                <w:sz w:val="22"/>
              </w:rPr>
              <w:t>6.0</w:t>
            </w:r>
          </w:p>
        </w:tc>
        <w:tc>
          <w:tcPr>
            <w:tcW w:type="dxa" w:w="3120"/>
          </w:tcPr>
          <w:p>
            <w:pPr>
              <w:spacing w:line="276" w:lineRule="auto" w:after="0"/>
            </w:pPr>
            <w:r/>
            <w:r>
              <w:rPr>
                <w:rFonts w:ascii="Times New Roman" w:hAnsi="Times New Roman"/>
                <w:b w:val="0"/>
                <w:sz w:val="22"/>
              </w:rPr>
              <w:t>Digital infrastructure</w:t>
            </w:r>
          </w:p>
        </w:tc>
        <w:tc>
          <w:tcPr>
            <w:tcW w:type="dxa" w:w="3120"/>
          </w:tcPr>
          <w:p>
            <w:pPr>
              <w:spacing w:line="276" w:lineRule="auto" w:after="0"/>
            </w:pPr>
            <w:r/>
            <w:r>
              <w:rPr>
                <w:rFonts w:ascii="Times New Roman" w:hAnsi="Times New Roman"/>
                <w:b w:val="0"/>
                <w:sz w:val="22"/>
              </w:rPr>
              <w:t>Passenger information, wayfinding, smart traffic management</w:t>
            </w:r>
          </w:p>
        </w:tc>
      </w:tr>
      <w:tr>
        <w:tc>
          <w:tcPr>
            <w:tcW w:type="dxa" w:w="3120"/>
          </w:tcPr>
          <w:p>
            <w:pPr>
              <w:spacing w:line="276" w:lineRule="auto" w:after="0"/>
            </w:pPr>
            <w:r/>
            <w:r>
              <w:rPr>
                <w:rFonts w:ascii="Times New Roman" w:hAnsi="Times New Roman"/>
                <w:b w:val="0"/>
                <w:sz w:val="22"/>
              </w:rPr>
              <w:t>7.0</w:t>
            </w:r>
          </w:p>
        </w:tc>
        <w:tc>
          <w:tcPr>
            <w:tcW w:type="dxa" w:w="3120"/>
          </w:tcPr>
          <w:p>
            <w:pPr>
              <w:spacing w:line="276" w:lineRule="auto" w:after="0"/>
            </w:pPr>
            <w:r/>
            <w:r>
              <w:rPr>
                <w:rFonts w:ascii="Times New Roman" w:hAnsi="Times New Roman"/>
                <w:b w:val="0"/>
                <w:sz w:val="22"/>
              </w:rPr>
              <w:t>Commissioning and handover</w:t>
            </w:r>
          </w:p>
        </w:tc>
        <w:tc>
          <w:tcPr>
            <w:tcW w:type="dxa" w:w="3120"/>
          </w:tcPr>
          <w:p>
            <w:pPr>
              <w:spacing w:line="276" w:lineRule="auto" w:after="0"/>
            </w:pPr>
            <w:r/>
            <w:r>
              <w:rPr>
                <w:rFonts w:ascii="Times New Roman" w:hAnsi="Times New Roman"/>
                <w:b w:val="0"/>
                <w:sz w:val="22"/>
              </w:rPr>
              <w:t>Testing, staff training, accessibility audit, operational handover</w:t>
            </w:r>
          </w:p>
        </w:tc>
      </w:tr>
    </w:tbl>
    <w:p>
      <w:pPr>
        <w:pStyle w:val="Heading2"/>
      </w:pPr>
      <w:r>
        <w:rPr>
          <w:rFonts w:ascii="Times New Roman" w:hAnsi="Times New Roman"/>
        </w:rPr>
        <w:t>5. Quad Chart</w:t>
      </w:r>
    </w:p>
    <w:p>
      <w:pPr>
        <w:jc w:val="both"/>
      </w:pPr>
      <w:r>
        <w:rPr>
          <w:rFonts w:ascii="Times New Roman" w:hAnsi="Times New Roman"/>
          <w:b w:val="0"/>
          <w:i w:val="0"/>
          <w:sz w:val="24"/>
        </w:rPr>
        <w:t>The quad chart is a single-page project summary tool widely used to communicate the essence of a project (Berkun, 2008). The chart splits the summary into four quadrants: objectives, approach, milestones and risks. This format is particularly useful in stakeholder briefings, where senior decision makers require a concise overview (Turner, 2014). Table 3 sets out the quad chart for the sustainable redesign project.</w:t>
      </w:r>
    </w:p>
    <w:p>
      <w:pPr>
        <w:spacing w:before="160" w:after="80"/>
        <w:jc w:val="left"/>
      </w:pPr>
      <w:r>
        <w:rPr>
          <w:rFonts w:ascii="Times New Roman" w:hAnsi="Times New Roman"/>
          <w:b/>
          <w:sz w:val="22"/>
        </w:rPr>
        <w:t>Table 3. Quad chart, project summary.</w:t>
      </w:r>
    </w:p>
    <w:tbl>
      <w:tblPr>
        <w:tblStyle w:val="TableGrid"/>
        <w:tblW w:type="auto" w:w="0"/>
        <w:jc w:val="center"/>
        <w:tblLook w:firstColumn="1" w:firstRow="1" w:lastColumn="0" w:lastRow="0" w:noHBand="0" w:noVBand="1" w:val="04A0"/>
      </w:tblPr>
      <w:tblGrid>
        <w:gridCol w:w="4680"/>
        <w:gridCol w:w="4680"/>
      </w:tblGrid>
      <w:tr>
        <w:tc>
          <w:tcPr>
            <w:tcW w:type="dxa" w:w="9360"/>
            <w:gridSpan w:val="2"/>
          </w:tcPr>
          <w:p>
            <w:pPr>
              <w:spacing w:line="276" w:lineRule="auto" w:after="0"/>
              <w:jc w:val="center"/>
            </w:pPr>
            <w:r/>
            <w:r>
              <w:rPr>
                <w:rFonts w:ascii="Times New Roman" w:hAnsi="Times New Roman"/>
                <w:b/>
                <w:sz w:val="24"/>
              </w:rPr>
              <w:t>Sustainable Redesign of the Central Transport Hub</w:t>
            </w:r>
          </w:p>
        </w:tc>
      </w:tr>
      <w:tr>
        <w:tc>
          <w:tcPr>
            <w:tcW w:type="dxa" w:w="4680"/>
          </w:tcPr>
          <w:p>
            <w:pPr>
              <w:spacing w:line="276" w:lineRule="auto"/>
            </w:pPr>
            <w:r/>
            <w:r>
              <w:rPr>
                <w:rFonts w:ascii="Times New Roman" w:hAnsi="Times New Roman"/>
                <w:b/>
                <w:sz w:val="22"/>
              </w:rPr>
              <w:t>Objectives</w:t>
              <w:br/>
            </w:r>
            <w:r>
              <w:rPr>
                <w:rFonts w:ascii="Times New Roman" w:hAnsi="Times New Roman"/>
                <w:sz w:val="22"/>
              </w:rPr>
              <w:t>40% carbon reduction, on-site renewables, full accessibility, 25% increase in public transport use, and smart passenger technology.</w:t>
            </w:r>
          </w:p>
        </w:tc>
        <w:tc>
          <w:tcPr>
            <w:tcW w:type="dxa" w:w="4680"/>
          </w:tcPr>
          <w:p>
            <w:pPr>
              <w:spacing w:line="276" w:lineRule="auto"/>
            </w:pPr>
            <w:r/>
            <w:r>
              <w:rPr>
                <w:rFonts w:ascii="Times New Roman" w:hAnsi="Times New Roman"/>
                <w:b/>
                <w:sz w:val="22"/>
              </w:rPr>
              <w:t>Approach</w:t>
              <w:br/>
            </w:r>
            <w:r>
              <w:rPr>
                <w:rFonts w:ascii="Times New Roman" w:hAnsi="Times New Roman"/>
                <w:sz w:val="22"/>
              </w:rPr>
              <w:t>Traditional plus agile hybrid, following RIBA design stages 0 to 7, the PMBOK framework, and APM stakeholder engagement standards.</w:t>
            </w:r>
          </w:p>
        </w:tc>
      </w:tr>
      <w:tr>
        <w:tc>
          <w:tcPr>
            <w:tcW w:type="dxa" w:w="4680"/>
          </w:tcPr>
          <w:p>
            <w:pPr>
              <w:spacing w:line="276" w:lineRule="auto"/>
            </w:pPr>
            <w:r/>
            <w:r>
              <w:rPr>
                <w:rFonts w:ascii="Times New Roman" w:hAnsi="Times New Roman"/>
                <w:b/>
                <w:sz w:val="22"/>
              </w:rPr>
              <w:t>Key milestones</w:t>
              <w:br/>
            </w:r>
            <w:r>
              <w:rPr>
                <w:rFonts w:ascii="Times New Roman" w:hAnsi="Times New Roman"/>
                <w:sz w:val="22"/>
              </w:rPr>
              <w:t>Month 3, design complete. Month 6, consents secured. Month 9, site preparation complete. Month 15, structural handover. Month 18, full opening.</w:t>
            </w:r>
          </w:p>
        </w:tc>
        <w:tc>
          <w:tcPr>
            <w:tcW w:type="dxa" w:w="4680"/>
          </w:tcPr>
          <w:p>
            <w:pPr>
              <w:spacing w:line="276" w:lineRule="auto"/>
            </w:pPr>
            <w:r/>
            <w:r>
              <w:rPr>
                <w:rFonts w:ascii="Times New Roman" w:hAnsi="Times New Roman"/>
                <w:b/>
                <w:sz w:val="22"/>
              </w:rPr>
              <w:t>Top risks</w:t>
              <w:br/>
            </w:r>
            <w:r>
              <w:rPr>
                <w:rFonts w:ascii="Times New Roman" w:hAnsi="Times New Roman"/>
                <w:sz w:val="22"/>
              </w:rPr>
              <w:t>Budget overrun, planning consent delay, supply-chain volatility for photovoltaic modules, and stakeholder resistance.</w:t>
            </w:r>
          </w:p>
        </w:tc>
      </w:tr>
    </w:tbl>
    <w:p>
      <w:pPr>
        <w:pStyle w:val="Heading2"/>
      </w:pPr>
      <w:r>
        <w:rPr>
          <w:rFonts w:ascii="Times New Roman" w:hAnsi="Times New Roman"/>
        </w:rPr>
        <w:t>6. Gantt Chart</w:t>
      </w:r>
    </w:p>
    <w:p>
      <w:pPr>
        <w:jc w:val="both"/>
      </w:pPr>
      <w:r>
        <w:rPr>
          <w:rFonts w:ascii="Times New Roman" w:hAnsi="Times New Roman"/>
          <w:b w:val="0"/>
          <w:i w:val="0"/>
          <w:sz w:val="24"/>
        </w:rPr>
        <w:t>A Gantt chart provides a time-phased view of project activities, showing sequence, duration and dependencies (Wilson, 2003). The Gantt chart remains one of the most widely used scheduling tools in project management practice (Meredith, Shafer and Mantel, 2020). Figure 2 presents the 18-month schedule for this programme. Each row represents a Level 1 WBS work package and the cells marked X show the planned duration in months.</w:t>
      </w:r>
    </w:p>
    <w:tbl>
      <w:tblPr>
        <w:tblStyle w:val="TableGrid"/>
        <w:tblW w:type="auto" w:w="0"/>
        <w:jc w:val="center"/>
        <w:tblLook w:firstColumn="1" w:firstRow="1" w:lastColumn="0" w:lastRow="0" w:noHBand="0" w:noVBand="1" w:val="04A0"/>
      </w:tblPr>
      <w:tblGrid>
        <w:gridCol w:w="493"/>
        <w:gridCol w:w="493"/>
        <w:gridCol w:w="493"/>
        <w:gridCol w:w="493"/>
        <w:gridCol w:w="493"/>
        <w:gridCol w:w="493"/>
        <w:gridCol w:w="493"/>
        <w:gridCol w:w="493"/>
        <w:gridCol w:w="493"/>
        <w:gridCol w:w="493"/>
        <w:gridCol w:w="493"/>
        <w:gridCol w:w="493"/>
        <w:gridCol w:w="493"/>
        <w:gridCol w:w="493"/>
        <w:gridCol w:w="493"/>
        <w:gridCol w:w="493"/>
        <w:gridCol w:w="493"/>
        <w:gridCol w:w="493"/>
        <w:gridCol w:w="493"/>
      </w:tblGrid>
      <w:tr>
        <w:tc>
          <w:tcPr>
            <w:tcW w:type="dxa" w:w="493"/>
          </w:tcPr>
          <w:p>
            <w:pPr>
              <w:spacing w:line="276" w:lineRule="auto" w:after="0"/>
              <w:jc w:val="center"/>
            </w:pPr>
            <w:r/>
            <w:r>
              <w:rPr>
                <w:rFonts w:ascii="Times New Roman" w:hAnsi="Times New Roman"/>
                <w:b/>
                <w:sz w:val="18"/>
              </w:rPr>
              <w:t>Work package</w:t>
            </w:r>
          </w:p>
        </w:tc>
        <w:tc>
          <w:tcPr>
            <w:tcW w:type="dxa" w:w="493"/>
          </w:tcPr>
          <w:p>
            <w:pPr>
              <w:spacing w:line="276" w:lineRule="auto" w:after="0"/>
              <w:jc w:val="center"/>
            </w:pPr>
            <w:r/>
            <w:r>
              <w:rPr>
                <w:rFonts w:ascii="Times New Roman" w:hAnsi="Times New Roman"/>
                <w:b/>
                <w:sz w:val="18"/>
              </w:rPr>
              <w:t>M1</w:t>
            </w:r>
          </w:p>
        </w:tc>
        <w:tc>
          <w:tcPr>
            <w:tcW w:type="dxa" w:w="493"/>
          </w:tcPr>
          <w:p>
            <w:pPr>
              <w:spacing w:line="276" w:lineRule="auto" w:after="0"/>
              <w:jc w:val="center"/>
            </w:pPr>
            <w:r/>
            <w:r>
              <w:rPr>
                <w:rFonts w:ascii="Times New Roman" w:hAnsi="Times New Roman"/>
                <w:b/>
                <w:sz w:val="18"/>
              </w:rPr>
              <w:t>M2</w:t>
            </w:r>
          </w:p>
        </w:tc>
        <w:tc>
          <w:tcPr>
            <w:tcW w:type="dxa" w:w="493"/>
          </w:tcPr>
          <w:p>
            <w:pPr>
              <w:spacing w:line="276" w:lineRule="auto" w:after="0"/>
              <w:jc w:val="center"/>
            </w:pPr>
            <w:r/>
            <w:r>
              <w:rPr>
                <w:rFonts w:ascii="Times New Roman" w:hAnsi="Times New Roman"/>
                <w:b/>
                <w:sz w:val="18"/>
              </w:rPr>
              <w:t>M3</w:t>
            </w:r>
          </w:p>
        </w:tc>
        <w:tc>
          <w:tcPr>
            <w:tcW w:type="dxa" w:w="493"/>
          </w:tcPr>
          <w:p>
            <w:pPr>
              <w:spacing w:line="276" w:lineRule="auto" w:after="0"/>
              <w:jc w:val="center"/>
            </w:pPr>
            <w:r/>
            <w:r>
              <w:rPr>
                <w:rFonts w:ascii="Times New Roman" w:hAnsi="Times New Roman"/>
                <w:b/>
                <w:sz w:val="18"/>
              </w:rPr>
              <w:t>M4</w:t>
            </w:r>
          </w:p>
        </w:tc>
        <w:tc>
          <w:tcPr>
            <w:tcW w:type="dxa" w:w="493"/>
          </w:tcPr>
          <w:p>
            <w:pPr>
              <w:spacing w:line="276" w:lineRule="auto" w:after="0"/>
              <w:jc w:val="center"/>
            </w:pPr>
            <w:r/>
            <w:r>
              <w:rPr>
                <w:rFonts w:ascii="Times New Roman" w:hAnsi="Times New Roman"/>
                <w:b/>
                <w:sz w:val="18"/>
              </w:rPr>
              <w:t>M5</w:t>
            </w:r>
          </w:p>
        </w:tc>
        <w:tc>
          <w:tcPr>
            <w:tcW w:type="dxa" w:w="493"/>
          </w:tcPr>
          <w:p>
            <w:pPr>
              <w:spacing w:line="276" w:lineRule="auto" w:after="0"/>
              <w:jc w:val="center"/>
            </w:pPr>
            <w:r/>
            <w:r>
              <w:rPr>
                <w:rFonts w:ascii="Times New Roman" w:hAnsi="Times New Roman"/>
                <w:b/>
                <w:sz w:val="18"/>
              </w:rPr>
              <w:t>M6</w:t>
            </w:r>
          </w:p>
        </w:tc>
        <w:tc>
          <w:tcPr>
            <w:tcW w:type="dxa" w:w="493"/>
          </w:tcPr>
          <w:p>
            <w:pPr>
              <w:spacing w:line="276" w:lineRule="auto" w:after="0"/>
              <w:jc w:val="center"/>
            </w:pPr>
            <w:r/>
            <w:r>
              <w:rPr>
                <w:rFonts w:ascii="Times New Roman" w:hAnsi="Times New Roman"/>
                <w:b/>
                <w:sz w:val="18"/>
              </w:rPr>
              <w:t>M7</w:t>
            </w:r>
          </w:p>
        </w:tc>
        <w:tc>
          <w:tcPr>
            <w:tcW w:type="dxa" w:w="493"/>
          </w:tcPr>
          <w:p>
            <w:pPr>
              <w:spacing w:line="276" w:lineRule="auto" w:after="0"/>
              <w:jc w:val="center"/>
            </w:pPr>
            <w:r/>
            <w:r>
              <w:rPr>
                <w:rFonts w:ascii="Times New Roman" w:hAnsi="Times New Roman"/>
                <w:b/>
                <w:sz w:val="18"/>
              </w:rPr>
              <w:t>M8</w:t>
            </w:r>
          </w:p>
        </w:tc>
        <w:tc>
          <w:tcPr>
            <w:tcW w:type="dxa" w:w="493"/>
          </w:tcPr>
          <w:p>
            <w:pPr>
              <w:spacing w:line="276" w:lineRule="auto" w:after="0"/>
              <w:jc w:val="center"/>
            </w:pPr>
            <w:r/>
            <w:r>
              <w:rPr>
                <w:rFonts w:ascii="Times New Roman" w:hAnsi="Times New Roman"/>
                <w:b/>
                <w:sz w:val="18"/>
              </w:rPr>
              <w:t>M9</w:t>
            </w:r>
          </w:p>
        </w:tc>
        <w:tc>
          <w:tcPr>
            <w:tcW w:type="dxa" w:w="493"/>
          </w:tcPr>
          <w:p>
            <w:pPr>
              <w:spacing w:line="276" w:lineRule="auto" w:after="0"/>
              <w:jc w:val="center"/>
            </w:pPr>
            <w:r/>
            <w:r>
              <w:rPr>
                <w:rFonts w:ascii="Times New Roman" w:hAnsi="Times New Roman"/>
                <w:b/>
                <w:sz w:val="18"/>
              </w:rPr>
              <w:t>M10</w:t>
            </w:r>
          </w:p>
        </w:tc>
        <w:tc>
          <w:tcPr>
            <w:tcW w:type="dxa" w:w="493"/>
          </w:tcPr>
          <w:p>
            <w:pPr>
              <w:spacing w:line="276" w:lineRule="auto" w:after="0"/>
              <w:jc w:val="center"/>
            </w:pPr>
            <w:r/>
            <w:r>
              <w:rPr>
                <w:rFonts w:ascii="Times New Roman" w:hAnsi="Times New Roman"/>
                <w:b/>
                <w:sz w:val="18"/>
              </w:rPr>
              <w:t>M11</w:t>
            </w:r>
          </w:p>
        </w:tc>
        <w:tc>
          <w:tcPr>
            <w:tcW w:type="dxa" w:w="493"/>
          </w:tcPr>
          <w:p>
            <w:pPr>
              <w:spacing w:line="276" w:lineRule="auto" w:after="0"/>
              <w:jc w:val="center"/>
            </w:pPr>
            <w:r/>
            <w:r>
              <w:rPr>
                <w:rFonts w:ascii="Times New Roman" w:hAnsi="Times New Roman"/>
                <w:b/>
                <w:sz w:val="18"/>
              </w:rPr>
              <w:t>M12</w:t>
            </w:r>
          </w:p>
        </w:tc>
        <w:tc>
          <w:tcPr>
            <w:tcW w:type="dxa" w:w="493"/>
          </w:tcPr>
          <w:p>
            <w:pPr>
              <w:spacing w:line="276" w:lineRule="auto" w:after="0"/>
              <w:jc w:val="center"/>
            </w:pPr>
            <w:r/>
            <w:r>
              <w:rPr>
                <w:rFonts w:ascii="Times New Roman" w:hAnsi="Times New Roman"/>
                <w:b/>
                <w:sz w:val="18"/>
              </w:rPr>
              <w:t>M13</w:t>
            </w:r>
          </w:p>
        </w:tc>
        <w:tc>
          <w:tcPr>
            <w:tcW w:type="dxa" w:w="493"/>
          </w:tcPr>
          <w:p>
            <w:pPr>
              <w:spacing w:line="276" w:lineRule="auto" w:after="0"/>
              <w:jc w:val="center"/>
            </w:pPr>
            <w:r/>
            <w:r>
              <w:rPr>
                <w:rFonts w:ascii="Times New Roman" w:hAnsi="Times New Roman"/>
                <w:b/>
                <w:sz w:val="18"/>
              </w:rPr>
              <w:t>M14</w:t>
            </w:r>
          </w:p>
        </w:tc>
        <w:tc>
          <w:tcPr>
            <w:tcW w:type="dxa" w:w="493"/>
          </w:tcPr>
          <w:p>
            <w:pPr>
              <w:spacing w:line="276" w:lineRule="auto" w:after="0"/>
              <w:jc w:val="center"/>
            </w:pPr>
            <w:r/>
            <w:r>
              <w:rPr>
                <w:rFonts w:ascii="Times New Roman" w:hAnsi="Times New Roman"/>
                <w:b/>
                <w:sz w:val="18"/>
              </w:rPr>
              <w:t>M15</w:t>
            </w:r>
          </w:p>
        </w:tc>
        <w:tc>
          <w:tcPr>
            <w:tcW w:type="dxa" w:w="493"/>
          </w:tcPr>
          <w:p>
            <w:pPr>
              <w:spacing w:line="276" w:lineRule="auto" w:after="0"/>
              <w:jc w:val="center"/>
            </w:pPr>
            <w:r/>
            <w:r>
              <w:rPr>
                <w:rFonts w:ascii="Times New Roman" w:hAnsi="Times New Roman"/>
                <w:b/>
                <w:sz w:val="18"/>
              </w:rPr>
              <w:t>M16</w:t>
            </w:r>
          </w:p>
        </w:tc>
        <w:tc>
          <w:tcPr>
            <w:tcW w:type="dxa" w:w="493"/>
          </w:tcPr>
          <w:p>
            <w:pPr>
              <w:spacing w:line="276" w:lineRule="auto" w:after="0"/>
              <w:jc w:val="center"/>
            </w:pPr>
            <w:r/>
            <w:r>
              <w:rPr>
                <w:rFonts w:ascii="Times New Roman" w:hAnsi="Times New Roman"/>
                <w:b/>
                <w:sz w:val="18"/>
              </w:rPr>
              <w:t>M17</w:t>
            </w:r>
          </w:p>
        </w:tc>
        <w:tc>
          <w:tcPr>
            <w:tcW w:type="dxa" w:w="493"/>
          </w:tcPr>
          <w:p>
            <w:pPr>
              <w:spacing w:line="276" w:lineRule="auto" w:after="0"/>
              <w:jc w:val="center"/>
            </w:pPr>
            <w:r/>
            <w:r>
              <w:rPr>
                <w:rFonts w:ascii="Times New Roman" w:hAnsi="Times New Roman"/>
                <w:b/>
                <w:sz w:val="18"/>
              </w:rPr>
              <w:t>M18</w:t>
            </w:r>
          </w:p>
        </w:tc>
      </w:tr>
      <w:tr>
        <w:tc>
          <w:tcPr>
            <w:tcW w:type="dxa" w:w="493"/>
          </w:tcPr>
          <w:p>
            <w:pPr>
              <w:spacing w:line="276" w:lineRule="auto" w:after="0"/>
            </w:pPr>
            <w:r/>
            <w:r>
              <w:rPr>
                <w:rFonts w:ascii="Times New Roman" w:hAnsi="Times New Roman"/>
                <w:b/>
                <w:sz w:val="18"/>
              </w:rPr>
              <w:t>1.0 Project management</w:t>
            </w:r>
          </w:p>
        </w:tc>
        <w:tc>
          <w:tcPr>
            <w:tcW w:type="dxa" w:w="493"/>
          </w:tcPr>
          <w:p>
            <w:pPr>
              <w:spacing w:line="276" w:lineRule="auto" w:after="0"/>
              <w:jc w:val="center"/>
            </w:pPr>
            <w:r/>
            <w:r>
              <w:rPr>
                <w:rFonts w:ascii="Times New Roman" w:hAnsi="Times New Roman"/>
                <w:b/>
                <w:sz w:val="20"/>
              </w:rPr>
              <w:t>X</w:t>
            </w:r>
          </w:p>
        </w:tc>
        <w:tc>
          <w:tcPr>
            <w:tcW w:type="dxa" w:w="493"/>
          </w:tcPr>
          <w:p>
            <w:pPr>
              <w:spacing w:line="276" w:lineRule="auto" w:after="0"/>
              <w:jc w:val="center"/>
            </w:pPr>
            <w:r/>
            <w:r>
              <w:rPr>
                <w:rFonts w:ascii="Times New Roman" w:hAnsi="Times New Roman"/>
                <w:b/>
                <w:sz w:val="20"/>
              </w:rPr>
              <w:t>X</w:t>
            </w:r>
          </w:p>
        </w:tc>
        <w:tc>
          <w:tcPr>
            <w:tcW w:type="dxa" w:w="493"/>
          </w:tcPr>
          <w:p>
            <w:pPr>
              <w:spacing w:line="276" w:lineRule="auto" w:after="0"/>
              <w:jc w:val="center"/>
            </w:pPr>
            <w:r/>
            <w:r>
              <w:rPr>
                <w:rFonts w:ascii="Times New Roman" w:hAnsi="Times New Roman"/>
                <w:b/>
                <w:sz w:val="20"/>
              </w:rPr>
              <w:t>X</w:t>
            </w:r>
          </w:p>
        </w:tc>
        <w:tc>
          <w:tcPr>
            <w:tcW w:type="dxa" w:w="493"/>
          </w:tcPr>
          <w:p>
            <w:pPr>
              <w:spacing w:line="276" w:lineRule="auto" w:after="0"/>
              <w:jc w:val="center"/>
            </w:pPr>
            <w:r/>
            <w:r>
              <w:rPr>
                <w:rFonts w:ascii="Times New Roman" w:hAnsi="Times New Roman"/>
                <w:b/>
                <w:sz w:val="20"/>
              </w:rPr>
              <w:t>X</w:t>
            </w:r>
          </w:p>
        </w:tc>
        <w:tc>
          <w:tcPr>
            <w:tcW w:type="dxa" w:w="493"/>
          </w:tcPr>
          <w:p>
            <w:pPr>
              <w:spacing w:line="276" w:lineRule="auto" w:after="0"/>
              <w:jc w:val="center"/>
            </w:pPr>
            <w:r/>
            <w:r>
              <w:rPr>
                <w:rFonts w:ascii="Times New Roman" w:hAnsi="Times New Roman"/>
                <w:b/>
                <w:sz w:val="20"/>
              </w:rPr>
              <w:t>X</w:t>
            </w:r>
          </w:p>
        </w:tc>
        <w:tc>
          <w:tcPr>
            <w:tcW w:type="dxa" w:w="493"/>
          </w:tcPr>
          <w:p>
            <w:pPr>
              <w:spacing w:line="276" w:lineRule="auto" w:after="0"/>
              <w:jc w:val="center"/>
            </w:pPr>
            <w:r/>
            <w:r>
              <w:rPr>
                <w:rFonts w:ascii="Times New Roman" w:hAnsi="Times New Roman"/>
                <w:b/>
                <w:sz w:val="20"/>
              </w:rPr>
              <w:t>X</w:t>
            </w:r>
          </w:p>
        </w:tc>
        <w:tc>
          <w:tcPr>
            <w:tcW w:type="dxa" w:w="493"/>
          </w:tcPr>
          <w:p>
            <w:pPr>
              <w:spacing w:line="276" w:lineRule="auto" w:after="0"/>
              <w:jc w:val="center"/>
            </w:pPr>
            <w:r/>
            <w:r>
              <w:rPr>
                <w:rFonts w:ascii="Times New Roman" w:hAnsi="Times New Roman"/>
                <w:b/>
                <w:sz w:val="20"/>
              </w:rPr>
              <w:t>X</w:t>
            </w:r>
          </w:p>
        </w:tc>
        <w:tc>
          <w:tcPr>
            <w:tcW w:type="dxa" w:w="493"/>
          </w:tcPr>
          <w:p>
            <w:pPr>
              <w:spacing w:line="276" w:lineRule="auto" w:after="0"/>
              <w:jc w:val="center"/>
            </w:pPr>
            <w:r/>
            <w:r>
              <w:rPr>
                <w:rFonts w:ascii="Times New Roman" w:hAnsi="Times New Roman"/>
                <w:b/>
                <w:sz w:val="20"/>
              </w:rPr>
              <w:t>X</w:t>
            </w:r>
          </w:p>
        </w:tc>
        <w:tc>
          <w:tcPr>
            <w:tcW w:type="dxa" w:w="493"/>
          </w:tcPr>
          <w:p>
            <w:pPr>
              <w:spacing w:line="276" w:lineRule="auto" w:after="0"/>
              <w:jc w:val="center"/>
            </w:pPr>
            <w:r/>
            <w:r>
              <w:rPr>
                <w:rFonts w:ascii="Times New Roman" w:hAnsi="Times New Roman"/>
                <w:b/>
                <w:sz w:val="20"/>
              </w:rPr>
              <w:t>X</w:t>
            </w:r>
          </w:p>
        </w:tc>
        <w:tc>
          <w:tcPr>
            <w:tcW w:type="dxa" w:w="493"/>
          </w:tcPr>
          <w:p>
            <w:pPr>
              <w:spacing w:line="276" w:lineRule="auto" w:after="0"/>
              <w:jc w:val="center"/>
            </w:pPr>
            <w:r/>
            <w:r>
              <w:rPr>
                <w:rFonts w:ascii="Times New Roman" w:hAnsi="Times New Roman"/>
                <w:b/>
                <w:sz w:val="20"/>
              </w:rPr>
              <w:t>X</w:t>
            </w:r>
          </w:p>
        </w:tc>
        <w:tc>
          <w:tcPr>
            <w:tcW w:type="dxa" w:w="493"/>
          </w:tcPr>
          <w:p>
            <w:pPr>
              <w:spacing w:line="276" w:lineRule="auto" w:after="0"/>
              <w:jc w:val="center"/>
            </w:pPr>
            <w:r/>
            <w:r>
              <w:rPr>
                <w:rFonts w:ascii="Times New Roman" w:hAnsi="Times New Roman"/>
                <w:b/>
                <w:sz w:val="20"/>
              </w:rPr>
              <w:t>X</w:t>
            </w:r>
          </w:p>
        </w:tc>
        <w:tc>
          <w:tcPr>
            <w:tcW w:type="dxa" w:w="493"/>
          </w:tcPr>
          <w:p>
            <w:pPr>
              <w:spacing w:line="276" w:lineRule="auto" w:after="0"/>
              <w:jc w:val="center"/>
            </w:pPr>
            <w:r/>
            <w:r>
              <w:rPr>
                <w:rFonts w:ascii="Times New Roman" w:hAnsi="Times New Roman"/>
                <w:b/>
                <w:sz w:val="20"/>
              </w:rPr>
              <w:t>X</w:t>
            </w:r>
          </w:p>
        </w:tc>
        <w:tc>
          <w:tcPr>
            <w:tcW w:type="dxa" w:w="493"/>
          </w:tcPr>
          <w:p>
            <w:pPr>
              <w:spacing w:line="276" w:lineRule="auto" w:after="0"/>
              <w:jc w:val="center"/>
            </w:pPr>
            <w:r/>
            <w:r>
              <w:rPr>
                <w:rFonts w:ascii="Times New Roman" w:hAnsi="Times New Roman"/>
                <w:b/>
                <w:sz w:val="20"/>
              </w:rPr>
              <w:t>X</w:t>
            </w:r>
          </w:p>
        </w:tc>
        <w:tc>
          <w:tcPr>
            <w:tcW w:type="dxa" w:w="493"/>
          </w:tcPr>
          <w:p>
            <w:pPr>
              <w:spacing w:line="276" w:lineRule="auto" w:after="0"/>
              <w:jc w:val="center"/>
            </w:pPr>
            <w:r/>
            <w:r>
              <w:rPr>
                <w:rFonts w:ascii="Times New Roman" w:hAnsi="Times New Roman"/>
                <w:b/>
                <w:sz w:val="20"/>
              </w:rPr>
              <w:t>X</w:t>
            </w:r>
          </w:p>
        </w:tc>
        <w:tc>
          <w:tcPr>
            <w:tcW w:type="dxa" w:w="493"/>
          </w:tcPr>
          <w:p>
            <w:pPr>
              <w:spacing w:line="276" w:lineRule="auto" w:after="0"/>
              <w:jc w:val="center"/>
            </w:pPr>
            <w:r/>
            <w:r>
              <w:rPr>
                <w:rFonts w:ascii="Times New Roman" w:hAnsi="Times New Roman"/>
                <w:b/>
                <w:sz w:val="20"/>
              </w:rPr>
              <w:t>X</w:t>
            </w:r>
          </w:p>
        </w:tc>
        <w:tc>
          <w:tcPr>
            <w:tcW w:type="dxa" w:w="493"/>
          </w:tcPr>
          <w:p>
            <w:pPr>
              <w:spacing w:line="276" w:lineRule="auto" w:after="0"/>
              <w:jc w:val="center"/>
            </w:pPr>
            <w:r/>
            <w:r>
              <w:rPr>
                <w:rFonts w:ascii="Times New Roman" w:hAnsi="Times New Roman"/>
                <w:b/>
                <w:sz w:val="20"/>
              </w:rPr>
              <w:t>X</w:t>
            </w:r>
          </w:p>
        </w:tc>
        <w:tc>
          <w:tcPr>
            <w:tcW w:type="dxa" w:w="493"/>
          </w:tcPr>
          <w:p>
            <w:pPr>
              <w:spacing w:line="276" w:lineRule="auto" w:after="0"/>
              <w:jc w:val="center"/>
            </w:pPr>
            <w:r/>
            <w:r>
              <w:rPr>
                <w:rFonts w:ascii="Times New Roman" w:hAnsi="Times New Roman"/>
                <w:b/>
                <w:sz w:val="20"/>
              </w:rPr>
              <w:t>X</w:t>
            </w:r>
          </w:p>
        </w:tc>
        <w:tc>
          <w:tcPr>
            <w:tcW w:type="dxa" w:w="493"/>
          </w:tcPr>
          <w:p>
            <w:pPr>
              <w:spacing w:line="276" w:lineRule="auto" w:after="0"/>
              <w:jc w:val="center"/>
            </w:pPr>
            <w:r/>
            <w:r>
              <w:rPr>
                <w:rFonts w:ascii="Times New Roman" w:hAnsi="Times New Roman"/>
                <w:b/>
                <w:sz w:val="20"/>
              </w:rPr>
              <w:t>X</w:t>
            </w:r>
          </w:p>
        </w:tc>
      </w:tr>
      <w:tr>
        <w:tc>
          <w:tcPr>
            <w:tcW w:type="dxa" w:w="493"/>
          </w:tcPr>
          <w:p>
            <w:pPr>
              <w:spacing w:line="276" w:lineRule="auto" w:after="0"/>
            </w:pPr>
            <w:r/>
            <w:r>
              <w:rPr>
                <w:rFonts w:ascii="Times New Roman" w:hAnsi="Times New Roman"/>
                <w:b/>
                <w:sz w:val="18"/>
              </w:rPr>
              <w:t>2.0 Design and consents</w:t>
            </w:r>
          </w:p>
        </w:tc>
        <w:tc>
          <w:tcPr>
            <w:tcW w:type="dxa" w:w="493"/>
          </w:tcPr>
          <w:p>
            <w:pPr>
              <w:spacing w:line="276" w:lineRule="auto" w:after="0"/>
              <w:jc w:val="center"/>
            </w:pPr>
            <w:r/>
            <w:r>
              <w:rPr>
                <w:rFonts w:ascii="Times New Roman" w:hAnsi="Times New Roman"/>
                <w:b/>
                <w:sz w:val="20"/>
              </w:rPr>
              <w:t>X</w:t>
            </w:r>
          </w:p>
        </w:tc>
        <w:tc>
          <w:tcPr>
            <w:tcW w:type="dxa" w:w="493"/>
          </w:tcPr>
          <w:p>
            <w:pPr>
              <w:spacing w:line="276" w:lineRule="auto" w:after="0"/>
              <w:jc w:val="center"/>
            </w:pPr>
            <w:r/>
            <w:r>
              <w:rPr>
                <w:rFonts w:ascii="Times New Roman" w:hAnsi="Times New Roman"/>
                <w:b/>
                <w:sz w:val="20"/>
              </w:rPr>
              <w:t>X</w:t>
            </w:r>
          </w:p>
        </w:tc>
        <w:tc>
          <w:tcPr>
            <w:tcW w:type="dxa" w:w="493"/>
          </w:tcPr>
          <w:p>
            <w:pPr>
              <w:spacing w:line="276" w:lineRule="auto" w:after="0"/>
              <w:jc w:val="center"/>
            </w:pPr>
            <w:r/>
            <w:r>
              <w:rPr>
                <w:rFonts w:ascii="Times New Roman" w:hAnsi="Times New Roman"/>
                <w:b/>
                <w:sz w:val="20"/>
              </w:rPr>
              <w:t>X</w:t>
            </w:r>
          </w:p>
        </w:tc>
        <w:tc>
          <w:tcPr>
            <w:tcW w:type="dxa" w:w="493"/>
          </w:tcPr>
          <w:p>
            <w:pPr>
              <w:spacing w:line="276" w:lineRule="auto" w:after="0"/>
              <w:jc w:val="center"/>
            </w:pPr>
            <w:r/>
            <w:r>
              <w:rPr>
                <w:rFonts w:ascii="Times New Roman" w:hAnsi="Times New Roman"/>
                <w:b/>
                <w:sz w:val="20"/>
              </w:rPr>
              <w:t>X</w:t>
            </w:r>
          </w:p>
        </w:tc>
        <w:tc>
          <w:tcPr>
            <w:tcW w:type="dxa" w:w="493"/>
          </w:tcPr>
          <w:p>
            <w:pPr>
              <w:spacing w:line="276" w:lineRule="auto" w:after="0"/>
              <w:jc w:val="center"/>
            </w:pPr>
            <w:r/>
            <w:r>
              <w:rPr>
                <w:rFonts w:ascii="Times New Roman" w:hAnsi="Times New Roman"/>
                <w:b/>
                <w:sz w:val="20"/>
              </w:rPr>
              <w:t>X</w:t>
            </w:r>
          </w:p>
        </w:tc>
        <w:tc>
          <w:tcPr>
            <w:tcW w:type="dxa" w:w="493"/>
          </w:tcPr>
          <w:p>
            <w:pPr>
              <w:spacing w:line="276" w:lineRule="auto" w:after="0"/>
              <w:jc w:val="center"/>
            </w:pPr>
            <w:r/>
            <w:r>
              <w:rPr>
                <w:rFonts w:ascii="Times New Roman" w:hAnsi="Times New Roman"/>
                <w:b/>
                <w:sz w:val="20"/>
              </w:rPr>
              <w:t>X</w:t>
            </w:r>
          </w:p>
        </w:tc>
        <w:tc>
          <w:tcPr>
            <w:tcW w:type="dxa" w:w="493"/>
          </w:tcPr>
          <w:p>
            <w:pPr>
              <w:spacing w:line="276" w:lineRule="auto" w:after="0"/>
              <w:jc w:val="center"/>
            </w:pPr>
            <w:r/>
            <w:r>
              <w:rPr>
                <w:rFonts w:ascii="Times New Roman" w:hAnsi="Times New Roman"/>
                <w:b w:val="0"/>
                <w:sz w:val="22"/>
              </w:rPr>
            </w:r>
          </w:p>
        </w:tc>
        <w:tc>
          <w:tcPr>
            <w:tcW w:type="dxa" w:w="493"/>
          </w:tcPr>
          <w:p>
            <w:pPr>
              <w:spacing w:line="276" w:lineRule="auto" w:after="0"/>
              <w:jc w:val="center"/>
            </w:pPr>
            <w:r/>
            <w:r>
              <w:rPr>
                <w:rFonts w:ascii="Times New Roman" w:hAnsi="Times New Roman"/>
                <w:b w:val="0"/>
                <w:sz w:val="22"/>
              </w:rPr>
            </w:r>
          </w:p>
        </w:tc>
        <w:tc>
          <w:tcPr>
            <w:tcW w:type="dxa" w:w="493"/>
          </w:tcPr>
          <w:p>
            <w:pPr>
              <w:spacing w:line="276" w:lineRule="auto" w:after="0"/>
              <w:jc w:val="center"/>
            </w:pPr>
            <w:r/>
            <w:r>
              <w:rPr>
                <w:rFonts w:ascii="Times New Roman" w:hAnsi="Times New Roman"/>
                <w:b w:val="0"/>
                <w:sz w:val="22"/>
              </w:rPr>
            </w:r>
          </w:p>
        </w:tc>
        <w:tc>
          <w:tcPr>
            <w:tcW w:type="dxa" w:w="493"/>
          </w:tcPr>
          <w:p>
            <w:pPr>
              <w:spacing w:line="276" w:lineRule="auto" w:after="0"/>
              <w:jc w:val="center"/>
            </w:pPr>
            <w:r/>
            <w:r>
              <w:rPr>
                <w:rFonts w:ascii="Times New Roman" w:hAnsi="Times New Roman"/>
                <w:b w:val="0"/>
                <w:sz w:val="22"/>
              </w:rPr>
            </w:r>
          </w:p>
        </w:tc>
        <w:tc>
          <w:tcPr>
            <w:tcW w:type="dxa" w:w="493"/>
          </w:tcPr>
          <w:p>
            <w:pPr>
              <w:spacing w:line="276" w:lineRule="auto" w:after="0"/>
              <w:jc w:val="center"/>
            </w:pPr>
            <w:r/>
            <w:r>
              <w:rPr>
                <w:rFonts w:ascii="Times New Roman" w:hAnsi="Times New Roman"/>
                <w:b w:val="0"/>
                <w:sz w:val="22"/>
              </w:rPr>
            </w:r>
          </w:p>
        </w:tc>
        <w:tc>
          <w:tcPr>
            <w:tcW w:type="dxa" w:w="493"/>
          </w:tcPr>
          <w:p>
            <w:pPr>
              <w:spacing w:line="276" w:lineRule="auto" w:after="0"/>
              <w:jc w:val="center"/>
            </w:pPr>
            <w:r/>
            <w:r>
              <w:rPr>
                <w:rFonts w:ascii="Times New Roman" w:hAnsi="Times New Roman"/>
                <w:b w:val="0"/>
                <w:sz w:val="22"/>
              </w:rPr>
            </w:r>
          </w:p>
        </w:tc>
        <w:tc>
          <w:tcPr>
            <w:tcW w:type="dxa" w:w="493"/>
          </w:tcPr>
          <w:p>
            <w:pPr>
              <w:spacing w:line="276" w:lineRule="auto" w:after="0"/>
              <w:jc w:val="center"/>
            </w:pPr>
            <w:r/>
            <w:r>
              <w:rPr>
                <w:rFonts w:ascii="Times New Roman" w:hAnsi="Times New Roman"/>
                <w:b w:val="0"/>
                <w:sz w:val="22"/>
              </w:rPr>
            </w:r>
          </w:p>
        </w:tc>
        <w:tc>
          <w:tcPr>
            <w:tcW w:type="dxa" w:w="493"/>
          </w:tcPr>
          <w:p>
            <w:pPr>
              <w:spacing w:line="276" w:lineRule="auto" w:after="0"/>
              <w:jc w:val="center"/>
            </w:pPr>
            <w:r/>
            <w:r>
              <w:rPr>
                <w:rFonts w:ascii="Times New Roman" w:hAnsi="Times New Roman"/>
                <w:b w:val="0"/>
                <w:sz w:val="22"/>
              </w:rPr>
            </w:r>
          </w:p>
        </w:tc>
        <w:tc>
          <w:tcPr>
            <w:tcW w:type="dxa" w:w="493"/>
          </w:tcPr>
          <w:p>
            <w:pPr>
              <w:spacing w:line="276" w:lineRule="auto" w:after="0"/>
              <w:jc w:val="center"/>
            </w:pPr>
            <w:r/>
            <w:r>
              <w:rPr>
                <w:rFonts w:ascii="Times New Roman" w:hAnsi="Times New Roman"/>
                <w:b w:val="0"/>
                <w:sz w:val="22"/>
              </w:rPr>
            </w:r>
          </w:p>
        </w:tc>
        <w:tc>
          <w:tcPr>
            <w:tcW w:type="dxa" w:w="493"/>
          </w:tcPr>
          <w:p>
            <w:pPr>
              <w:spacing w:line="276" w:lineRule="auto" w:after="0"/>
              <w:jc w:val="center"/>
            </w:pPr>
            <w:r/>
            <w:r>
              <w:rPr>
                <w:rFonts w:ascii="Times New Roman" w:hAnsi="Times New Roman"/>
                <w:b w:val="0"/>
                <w:sz w:val="22"/>
              </w:rPr>
            </w:r>
          </w:p>
        </w:tc>
        <w:tc>
          <w:tcPr>
            <w:tcW w:type="dxa" w:w="493"/>
          </w:tcPr>
          <w:p>
            <w:pPr>
              <w:spacing w:line="276" w:lineRule="auto" w:after="0"/>
              <w:jc w:val="center"/>
            </w:pPr>
            <w:r/>
            <w:r>
              <w:rPr>
                <w:rFonts w:ascii="Times New Roman" w:hAnsi="Times New Roman"/>
                <w:b w:val="0"/>
                <w:sz w:val="22"/>
              </w:rPr>
            </w:r>
          </w:p>
        </w:tc>
        <w:tc>
          <w:tcPr>
            <w:tcW w:type="dxa" w:w="493"/>
          </w:tcPr>
          <w:p>
            <w:pPr>
              <w:spacing w:line="276" w:lineRule="auto" w:after="0"/>
              <w:jc w:val="center"/>
            </w:pPr>
            <w:r/>
            <w:r>
              <w:rPr>
                <w:rFonts w:ascii="Times New Roman" w:hAnsi="Times New Roman"/>
                <w:b w:val="0"/>
                <w:sz w:val="22"/>
              </w:rPr>
            </w:r>
          </w:p>
        </w:tc>
      </w:tr>
      <w:tr>
        <w:tc>
          <w:tcPr>
            <w:tcW w:type="dxa" w:w="493"/>
          </w:tcPr>
          <w:p>
            <w:pPr>
              <w:spacing w:line="276" w:lineRule="auto" w:after="0"/>
            </w:pPr>
            <w:r/>
            <w:r>
              <w:rPr>
                <w:rFonts w:ascii="Times New Roman" w:hAnsi="Times New Roman"/>
                <w:b/>
                <w:sz w:val="18"/>
              </w:rPr>
              <w:t>3.0 Site preparation</w:t>
            </w:r>
          </w:p>
        </w:tc>
        <w:tc>
          <w:tcPr>
            <w:tcW w:type="dxa" w:w="493"/>
          </w:tcPr>
          <w:p>
            <w:pPr>
              <w:spacing w:line="276" w:lineRule="auto" w:after="0"/>
              <w:jc w:val="center"/>
            </w:pPr>
            <w:r/>
            <w:r>
              <w:rPr>
                <w:rFonts w:ascii="Times New Roman" w:hAnsi="Times New Roman"/>
                <w:b w:val="0"/>
                <w:sz w:val="22"/>
              </w:rPr>
            </w:r>
          </w:p>
        </w:tc>
        <w:tc>
          <w:tcPr>
            <w:tcW w:type="dxa" w:w="493"/>
          </w:tcPr>
          <w:p>
            <w:pPr>
              <w:spacing w:line="276" w:lineRule="auto" w:after="0"/>
              <w:jc w:val="center"/>
            </w:pPr>
            <w:r/>
            <w:r>
              <w:rPr>
                <w:rFonts w:ascii="Times New Roman" w:hAnsi="Times New Roman"/>
                <w:b w:val="0"/>
                <w:sz w:val="22"/>
              </w:rPr>
            </w:r>
          </w:p>
        </w:tc>
        <w:tc>
          <w:tcPr>
            <w:tcW w:type="dxa" w:w="493"/>
          </w:tcPr>
          <w:p>
            <w:pPr>
              <w:spacing w:line="276" w:lineRule="auto" w:after="0"/>
              <w:jc w:val="center"/>
            </w:pPr>
            <w:r/>
            <w:r>
              <w:rPr>
                <w:rFonts w:ascii="Times New Roman" w:hAnsi="Times New Roman"/>
                <w:b w:val="0"/>
                <w:sz w:val="22"/>
              </w:rPr>
            </w:r>
          </w:p>
        </w:tc>
        <w:tc>
          <w:tcPr>
            <w:tcW w:type="dxa" w:w="493"/>
          </w:tcPr>
          <w:p>
            <w:pPr>
              <w:spacing w:line="276" w:lineRule="auto" w:after="0"/>
              <w:jc w:val="center"/>
            </w:pPr>
            <w:r/>
            <w:r>
              <w:rPr>
                <w:rFonts w:ascii="Times New Roman" w:hAnsi="Times New Roman"/>
                <w:b w:val="0"/>
                <w:sz w:val="22"/>
              </w:rPr>
            </w:r>
          </w:p>
        </w:tc>
        <w:tc>
          <w:tcPr>
            <w:tcW w:type="dxa" w:w="493"/>
          </w:tcPr>
          <w:p>
            <w:pPr>
              <w:spacing w:line="276" w:lineRule="auto" w:after="0"/>
              <w:jc w:val="center"/>
            </w:pPr>
            <w:r/>
            <w:r>
              <w:rPr>
                <w:rFonts w:ascii="Times New Roman" w:hAnsi="Times New Roman"/>
                <w:b/>
                <w:sz w:val="20"/>
              </w:rPr>
              <w:t>X</w:t>
            </w:r>
          </w:p>
        </w:tc>
        <w:tc>
          <w:tcPr>
            <w:tcW w:type="dxa" w:w="493"/>
          </w:tcPr>
          <w:p>
            <w:pPr>
              <w:spacing w:line="276" w:lineRule="auto" w:after="0"/>
              <w:jc w:val="center"/>
            </w:pPr>
            <w:r/>
            <w:r>
              <w:rPr>
                <w:rFonts w:ascii="Times New Roman" w:hAnsi="Times New Roman"/>
                <w:b/>
                <w:sz w:val="20"/>
              </w:rPr>
              <w:t>X</w:t>
            </w:r>
          </w:p>
        </w:tc>
        <w:tc>
          <w:tcPr>
            <w:tcW w:type="dxa" w:w="493"/>
          </w:tcPr>
          <w:p>
            <w:pPr>
              <w:spacing w:line="276" w:lineRule="auto" w:after="0"/>
              <w:jc w:val="center"/>
            </w:pPr>
            <w:r/>
            <w:r>
              <w:rPr>
                <w:rFonts w:ascii="Times New Roman" w:hAnsi="Times New Roman"/>
                <w:b/>
                <w:sz w:val="20"/>
              </w:rPr>
              <w:t>X</w:t>
            </w:r>
          </w:p>
        </w:tc>
        <w:tc>
          <w:tcPr>
            <w:tcW w:type="dxa" w:w="493"/>
          </w:tcPr>
          <w:p>
            <w:pPr>
              <w:spacing w:line="276" w:lineRule="auto" w:after="0"/>
              <w:jc w:val="center"/>
            </w:pPr>
            <w:r/>
            <w:r>
              <w:rPr>
                <w:rFonts w:ascii="Times New Roman" w:hAnsi="Times New Roman"/>
                <w:b/>
                <w:sz w:val="20"/>
              </w:rPr>
              <w:t>X</w:t>
            </w:r>
          </w:p>
        </w:tc>
        <w:tc>
          <w:tcPr>
            <w:tcW w:type="dxa" w:w="493"/>
          </w:tcPr>
          <w:p>
            <w:pPr>
              <w:spacing w:line="276" w:lineRule="auto" w:after="0"/>
              <w:jc w:val="center"/>
            </w:pPr>
            <w:r/>
            <w:r>
              <w:rPr>
                <w:rFonts w:ascii="Times New Roman" w:hAnsi="Times New Roman"/>
                <w:b/>
                <w:sz w:val="20"/>
              </w:rPr>
              <w:t>X</w:t>
            </w:r>
          </w:p>
        </w:tc>
        <w:tc>
          <w:tcPr>
            <w:tcW w:type="dxa" w:w="493"/>
          </w:tcPr>
          <w:p>
            <w:pPr>
              <w:spacing w:line="276" w:lineRule="auto" w:after="0"/>
              <w:jc w:val="center"/>
            </w:pPr>
            <w:r/>
            <w:r>
              <w:rPr>
                <w:rFonts w:ascii="Times New Roman" w:hAnsi="Times New Roman"/>
                <w:b w:val="0"/>
                <w:sz w:val="22"/>
              </w:rPr>
            </w:r>
          </w:p>
        </w:tc>
        <w:tc>
          <w:tcPr>
            <w:tcW w:type="dxa" w:w="493"/>
          </w:tcPr>
          <w:p>
            <w:pPr>
              <w:spacing w:line="276" w:lineRule="auto" w:after="0"/>
              <w:jc w:val="center"/>
            </w:pPr>
            <w:r/>
            <w:r>
              <w:rPr>
                <w:rFonts w:ascii="Times New Roman" w:hAnsi="Times New Roman"/>
                <w:b w:val="0"/>
                <w:sz w:val="22"/>
              </w:rPr>
            </w:r>
          </w:p>
        </w:tc>
        <w:tc>
          <w:tcPr>
            <w:tcW w:type="dxa" w:w="493"/>
          </w:tcPr>
          <w:p>
            <w:pPr>
              <w:spacing w:line="276" w:lineRule="auto" w:after="0"/>
              <w:jc w:val="center"/>
            </w:pPr>
            <w:r/>
            <w:r>
              <w:rPr>
                <w:rFonts w:ascii="Times New Roman" w:hAnsi="Times New Roman"/>
                <w:b w:val="0"/>
                <w:sz w:val="22"/>
              </w:rPr>
            </w:r>
          </w:p>
        </w:tc>
        <w:tc>
          <w:tcPr>
            <w:tcW w:type="dxa" w:w="493"/>
          </w:tcPr>
          <w:p>
            <w:pPr>
              <w:spacing w:line="276" w:lineRule="auto" w:after="0"/>
              <w:jc w:val="center"/>
            </w:pPr>
            <w:r/>
            <w:r>
              <w:rPr>
                <w:rFonts w:ascii="Times New Roman" w:hAnsi="Times New Roman"/>
                <w:b w:val="0"/>
                <w:sz w:val="22"/>
              </w:rPr>
            </w:r>
          </w:p>
        </w:tc>
        <w:tc>
          <w:tcPr>
            <w:tcW w:type="dxa" w:w="493"/>
          </w:tcPr>
          <w:p>
            <w:pPr>
              <w:spacing w:line="276" w:lineRule="auto" w:after="0"/>
              <w:jc w:val="center"/>
            </w:pPr>
            <w:r/>
            <w:r>
              <w:rPr>
                <w:rFonts w:ascii="Times New Roman" w:hAnsi="Times New Roman"/>
                <w:b w:val="0"/>
                <w:sz w:val="22"/>
              </w:rPr>
            </w:r>
          </w:p>
        </w:tc>
        <w:tc>
          <w:tcPr>
            <w:tcW w:type="dxa" w:w="493"/>
          </w:tcPr>
          <w:p>
            <w:pPr>
              <w:spacing w:line="276" w:lineRule="auto" w:after="0"/>
              <w:jc w:val="center"/>
            </w:pPr>
            <w:r/>
            <w:r>
              <w:rPr>
                <w:rFonts w:ascii="Times New Roman" w:hAnsi="Times New Roman"/>
                <w:b w:val="0"/>
                <w:sz w:val="22"/>
              </w:rPr>
            </w:r>
          </w:p>
        </w:tc>
        <w:tc>
          <w:tcPr>
            <w:tcW w:type="dxa" w:w="493"/>
          </w:tcPr>
          <w:p>
            <w:pPr>
              <w:spacing w:line="276" w:lineRule="auto" w:after="0"/>
              <w:jc w:val="center"/>
            </w:pPr>
            <w:r/>
            <w:r>
              <w:rPr>
                <w:rFonts w:ascii="Times New Roman" w:hAnsi="Times New Roman"/>
                <w:b w:val="0"/>
                <w:sz w:val="22"/>
              </w:rPr>
            </w:r>
          </w:p>
        </w:tc>
        <w:tc>
          <w:tcPr>
            <w:tcW w:type="dxa" w:w="493"/>
          </w:tcPr>
          <w:p>
            <w:pPr>
              <w:spacing w:line="276" w:lineRule="auto" w:after="0"/>
              <w:jc w:val="center"/>
            </w:pPr>
            <w:r/>
            <w:r>
              <w:rPr>
                <w:rFonts w:ascii="Times New Roman" w:hAnsi="Times New Roman"/>
                <w:b w:val="0"/>
                <w:sz w:val="22"/>
              </w:rPr>
            </w:r>
          </w:p>
        </w:tc>
        <w:tc>
          <w:tcPr>
            <w:tcW w:type="dxa" w:w="493"/>
          </w:tcPr>
          <w:p>
            <w:pPr>
              <w:spacing w:line="276" w:lineRule="auto" w:after="0"/>
              <w:jc w:val="center"/>
            </w:pPr>
            <w:r/>
            <w:r>
              <w:rPr>
                <w:rFonts w:ascii="Times New Roman" w:hAnsi="Times New Roman"/>
                <w:b w:val="0"/>
                <w:sz w:val="22"/>
              </w:rPr>
            </w:r>
          </w:p>
        </w:tc>
      </w:tr>
      <w:tr>
        <w:tc>
          <w:tcPr>
            <w:tcW w:type="dxa" w:w="493"/>
          </w:tcPr>
          <w:p>
            <w:pPr>
              <w:spacing w:line="276" w:lineRule="auto" w:after="0"/>
            </w:pPr>
            <w:r/>
            <w:r>
              <w:rPr>
                <w:rFonts w:ascii="Times New Roman" w:hAnsi="Times New Roman"/>
                <w:b/>
                <w:sz w:val="18"/>
              </w:rPr>
              <w:t>4.0 Construction</w:t>
            </w:r>
          </w:p>
        </w:tc>
        <w:tc>
          <w:tcPr>
            <w:tcW w:type="dxa" w:w="493"/>
          </w:tcPr>
          <w:p>
            <w:pPr>
              <w:spacing w:line="276" w:lineRule="auto" w:after="0"/>
              <w:jc w:val="center"/>
            </w:pPr>
            <w:r/>
            <w:r>
              <w:rPr>
                <w:rFonts w:ascii="Times New Roman" w:hAnsi="Times New Roman"/>
                <w:b w:val="0"/>
                <w:sz w:val="22"/>
              </w:rPr>
            </w:r>
          </w:p>
        </w:tc>
        <w:tc>
          <w:tcPr>
            <w:tcW w:type="dxa" w:w="493"/>
          </w:tcPr>
          <w:p>
            <w:pPr>
              <w:spacing w:line="276" w:lineRule="auto" w:after="0"/>
              <w:jc w:val="center"/>
            </w:pPr>
            <w:r/>
            <w:r>
              <w:rPr>
                <w:rFonts w:ascii="Times New Roman" w:hAnsi="Times New Roman"/>
                <w:b w:val="0"/>
                <w:sz w:val="22"/>
              </w:rPr>
            </w:r>
          </w:p>
        </w:tc>
        <w:tc>
          <w:tcPr>
            <w:tcW w:type="dxa" w:w="493"/>
          </w:tcPr>
          <w:p>
            <w:pPr>
              <w:spacing w:line="276" w:lineRule="auto" w:after="0"/>
              <w:jc w:val="center"/>
            </w:pPr>
            <w:r/>
            <w:r>
              <w:rPr>
                <w:rFonts w:ascii="Times New Roman" w:hAnsi="Times New Roman"/>
                <w:b w:val="0"/>
                <w:sz w:val="22"/>
              </w:rPr>
            </w:r>
          </w:p>
        </w:tc>
        <w:tc>
          <w:tcPr>
            <w:tcW w:type="dxa" w:w="493"/>
          </w:tcPr>
          <w:p>
            <w:pPr>
              <w:spacing w:line="276" w:lineRule="auto" w:after="0"/>
              <w:jc w:val="center"/>
            </w:pPr>
            <w:r/>
            <w:r>
              <w:rPr>
                <w:rFonts w:ascii="Times New Roman" w:hAnsi="Times New Roman"/>
                <w:b w:val="0"/>
                <w:sz w:val="22"/>
              </w:rPr>
            </w:r>
          </w:p>
        </w:tc>
        <w:tc>
          <w:tcPr>
            <w:tcW w:type="dxa" w:w="493"/>
          </w:tcPr>
          <w:p>
            <w:pPr>
              <w:spacing w:line="276" w:lineRule="auto" w:after="0"/>
              <w:jc w:val="center"/>
            </w:pPr>
            <w:r/>
            <w:r>
              <w:rPr>
                <w:rFonts w:ascii="Times New Roman" w:hAnsi="Times New Roman"/>
                <w:b w:val="0"/>
                <w:sz w:val="22"/>
              </w:rPr>
            </w:r>
          </w:p>
        </w:tc>
        <w:tc>
          <w:tcPr>
            <w:tcW w:type="dxa" w:w="493"/>
          </w:tcPr>
          <w:p>
            <w:pPr>
              <w:spacing w:line="276" w:lineRule="auto" w:after="0"/>
              <w:jc w:val="center"/>
            </w:pPr>
            <w:r/>
            <w:r>
              <w:rPr>
                <w:rFonts w:ascii="Times New Roman" w:hAnsi="Times New Roman"/>
                <w:b w:val="0"/>
                <w:sz w:val="22"/>
              </w:rPr>
            </w:r>
          </w:p>
        </w:tc>
        <w:tc>
          <w:tcPr>
            <w:tcW w:type="dxa" w:w="493"/>
          </w:tcPr>
          <w:p>
            <w:pPr>
              <w:spacing w:line="276" w:lineRule="auto" w:after="0"/>
              <w:jc w:val="center"/>
            </w:pPr>
            <w:r/>
            <w:r>
              <w:rPr>
                <w:rFonts w:ascii="Times New Roman" w:hAnsi="Times New Roman"/>
                <w:b w:val="0"/>
                <w:sz w:val="22"/>
              </w:rPr>
            </w:r>
          </w:p>
        </w:tc>
        <w:tc>
          <w:tcPr>
            <w:tcW w:type="dxa" w:w="493"/>
          </w:tcPr>
          <w:p>
            <w:pPr>
              <w:spacing w:line="276" w:lineRule="auto" w:after="0"/>
              <w:jc w:val="center"/>
            </w:pPr>
            <w:r/>
            <w:r>
              <w:rPr>
                <w:rFonts w:ascii="Times New Roman" w:hAnsi="Times New Roman"/>
                <w:b/>
                <w:sz w:val="20"/>
              </w:rPr>
              <w:t>X</w:t>
            </w:r>
          </w:p>
        </w:tc>
        <w:tc>
          <w:tcPr>
            <w:tcW w:type="dxa" w:w="493"/>
          </w:tcPr>
          <w:p>
            <w:pPr>
              <w:spacing w:line="276" w:lineRule="auto" w:after="0"/>
              <w:jc w:val="center"/>
            </w:pPr>
            <w:r/>
            <w:r>
              <w:rPr>
                <w:rFonts w:ascii="Times New Roman" w:hAnsi="Times New Roman"/>
                <w:b/>
                <w:sz w:val="20"/>
              </w:rPr>
              <w:t>X</w:t>
            </w:r>
          </w:p>
        </w:tc>
        <w:tc>
          <w:tcPr>
            <w:tcW w:type="dxa" w:w="493"/>
          </w:tcPr>
          <w:p>
            <w:pPr>
              <w:spacing w:line="276" w:lineRule="auto" w:after="0"/>
              <w:jc w:val="center"/>
            </w:pPr>
            <w:r/>
            <w:r>
              <w:rPr>
                <w:rFonts w:ascii="Times New Roman" w:hAnsi="Times New Roman"/>
                <w:b/>
                <w:sz w:val="20"/>
              </w:rPr>
              <w:t>X</w:t>
            </w:r>
          </w:p>
        </w:tc>
        <w:tc>
          <w:tcPr>
            <w:tcW w:type="dxa" w:w="493"/>
          </w:tcPr>
          <w:p>
            <w:pPr>
              <w:spacing w:line="276" w:lineRule="auto" w:after="0"/>
              <w:jc w:val="center"/>
            </w:pPr>
            <w:r/>
            <w:r>
              <w:rPr>
                <w:rFonts w:ascii="Times New Roman" w:hAnsi="Times New Roman"/>
                <w:b/>
                <w:sz w:val="20"/>
              </w:rPr>
              <w:t>X</w:t>
            </w:r>
          </w:p>
        </w:tc>
        <w:tc>
          <w:tcPr>
            <w:tcW w:type="dxa" w:w="493"/>
          </w:tcPr>
          <w:p>
            <w:pPr>
              <w:spacing w:line="276" w:lineRule="auto" w:after="0"/>
              <w:jc w:val="center"/>
            </w:pPr>
            <w:r/>
            <w:r>
              <w:rPr>
                <w:rFonts w:ascii="Times New Roman" w:hAnsi="Times New Roman"/>
                <w:b/>
                <w:sz w:val="20"/>
              </w:rPr>
              <w:t>X</w:t>
            </w:r>
          </w:p>
        </w:tc>
        <w:tc>
          <w:tcPr>
            <w:tcW w:type="dxa" w:w="493"/>
          </w:tcPr>
          <w:p>
            <w:pPr>
              <w:spacing w:line="276" w:lineRule="auto" w:after="0"/>
              <w:jc w:val="center"/>
            </w:pPr>
            <w:r/>
            <w:r>
              <w:rPr>
                <w:rFonts w:ascii="Times New Roman" w:hAnsi="Times New Roman"/>
                <w:b/>
                <w:sz w:val="20"/>
              </w:rPr>
              <w:t>X</w:t>
            </w:r>
          </w:p>
        </w:tc>
        <w:tc>
          <w:tcPr>
            <w:tcW w:type="dxa" w:w="493"/>
          </w:tcPr>
          <w:p>
            <w:pPr>
              <w:spacing w:line="276" w:lineRule="auto" w:after="0"/>
              <w:jc w:val="center"/>
            </w:pPr>
            <w:r/>
            <w:r>
              <w:rPr>
                <w:rFonts w:ascii="Times New Roman" w:hAnsi="Times New Roman"/>
                <w:b/>
                <w:sz w:val="20"/>
              </w:rPr>
              <w:t>X</w:t>
            </w:r>
          </w:p>
        </w:tc>
        <w:tc>
          <w:tcPr>
            <w:tcW w:type="dxa" w:w="493"/>
          </w:tcPr>
          <w:p>
            <w:pPr>
              <w:spacing w:line="276" w:lineRule="auto" w:after="0"/>
              <w:jc w:val="center"/>
            </w:pPr>
            <w:r/>
            <w:r>
              <w:rPr>
                <w:rFonts w:ascii="Times New Roman" w:hAnsi="Times New Roman"/>
                <w:b/>
                <w:sz w:val="20"/>
              </w:rPr>
              <w:t>X</w:t>
            </w:r>
          </w:p>
        </w:tc>
        <w:tc>
          <w:tcPr>
            <w:tcW w:type="dxa" w:w="493"/>
          </w:tcPr>
          <w:p>
            <w:pPr>
              <w:spacing w:line="276" w:lineRule="auto" w:after="0"/>
              <w:jc w:val="center"/>
            </w:pPr>
            <w:r/>
            <w:r>
              <w:rPr>
                <w:rFonts w:ascii="Times New Roman" w:hAnsi="Times New Roman"/>
                <w:b w:val="0"/>
                <w:sz w:val="22"/>
              </w:rPr>
            </w:r>
          </w:p>
        </w:tc>
        <w:tc>
          <w:tcPr>
            <w:tcW w:type="dxa" w:w="493"/>
          </w:tcPr>
          <w:p>
            <w:pPr>
              <w:spacing w:line="276" w:lineRule="auto" w:after="0"/>
              <w:jc w:val="center"/>
            </w:pPr>
            <w:r/>
            <w:r>
              <w:rPr>
                <w:rFonts w:ascii="Times New Roman" w:hAnsi="Times New Roman"/>
                <w:b w:val="0"/>
                <w:sz w:val="22"/>
              </w:rPr>
            </w:r>
          </w:p>
        </w:tc>
        <w:tc>
          <w:tcPr>
            <w:tcW w:type="dxa" w:w="493"/>
          </w:tcPr>
          <w:p>
            <w:pPr>
              <w:spacing w:line="276" w:lineRule="auto" w:after="0"/>
              <w:jc w:val="center"/>
            </w:pPr>
            <w:r/>
            <w:r>
              <w:rPr>
                <w:rFonts w:ascii="Times New Roman" w:hAnsi="Times New Roman"/>
                <w:b w:val="0"/>
                <w:sz w:val="22"/>
              </w:rPr>
            </w:r>
          </w:p>
        </w:tc>
      </w:tr>
      <w:tr>
        <w:tc>
          <w:tcPr>
            <w:tcW w:type="dxa" w:w="493"/>
          </w:tcPr>
          <w:p>
            <w:pPr>
              <w:spacing w:line="276" w:lineRule="auto" w:after="0"/>
            </w:pPr>
            <w:r/>
            <w:r>
              <w:rPr>
                <w:rFonts w:ascii="Times New Roman" w:hAnsi="Times New Roman"/>
                <w:b/>
                <w:sz w:val="18"/>
              </w:rPr>
              <w:t>5.0 Sustainability systems</w:t>
            </w:r>
          </w:p>
        </w:tc>
        <w:tc>
          <w:tcPr>
            <w:tcW w:type="dxa" w:w="493"/>
          </w:tcPr>
          <w:p>
            <w:pPr>
              <w:spacing w:line="276" w:lineRule="auto" w:after="0"/>
              <w:jc w:val="center"/>
            </w:pPr>
            <w:r/>
            <w:r>
              <w:rPr>
                <w:rFonts w:ascii="Times New Roman" w:hAnsi="Times New Roman"/>
                <w:b w:val="0"/>
                <w:sz w:val="22"/>
              </w:rPr>
            </w:r>
          </w:p>
        </w:tc>
        <w:tc>
          <w:tcPr>
            <w:tcW w:type="dxa" w:w="493"/>
          </w:tcPr>
          <w:p>
            <w:pPr>
              <w:spacing w:line="276" w:lineRule="auto" w:after="0"/>
              <w:jc w:val="center"/>
            </w:pPr>
            <w:r/>
            <w:r>
              <w:rPr>
                <w:rFonts w:ascii="Times New Roman" w:hAnsi="Times New Roman"/>
                <w:b w:val="0"/>
                <w:sz w:val="22"/>
              </w:rPr>
            </w:r>
          </w:p>
        </w:tc>
        <w:tc>
          <w:tcPr>
            <w:tcW w:type="dxa" w:w="493"/>
          </w:tcPr>
          <w:p>
            <w:pPr>
              <w:spacing w:line="276" w:lineRule="auto" w:after="0"/>
              <w:jc w:val="center"/>
            </w:pPr>
            <w:r/>
            <w:r>
              <w:rPr>
                <w:rFonts w:ascii="Times New Roman" w:hAnsi="Times New Roman"/>
                <w:b w:val="0"/>
                <w:sz w:val="22"/>
              </w:rPr>
            </w:r>
          </w:p>
        </w:tc>
        <w:tc>
          <w:tcPr>
            <w:tcW w:type="dxa" w:w="493"/>
          </w:tcPr>
          <w:p>
            <w:pPr>
              <w:spacing w:line="276" w:lineRule="auto" w:after="0"/>
              <w:jc w:val="center"/>
            </w:pPr>
            <w:r/>
            <w:r>
              <w:rPr>
                <w:rFonts w:ascii="Times New Roman" w:hAnsi="Times New Roman"/>
                <w:b w:val="0"/>
                <w:sz w:val="22"/>
              </w:rPr>
            </w:r>
          </w:p>
        </w:tc>
        <w:tc>
          <w:tcPr>
            <w:tcW w:type="dxa" w:w="493"/>
          </w:tcPr>
          <w:p>
            <w:pPr>
              <w:spacing w:line="276" w:lineRule="auto" w:after="0"/>
              <w:jc w:val="center"/>
            </w:pPr>
            <w:r/>
            <w:r>
              <w:rPr>
                <w:rFonts w:ascii="Times New Roman" w:hAnsi="Times New Roman"/>
                <w:b w:val="0"/>
                <w:sz w:val="22"/>
              </w:rPr>
            </w:r>
          </w:p>
        </w:tc>
        <w:tc>
          <w:tcPr>
            <w:tcW w:type="dxa" w:w="493"/>
          </w:tcPr>
          <w:p>
            <w:pPr>
              <w:spacing w:line="276" w:lineRule="auto" w:after="0"/>
              <w:jc w:val="center"/>
            </w:pPr>
            <w:r/>
            <w:r>
              <w:rPr>
                <w:rFonts w:ascii="Times New Roman" w:hAnsi="Times New Roman"/>
                <w:b w:val="0"/>
                <w:sz w:val="22"/>
              </w:rPr>
            </w:r>
          </w:p>
        </w:tc>
        <w:tc>
          <w:tcPr>
            <w:tcW w:type="dxa" w:w="493"/>
          </w:tcPr>
          <w:p>
            <w:pPr>
              <w:spacing w:line="276" w:lineRule="auto" w:after="0"/>
              <w:jc w:val="center"/>
            </w:pPr>
            <w:r/>
            <w:r>
              <w:rPr>
                <w:rFonts w:ascii="Times New Roman" w:hAnsi="Times New Roman"/>
                <w:b w:val="0"/>
                <w:sz w:val="22"/>
              </w:rPr>
            </w:r>
          </w:p>
        </w:tc>
        <w:tc>
          <w:tcPr>
            <w:tcW w:type="dxa" w:w="493"/>
          </w:tcPr>
          <w:p>
            <w:pPr>
              <w:spacing w:line="276" w:lineRule="auto" w:after="0"/>
              <w:jc w:val="center"/>
            </w:pPr>
            <w:r/>
            <w:r>
              <w:rPr>
                <w:rFonts w:ascii="Times New Roman" w:hAnsi="Times New Roman"/>
                <w:b w:val="0"/>
                <w:sz w:val="22"/>
              </w:rPr>
            </w:r>
          </w:p>
        </w:tc>
        <w:tc>
          <w:tcPr>
            <w:tcW w:type="dxa" w:w="493"/>
          </w:tcPr>
          <w:p>
            <w:pPr>
              <w:spacing w:line="276" w:lineRule="auto" w:after="0"/>
              <w:jc w:val="center"/>
            </w:pPr>
            <w:r/>
            <w:r>
              <w:rPr>
                <w:rFonts w:ascii="Times New Roman" w:hAnsi="Times New Roman"/>
                <w:b w:val="0"/>
                <w:sz w:val="22"/>
              </w:rPr>
            </w:r>
          </w:p>
        </w:tc>
        <w:tc>
          <w:tcPr>
            <w:tcW w:type="dxa" w:w="493"/>
          </w:tcPr>
          <w:p>
            <w:pPr>
              <w:spacing w:line="276" w:lineRule="auto" w:after="0"/>
              <w:jc w:val="center"/>
            </w:pPr>
            <w:r/>
            <w:r>
              <w:rPr>
                <w:rFonts w:ascii="Times New Roman" w:hAnsi="Times New Roman"/>
                <w:b w:val="0"/>
                <w:sz w:val="22"/>
              </w:rPr>
            </w:r>
          </w:p>
        </w:tc>
        <w:tc>
          <w:tcPr>
            <w:tcW w:type="dxa" w:w="493"/>
          </w:tcPr>
          <w:p>
            <w:pPr>
              <w:spacing w:line="276" w:lineRule="auto" w:after="0"/>
              <w:jc w:val="center"/>
            </w:pPr>
            <w:r/>
            <w:r>
              <w:rPr>
                <w:rFonts w:ascii="Times New Roman" w:hAnsi="Times New Roman"/>
                <w:b w:val="0"/>
                <w:sz w:val="22"/>
              </w:rPr>
            </w:r>
          </w:p>
        </w:tc>
        <w:tc>
          <w:tcPr>
            <w:tcW w:type="dxa" w:w="493"/>
          </w:tcPr>
          <w:p>
            <w:pPr>
              <w:spacing w:line="276" w:lineRule="auto" w:after="0"/>
              <w:jc w:val="center"/>
            </w:pPr>
            <w:r/>
            <w:r>
              <w:rPr>
                <w:rFonts w:ascii="Times New Roman" w:hAnsi="Times New Roman"/>
                <w:b/>
                <w:sz w:val="20"/>
              </w:rPr>
              <w:t>X</w:t>
            </w:r>
          </w:p>
        </w:tc>
        <w:tc>
          <w:tcPr>
            <w:tcW w:type="dxa" w:w="493"/>
          </w:tcPr>
          <w:p>
            <w:pPr>
              <w:spacing w:line="276" w:lineRule="auto" w:after="0"/>
              <w:jc w:val="center"/>
            </w:pPr>
            <w:r/>
            <w:r>
              <w:rPr>
                <w:rFonts w:ascii="Times New Roman" w:hAnsi="Times New Roman"/>
                <w:b/>
                <w:sz w:val="20"/>
              </w:rPr>
              <w:t>X</w:t>
            </w:r>
          </w:p>
        </w:tc>
        <w:tc>
          <w:tcPr>
            <w:tcW w:type="dxa" w:w="493"/>
          </w:tcPr>
          <w:p>
            <w:pPr>
              <w:spacing w:line="276" w:lineRule="auto" w:after="0"/>
              <w:jc w:val="center"/>
            </w:pPr>
            <w:r/>
            <w:r>
              <w:rPr>
                <w:rFonts w:ascii="Times New Roman" w:hAnsi="Times New Roman"/>
                <w:b/>
                <w:sz w:val="20"/>
              </w:rPr>
              <w:t>X</w:t>
            </w:r>
          </w:p>
        </w:tc>
        <w:tc>
          <w:tcPr>
            <w:tcW w:type="dxa" w:w="493"/>
          </w:tcPr>
          <w:p>
            <w:pPr>
              <w:spacing w:line="276" w:lineRule="auto" w:after="0"/>
              <w:jc w:val="center"/>
            </w:pPr>
            <w:r/>
            <w:r>
              <w:rPr>
                <w:rFonts w:ascii="Times New Roman" w:hAnsi="Times New Roman"/>
                <w:b/>
                <w:sz w:val="20"/>
              </w:rPr>
              <w:t>X</w:t>
            </w:r>
          </w:p>
        </w:tc>
        <w:tc>
          <w:tcPr>
            <w:tcW w:type="dxa" w:w="493"/>
          </w:tcPr>
          <w:p>
            <w:pPr>
              <w:spacing w:line="276" w:lineRule="auto" w:after="0"/>
              <w:jc w:val="center"/>
            </w:pPr>
            <w:r/>
            <w:r>
              <w:rPr>
                <w:rFonts w:ascii="Times New Roman" w:hAnsi="Times New Roman"/>
                <w:b/>
                <w:sz w:val="20"/>
              </w:rPr>
              <w:t>X</w:t>
            </w:r>
          </w:p>
        </w:tc>
        <w:tc>
          <w:tcPr>
            <w:tcW w:type="dxa" w:w="493"/>
          </w:tcPr>
          <w:p>
            <w:pPr>
              <w:spacing w:line="276" w:lineRule="auto" w:after="0"/>
              <w:jc w:val="center"/>
            </w:pPr>
            <w:r/>
            <w:r>
              <w:rPr>
                <w:rFonts w:ascii="Times New Roman" w:hAnsi="Times New Roman"/>
                <w:b w:val="0"/>
                <w:sz w:val="22"/>
              </w:rPr>
            </w:r>
          </w:p>
        </w:tc>
        <w:tc>
          <w:tcPr>
            <w:tcW w:type="dxa" w:w="493"/>
          </w:tcPr>
          <w:p>
            <w:pPr>
              <w:spacing w:line="276" w:lineRule="auto" w:after="0"/>
              <w:jc w:val="center"/>
            </w:pPr>
            <w:r/>
            <w:r>
              <w:rPr>
                <w:rFonts w:ascii="Times New Roman" w:hAnsi="Times New Roman"/>
                <w:b w:val="0"/>
                <w:sz w:val="22"/>
              </w:rPr>
            </w:r>
          </w:p>
        </w:tc>
      </w:tr>
      <w:tr>
        <w:tc>
          <w:tcPr>
            <w:tcW w:type="dxa" w:w="493"/>
          </w:tcPr>
          <w:p>
            <w:pPr>
              <w:spacing w:line="276" w:lineRule="auto" w:after="0"/>
            </w:pPr>
            <w:r/>
            <w:r>
              <w:rPr>
                <w:rFonts w:ascii="Times New Roman" w:hAnsi="Times New Roman"/>
                <w:b/>
                <w:sz w:val="18"/>
              </w:rPr>
              <w:t>6.0 Digital infrastructure</w:t>
            </w:r>
          </w:p>
        </w:tc>
        <w:tc>
          <w:tcPr>
            <w:tcW w:type="dxa" w:w="493"/>
          </w:tcPr>
          <w:p>
            <w:pPr>
              <w:spacing w:line="276" w:lineRule="auto" w:after="0"/>
              <w:jc w:val="center"/>
            </w:pPr>
            <w:r/>
            <w:r>
              <w:rPr>
                <w:rFonts w:ascii="Times New Roman" w:hAnsi="Times New Roman"/>
                <w:b w:val="0"/>
                <w:sz w:val="22"/>
              </w:rPr>
            </w:r>
          </w:p>
        </w:tc>
        <w:tc>
          <w:tcPr>
            <w:tcW w:type="dxa" w:w="493"/>
          </w:tcPr>
          <w:p>
            <w:pPr>
              <w:spacing w:line="276" w:lineRule="auto" w:after="0"/>
              <w:jc w:val="center"/>
            </w:pPr>
            <w:r/>
            <w:r>
              <w:rPr>
                <w:rFonts w:ascii="Times New Roman" w:hAnsi="Times New Roman"/>
                <w:b w:val="0"/>
                <w:sz w:val="22"/>
              </w:rPr>
            </w:r>
          </w:p>
        </w:tc>
        <w:tc>
          <w:tcPr>
            <w:tcW w:type="dxa" w:w="493"/>
          </w:tcPr>
          <w:p>
            <w:pPr>
              <w:spacing w:line="276" w:lineRule="auto" w:after="0"/>
              <w:jc w:val="center"/>
            </w:pPr>
            <w:r/>
            <w:r>
              <w:rPr>
                <w:rFonts w:ascii="Times New Roman" w:hAnsi="Times New Roman"/>
                <w:b w:val="0"/>
                <w:sz w:val="22"/>
              </w:rPr>
            </w:r>
          </w:p>
        </w:tc>
        <w:tc>
          <w:tcPr>
            <w:tcW w:type="dxa" w:w="493"/>
          </w:tcPr>
          <w:p>
            <w:pPr>
              <w:spacing w:line="276" w:lineRule="auto" w:after="0"/>
              <w:jc w:val="center"/>
            </w:pPr>
            <w:r/>
            <w:r>
              <w:rPr>
                <w:rFonts w:ascii="Times New Roman" w:hAnsi="Times New Roman"/>
                <w:b w:val="0"/>
                <w:sz w:val="22"/>
              </w:rPr>
            </w:r>
          </w:p>
        </w:tc>
        <w:tc>
          <w:tcPr>
            <w:tcW w:type="dxa" w:w="493"/>
          </w:tcPr>
          <w:p>
            <w:pPr>
              <w:spacing w:line="276" w:lineRule="auto" w:after="0"/>
              <w:jc w:val="center"/>
            </w:pPr>
            <w:r/>
            <w:r>
              <w:rPr>
                <w:rFonts w:ascii="Times New Roman" w:hAnsi="Times New Roman"/>
                <w:b w:val="0"/>
                <w:sz w:val="22"/>
              </w:rPr>
            </w:r>
          </w:p>
        </w:tc>
        <w:tc>
          <w:tcPr>
            <w:tcW w:type="dxa" w:w="493"/>
          </w:tcPr>
          <w:p>
            <w:pPr>
              <w:spacing w:line="276" w:lineRule="auto" w:after="0"/>
              <w:jc w:val="center"/>
            </w:pPr>
            <w:r/>
            <w:r>
              <w:rPr>
                <w:rFonts w:ascii="Times New Roman" w:hAnsi="Times New Roman"/>
                <w:b w:val="0"/>
                <w:sz w:val="22"/>
              </w:rPr>
            </w:r>
          </w:p>
        </w:tc>
        <w:tc>
          <w:tcPr>
            <w:tcW w:type="dxa" w:w="493"/>
          </w:tcPr>
          <w:p>
            <w:pPr>
              <w:spacing w:line="276" w:lineRule="auto" w:after="0"/>
              <w:jc w:val="center"/>
            </w:pPr>
            <w:r/>
            <w:r>
              <w:rPr>
                <w:rFonts w:ascii="Times New Roman" w:hAnsi="Times New Roman"/>
                <w:b w:val="0"/>
                <w:sz w:val="22"/>
              </w:rPr>
            </w:r>
          </w:p>
        </w:tc>
        <w:tc>
          <w:tcPr>
            <w:tcW w:type="dxa" w:w="493"/>
          </w:tcPr>
          <w:p>
            <w:pPr>
              <w:spacing w:line="276" w:lineRule="auto" w:after="0"/>
              <w:jc w:val="center"/>
            </w:pPr>
            <w:r/>
            <w:r>
              <w:rPr>
                <w:rFonts w:ascii="Times New Roman" w:hAnsi="Times New Roman"/>
                <w:b w:val="0"/>
                <w:sz w:val="22"/>
              </w:rPr>
            </w:r>
          </w:p>
        </w:tc>
        <w:tc>
          <w:tcPr>
            <w:tcW w:type="dxa" w:w="493"/>
          </w:tcPr>
          <w:p>
            <w:pPr>
              <w:spacing w:line="276" w:lineRule="auto" w:after="0"/>
              <w:jc w:val="center"/>
            </w:pPr>
            <w:r/>
            <w:r>
              <w:rPr>
                <w:rFonts w:ascii="Times New Roman" w:hAnsi="Times New Roman"/>
                <w:b w:val="0"/>
                <w:sz w:val="22"/>
              </w:rPr>
            </w:r>
          </w:p>
        </w:tc>
        <w:tc>
          <w:tcPr>
            <w:tcW w:type="dxa" w:w="493"/>
          </w:tcPr>
          <w:p>
            <w:pPr>
              <w:spacing w:line="276" w:lineRule="auto" w:after="0"/>
              <w:jc w:val="center"/>
            </w:pPr>
            <w:r/>
            <w:r>
              <w:rPr>
                <w:rFonts w:ascii="Times New Roman" w:hAnsi="Times New Roman"/>
                <w:b w:val="0"/>
                <w:sz w:val="22"/>
              </w:rPr>
            </w:r>
          </w:p>
        </w:tc>
        <w:tc>
          <w:tcPr>
            <w:tcW w:type="dxa" w:w="493"/>
          </w:tcPr>
          <w:p>
            <w:pPr>
              <w:spacing w:line="276" w:lineRule="auto" w:after="0"/>
              <w:jc w:val="center"/>
            </w:pPr>
            <w:r/>
            <w:r>
              <w:rPr>
                <w:rFonts w:ascii="Times New Roman" w:hAnsi="Times New Roman"/>
                <w:b w:val="0"/>
                <w:sz w:val="22"/>
              </w:rPr>
            </w:r>
          </w:p>
        </w:tc>
        <w:tc>
          <w:tcPr>
            <w:tcW w:type="dxa" w:w="493"/>
          </w:tcPr>
          <w:p>
            <w:pPr>
              <w:spacing w:line="276" w:lineRule="auto" w:after="0"/>
              <w:jc w:val="center"/>
            </w:pPr>
            <w:r/>
            <w:r>
              <w:rPr>
                <w:rFonts w:ascii="Times New Roman" w:hAnsi="Times New Roman"/>
                <w:b w:val="0"/>
                <w:sz w:val="22"/>
              </w:rPr>
            </w:r>
          </w:p>
        </w:tc>
        <w:tc>
          <w:tcPr>
            <w:tcW w:type="dxa" w:w="493"/>
          </w:tcPr>
          <w:p>
            <w:pPr>
              <w:spacing w:line="276" w:lineRule="auto" w:after="0"/>
              <w:jc w:val="center"/>
            </w:pPr>
            <w:r/>
            <w:r>
              <w:rPr>
                <w:rFonts w:ascii="Times New Roman" w:hAnsi="Times New Roman"/>
                <w:b/>
                <w:sz w:val="20"/>
              </w:rPr>
              <w:t>X</w:t>
            </w:r>
          </w:p>
        </w:tc>
        <w:tc>
          <w:tcPr>
            <w:tcW w:type="dxa" w:w="493"/>
          </w:tcPr>
          <w:p>
            <w:pPr>
              <w:spacing w:line="276" w:lineRule="auto" w:after="0"/>
              <w:jc w:val="center"/>
            </w:pPr>
            <w:r/>
            <w:r>
              <w:rPr>
                <w:rFonts w:ascii="Times New Roman" w:hAnsi="Times New Roman"/>
                <w:b/>
                <w:sz w:val="20"/>
              </w:rPr>
              <w:t>X</w:t>
            </w:r>
          </w:p>
        </w:tc>
        <w:tc>
          <w:tcPr>
            <w:tcW w:type="dxa" w:w="493"/>
          </w:tcPr>
          <w:p>
            <w:pPr>
              <w:spacing w:line="276" w:lineRule="auto" w:after="0"/>
              <w:jc w:val="center"/>
            </w:pPr>
            <w:r/>
            <w:r>
              <w:rPr>
                <w:rFonts w:ascii="Times New Roman" w:hAnsi="Times New Roman"/>
                <w:b/>
                <w:sz w:val="20"/>
              </w:rPr>
              <w:t>X</w:t>
            </w:r>
          </w:p>
        </w:tc>
        <w:tc>
          <w:tcPr>
            <w:tcW w:type="dxa" w:w="493"/>
          </w:tcPr>
          <w:p>
            <w:pPr>
              <w:spacing w:line="276" w:lineRule="auto" w:after="0"/>
              <w:jc w:val="center"/>
            </w:pPr>
            <w:r/>
            <w:r>
              <w:rPr>
                <w:rFonts w:ascii="Times New Roman" w:hAnsi="Times New Roman"/>
                <w:b/>
                <w:sz w:val="20"/>
              </w:rPr>
              <w:t>X</w:t>
            </w:r>
          </w:p>
        </w:tc>
        <w:tc>
          <w:tcPr>
            <w:tcW w:type="dxa" w:w="493"/>
          </w:tcPr>
          <w:p>
            <w:pPr>
              <w:spacing w:line="276" w:lineRule="auto" w:after="0"/>
              <w:jc w:val="center"/>
            </w:pPr>
            <w:r/>
            <w:r>
              <w:rPr>
                <w:rFonts w:ascii="Times New Roman" w:hAnsi="Times New Roman"/>
                <w:b/>
                <w:sz w:val="20"/>
              </w:rPr>
              <w:t>X</w:t>
            </w:r>
          </w:p>
        </w:tc>
        <w:tc>
          <w:tcPr>
            <w:tcW w:type="dxa" w:w="493"/>
          </w:tcPr>
          <w:p>
            <w:pPr>
              <w:spacing w:line="276" w:lineRule="auto" w:after="0"/>
              <w:jc w:val="center"/>
            </w:pPr>
            <w:r/>
            <w:r>
              <w:rPr>
                <w:rFonts w:ascii="Times New Roman" w:hAnsi="Times New Roman"/>
                <w:b w:val="0"/>
                <w:sz w:val="22"/>
              </w:rPr>
            </w:r>
          </w:p>
        </w:tc>
      </w:tr>
      <w:tr>
        <w:tc>
          <w:tcPr>
            <w:tcW w:type="dxa" w:w="493"/>
          </w:tcPr>
          <w:p>
            <w:pPr>
              <w:spacing w:line="276" w:lineRule="auto" w:after="0"/>
            </w:pPr>
            <w:r/>
            <w:r>
              <w:rPr>
                <w:rFonts w:ascii="Times New Roman" w:hAnsi="Times New Roman"/>
                <w:b/>
                <w:sz w:val="18"/>
              </w:rPr>
              <w:t>7.0 Commissioning and handover</w:t>
            </w:r>
          </w:p>
        </w:tc>
        <w:tc>
          <w:tcPr>
            <w:tcW w:type="dxa" w:w="493"/>
          </w:tcPr>
          <w:p>
            <w:pPr>
              <w:spacing w:line="276" w:lineRule="auto" w:after="0"/>
              <w:jc w:val="center"/>
            </w:pPr>
            <w:r/>
            <w:r>
              <w:rPr>
                <w:rFonts w:ascii="Times New Roman" w:hAnsi="Times New Roman"/>
                <w:b w:val="0"/>
                <w:sz w:val="22"/>
              </w:rPr>
            </w:r>
          </w:p>
        </w:tc>
        <w:tc>
          <w:tcPr>
            <w:tcW w:type="dxa" w:w="493"/>
          </w:tcPr>
          <w:p>
            <w:pPr>
              <w:spacing w:line="276" w:lineRule="auto" w:after="0"/>
              <w:jc w:val="center"/>
            </w:pPr>
            <w:r/>
            <w:r>
              <w:rPr>
                <w:rFonts w:ascii="Times New Roman" w:hAnsi="Times New Roman"/>
                <w:b w:val="0"/>
                <w:sz w:val="22"/>
              </w:rPr>
            </w:r>
          </w:p>
        </w:tc>
        <w:tc>
          <w:tcPr>
            <w:tcW w:type="dxa" w:w="493"/>
          </w:tcPr>
          <w:p>
            <w:pPr>
              <w:spacing w:line="276" w:lineRule="auto" w:after="0"/>
              <w:jc w:val="center"/>
            </w:pPr>
            <w:r/>
            <w:r>
              <w:rPr>
                <w:rFonts w:ascii="Times New Roman" w:hAnsi="Times New Roman"/>
                <w:b w:val="0"/>
                <w:sz w:val="22"/>
              </w:rPr>
            </w:r>
          </w:p>
        </w:tc>
        <w:tc>
          <w:tcPr>
            <w:tcW w:type="dxa" w:w="493"/>
          </w:tcPr>
          <w:p>
            <w:pPr>
              <w:spacing w:line="276" w:lineRule="auto" w:after="0"/>
              <w:jc w:val="center"/>
            </w:pPr>
            <w:r/>
            <w:r>
              <w:rPr>
                <w:rFonts w:ascii="Times New Roman" w:hAnsi="Times New Roman"/>
                <w:b w:val="0"/>
                <w:sz w:val="22"/>
              </w:rPr>
            </w:r>
          </w:p>
        </w:tc>
        <w:tc>
          <w:tcPr>
            <w:tcW w:type="dxa" w:w="493"/>
          </w:tcPr>
          <w:p>
            <w:pPr>
              <w:spacing w:line="276" w:lineRule="auto" w:after="0"/>
              <w:jc w:val="center"/>
            </w:pPr>
            <w:r/>
            <w:r>
              <w:rPr>
                <w:rFonts w:ascii="Times New Roman" w:hAnsi="Times New Roman"/>
                <w:b w:val="0"/>
                <w:sz w:val="22"/>
              </w:rPr>
            </w:r>
          </w:p>
        </w:tc>
        <w:tc>
          <w:tcPr>
            <w:tcW w:type="dxa" w:w="493"/>
          </w:tcPr>
          <w:p>
            <w:pPr>
              <w:spacing w:line="276" w:lineRule="auto" w:after="0"/>
              <w:jc w:val="center"/>
            </w:pPr>
            <w:r/>
            <w:r>
              <w:rPr>
                <w:rFonts w:ascii="Times New Roman" w:hAnsi="Times New Roman"/>
                <w:b w:val="0"/>
                <w:sz w:val="22"/>
              </w:rPr>
            </w:r>
          </w:p>
        </w:tc>
        <w:tc>
          <w:tcPr>
            <w:tcW w:type="dxa" w:w="493"/>
          </w:tcPr>
          <w:p>
            <w:pPr>
              <w:spacing w:line="276" w:lineRule="auto" w:after="0"/>
              <w:jc w:val="center"/>
            </w:pPr>
            <w:r/>
            <w:r>
              <w:rPr>
                <w:rFonts w:ascii="Times New Roman" w:hAnsi="Times New Roman"/>
                <w:b w:val="0"/>
                <w:sz w:val="22"/>
              </w:rPr>
            </w:r>
          </w:p>
        </w:tc>
        <w:tc>
          <w:tcPr>
            <w:tcW w:type="dxa" w:w="493"/>
          </w:tcPr>
          <w:p>
            <w:pPr>
              <w:spacing w:line="276" w:lineRule="auto" w:after="0"/>
              <w:jc w:val="center"/>
            </w:pPr>
            <w:r/>
            <w:r>
              <w:rPr>
                <w:rFonts w:ascii="Times New Roman" w:hAnsi="Times New Roman"/>
                <w:b w:val="0"/>
                <w:sz w:val="22"/>
              </w:rPr>
            </w:r>
          </w:p>
        </w:tc>
        <w:tc>
          <w:tcPr>
            <w:tcW w:type="dxa" w:w="493"/>
          </w:tcPr>
          <w:p>
            <w:pPr>
              <w:spacing w:line="276" w:lineRule="auto" w:after="0"/>
              <w:jc w:val="center"/>
            </w:pPr>
            <w:r/>
            <w:r>
              <w:rPr>
                <w:rFonts w:ascii="Times New Roman" w:hAnsi="Times New Roman"/>
                <w:b w:val="0"/>
                <w:sz w:val="22"/>
              </w:rPr>
            </w:r>
          </w:p>
        </w:tc>
        <w:tc>
          <w:tcPr>
            <w:tcW w:type="dxa" w:w="493"/>
          </w:tcPr>
          <w:p>
            <w:pPr>
              <w:spacing w:line="276" w:lineRule="auto" w:after="0"/>
              <w:jc w:val="center"/>
            </w:pPr>
            <w:r/>
            <w:r>
              <w:rPr>
                <w:rFonts w:ascii="Times New Roman" w:hAnsi="Times New Roman"/>
                <w:b w:val="0"/>
                <w:sz w:val="22"/>
              </w:rPr>
            </w:r>
          </w:p>
        </w:tc>
        <w:tc>
          <w:tcPr>
            <w:tcW w:type="dxa" w:w="493"/>
          </w:tcPr>
          <w:p>
            <w:pPr>
              <w:spacing w:line="276" w:lineRule="auto" w:after="0"/>
              <w:jc w:val="center"/>
            </w:pPr>
            <w:r/>
            <w:r>
              <w:rPr>
                <w:rFonts w:ascii="Times New Roman" w:hAnsi="Times New Roman"/>
                <w:b w:val="0"/>
                <w:sz w:val="22"/>
              </w:rPr>
            </w:r>
          </w:p>
        </w:tc>
        <w:tc>
          <w:tcPr>
            <w:tcW w:type="dxa" w:w="493"/>
          </w:tcPr>
          <w:p>
            <w:pPr>
              <w:spacing w:line="276" w:lineRule="auto" w:after="0"/>
              <w:jc w:val="center"/>
            </w:pPr>
            <w:r/>
            <w:r>
              <w:rPr>
                <w:rFonts w:ascii="Times New Roman" w:hAnsi="Times New Roman"/>
                <w:b w:val="0"/>
                <w:sz w:val="22"/>
              </w:rPr>
            </w:r>
          </w:p>
        </w:tc>
        <w:tc>
          <w:tcPr>
            <w:tcW w:type="dxa" w:w="493"/>
          </w:tcPr>
          <w:p>
            <w:pPr>
              <w:spacing w:line="276" w:lineRule="auto" w:after="0"/>
              <w:jc w:val="center"/>
            </w:pPr>
            <w:r/>
            <w:r>
              <w:rPr>
                <w:rFonts w:ascii="Times New Roman" w:hAnsi="Times New Roman"/>
                <w:b w:val="0"/>
                <w:sz w:val="22"/>
              </w:rPr>
            </w:r>
          </w:p>
        </w:tc>
        <w:tc>
          <w:tcPr>
            <w:tcW w:type="dxa" w:w="493"/>
          </w:tcPr>
          <w:p>
            <w:pPr>
              <w:spacing w:line="276" w:lineRule="auto" w:after="0"/>
              <w:jc w:val="center"/>
            </w:pPr>
            <w:r/>
            <w:r>
              <w:rPr>
                <w:rFonts w:ascii="Times New Roman" w:hAnsi="Times New Roman"/>
                <w:b w:val="0"/>
                <w:sz w:val="22"/>
              </w:rPr>
            </w:r>
          </w:p>
        </w:tc>
        <w:tc>
          <w:tcPr>
            <w:tcW w:type="dxa" w:w="493"/>
          </w:tcPr>
          <w:p>
            <w:pPr>
              <w:spacing w:line="276" w:lineRule="auto" w:after="0"/>
              <w:jc w:val="center"/>
            </w:pPr>
            <w:r/>
            <w:r>
              <w:rPr>
                <w:rFonts w:ascii="Times New Roman" w:hAnsi="Times New Roman"/>
                <w:b w:val="0"/>
                <w:sz w:val="22"/>
              </w:rPr>
            </w:r>
          </w:p>
        </w:tc>
        <w:tc>
          <w:tcPr>
            <w:tcW w:type="dxa" w:w="493"/>
          </w:tcPr>
          <w:p>
            <w:pPr>
              <w:spacing w:line="276" w:lineRule="auto" w:after="0"/>
              <w:jc w:val="center"/>
            </w:pPr>
            <w:r/>
            <w:r>
              <w:rPr>
                <w:rFonts w:ascii="Times New Roman" w:hAnsi="Times New Roman"/>
                <w:b/>
                <w:sz w:val="20"/>
              </w:rPr>
              <w:t>X</w:t>
            </w:r>
          </w:p>
        </w:tc>
        <w:tc>
          <w:tcPr>
            <w:tcW w:type="dxa" w:w="493"/>
          </w:tcPr>
          <w:p>
            <w:pPr>
              <w:spacing w:line="276" w:lineRule="auto" w:after="0"/>
              <w:jc w:val="center"/>
            </w:pPr>
            <w:r/>
            <w:r>
              <w:rPr>
                <w:rFonts w:ascii="Times New Roman" w:hAnsi="Times New Roman"/>
                <w:b/>
                <w:sz w:val="20"/>
              </w:rPr>
              <w:t>X</w:t>
            </w:r>
          </w:p>
        </w:tc>
        <w:tc>
          <w:tcPr>
            <w:tcW w:type="dxa" w:w="493"/>
          </w:tcPr>
          <w:p>
            <w:pPr>
              <w:spacing w:line="276" w:lineRule="auto" w:after="0"/>
              <w:jc w:val="center"/>
            </w:pPr>
            <w:r/>
            <w:r>
              <w:rPr>
                <w:rFonts w:ascii="Times New Roman" w:hAnsi="Times New Roman"/>
                <w:b/>
                <w:sz w:val="20"/>
              </w:rPr>
              <w:t>X</w:t>
            </w:r>
          </w:p>
        </w:tc>
      </w:tr>
    </w:tbl>
    <w:p>
      <w:pPr>
        <w:spacing w:before="80" w:after="200"/>
        <w:jc w:val="center"/>
      </w:pPr>
      <w:r>
        <w:rPr>
          <w:rFonts w:ascii="Times New Roman" w:hAnsi="Times New Roman"/>
          <w:b/>
          <w:sz w:val="22"/>
        </w:rPr>
        <w:t>Figure 2. Gantt overview of the 18-month schedule. Cells marked X show the planned active months for each work package.</w:t>
      </w:r>
    </w:p>
    <w:p>
      <w:pPr>
        <w:pStyle w:val="Heading2"/>
      </w:pPr>
      <w:r>
        <w:rPr>
          <w:rFonts w:ascii="Times New Roman" w:hAnsi="Times New Roman"/>
        </w:rPr>
        <w:t>7. Stakeholders' Involvement</w:t>
      </w:r>
    </w:p>
    <w:p>
      <w:pPr>
        <w:jc w:val="both"/>
      </w:pPr>
      <w:r>
        <w:rPr>
          <w:rFonts w:ascii="Times New Roman" w:hAnsi="Times New Roman"/>
          <w:b w:val="0"/>
          <w:i w:val="0"/>
          <w:sz w:val="24"/>
        </w:rPr>
        <w:t>Stakeholder engagement is central to project success (Association for Project Management, 2019; Freeman, 2010). Effective engagement is even more important for infrastructure regeneration projects, where multiple public and private actors have overlapping interests (Bulkeley, 2013). The stakeholders on this project are classified in Table 4 using Mendelow's (1991) Power/Interest Matrix. This tool distinguishes between groups that need active management, those that need to be kept satisfied, those that need to be kept informed, and those that need only to be monitored. Assigning the correct engagement strategy reduces the likelihood that stakeholder resistance becomes a critical risk (Project Management Institute, 2021).</w:t>
      </w:r>
    </w:p>
    <w:p>
      <w:pPr>
        <w:spacing w:before="160" w:after="80"/>
        <w:jc w:val="left"/>
      </w:pPr>
      <w:r>
        <w:rPr>
          <w:rFonts w:ascii="Times New Roman" w:hAnsi="Times New Roman"/>
          <w:b/>
          <w:sz w:val="22"/>
        </w:rPr>
        <w:t>Table 4. Stakeholder analysis using the Power/Interest Matrix (Mendelow, 1991).</w:t>
      </w:r>
    </w:p>
    <w:tbl>
      <w:tblPr>
        <w:tblStyle w:val="TableGrid"/>
        <w:tblW w:type="auto" w:w="0"/>
        <w:jc w:val="center"/>
        <w:tblLook w:firstColumn="1" w:firstRow="1" w:lastColumn="0" w:lastRow="0" w:noHBand="0" w:noVBand="1" w:val="04A0"/>
      </w:tblPr>
      <w:tblGrid>
        <w:gridCol w:w="3120"/>
        <w:gridCol w:w="3120"/>
        <w:gridCol w:w="3120"/>
      </w:tblGrid>
      <w:tr>
        <w:tc>
          <w:tcPr>
            <w:tcW w:type="dxa" w:w="3120"/>
          </w:tcPr>
          <w:p>
            <w:pPr>
              <w:spacing w:line="276" w:lineRule="auto" w:after="0"/>
            </w:pPr>
            <w:r/>
            <w:r>
              <w:rPr>
                <w:rFonts w:ascii="Times New Roman" w:hAnsi="Times New Roman"/>
                <w:b/>
                <w:sz w:val="22"/>
              </w:rPr>
              <w:t>Stakeholder group</w:t>
            </w:r>
          </w:p>
        </w:tc>
        <w:tc>
          <w:tcPr>
            <w:tcW w:type="dxa" w:w="3120"/>
          </w:tcPr>
          <w:p>
            <w:pPr>
              <w:spacing w:line="276" w:lineRule="auto" w:after="0"/>
            </w:pPr>
            <w:r/>
            <w:r>
              <w:rPr>
                <w:rFonts w:ascii="Times New Roman" w:hAnsi="Times New Roman"/>
                <w:b/>
                <w:sz w:val="22"/>
              </w:rPr>
              <w:t>Power and interest position</w:t>
            </w:r>
          </w:p>
        </w:tc>
        <w:tc>
          <w:tcPr>
            <w:tcW w:type="dxa" w:w="3120"/>
          </w:tcPr>
          <w:p>
            <w:pPr>
              <w:spacing w:line="276" w:lineRule="auto" w:after="0"/>
            </w:pPr>
            <w:r/>
            <w:r>
              <w:rPr>
                <w:rFonts w:ascii="Times New Roman" w:hAnsi="Times New Roman"/>
                <w:b/>
                <w:sz w:val="22"/>
              </w:rPr>
              <w:t>Engagement strategy</w:t>
            </w:r>
          </w:p>
        </w:tc>
      </w:tr>
      <w:tr>
        <w:tc>
          <w:tcPr>
            <w:tcW w:type="dxa" w:w="3120"/>
          </w:tcPr>
          <w:p>
            <w:pPr>
              <w:spacing w:line="276" w:lineRule="auto" w:after="0"/>
            </w:pPr>
            <w:r/>
            <w:r>
              <w:rPr>
                <w:rFonts w:ascii="Times New Roman" w:hAnsi="Times New Roman"/>
                <w:b w:val="0"/>
                <w:sz w:val="22"/>
              </w:rPr>
              <w:t>Local authority and Department for Transport</w:t>
            </w:r>
          </w:p>
        </w:tc>
        <w:tc>
          <w:tcPr>
            <w:tcW w:type="dxa" w:w="3120"/>
          </w:tcPr>
          <w:p>
            <w:pPr>
              <w:spacing w:line="276" w:lineRule="auto" w:after="0"/>
            </w:pPr>
            <w:r/>
            <w:r>
              <w:rPr>
                <w:rFonts w:ascii="Times New Roman" w:hAnsi="Times New Roman"/>
                <w:b w:val="0"/>
                <w:sz w:val="22"/>
              </w:rPr>
              <w:t>High power and high interest</w:t>
            </w:r>
          </w:p>
        </w:tc>
        <w:tc>
          <w:tcPr>
            <w:tcW w:type="dxa" w:w="3120"/>
          </w:tcPr>
          <w:p>
            <w:pPr>
              <w:spacing w:line="276" w:lineRule="auto" w:after="0"/>
            </w:pPr>
            <w:r/>
            <w:r>
              <w:rPr>
                <w:rFonts w:ascii="Times New Roman" w:hAnsi="Times New Roman"/>
                <w:b w:val="0"/>
                <w:sz w:val="22"/>
              </w:rPr>
              <w:t>Manage closely with steering group representation and monthly reporting</w:t>
            </w:r>
          </w:p>
        </w:tc>
      </w:tr>
      <w:tr>
        <w:tc>
          <w:tcPr>
            <w:tcW w:type="dxa" w:w="3120"/>
          </w:tcPr>
          <w:p>
            <w:pPr>
              <w:spacing w:line="276" w:lineRule="auto" w:after="0"/>
            </w:pPr>
            <w:r/>
            <w:r>
              <w:rPr>
                <w:rFonts w:ascii="Times New Roman" w:hAnsi="Times New Roman"/>
                <w:b w:val="0"/>
                <w:sz w:val="22"/>
              </w:rPr>
              <w:t>Transport operators, contractors and engineering team</w:t>
            </w:r>
          </w:p>
        </w:tc>
        <w:tc>
          <w:tcPr>
            <w:tcW w:type="dxa" w:w="3120"/>
          </w:tcPr>
          <w:p>
            <w:pPr>
              <w:spacing w:line="276" w:lineRule="auto" w:after="0"/>
            </w:pPr>
            <w:r/>
            <w:r>
              <w:rPr>
                <w:rFonts w:ascii="Times New Roman" w:hAnsi="Times New Roman"/>
                <w:b w:val="0"/>
                <w:sz w:val="22"/>
              </w:rPr>
              <w:t>High power and lower interest</w:t>
            </w:r>
          </w:p>
        </w:tc>
        <w:tc>
          <w:tcPr>
            <w:tcW w:type="dxa" w:w="3120"/>
          </w:tcPr>
          <w:p>
            <w:pPr>
              <w:spacing w:line="276" w:lineRule="auto" w:after="0"/>
            </w:pPr>
            <w:r/>
            <w:r>
              <w:rPr>
                <w:rFonts w:ascii="Times New Roman" w:hAnsi="Times New Roman"/>
                <w:b w:val="0"/>
                <w:sz w:val="22"/>
              </w:rPr>
              <w:t>Keep satisfied with formal governance and change-control forums</w:t>
            </w:r>
          </w:p>
        </w:tc>
      </w:tr>
      <w:tr>
        <w:tc>
          <w:tcPr>
            <w:tcW w:type="dxa" w:w="3120"/>
          </w:tcPr>
          <w:p>
            <w:pPr>
              <w:spacing w:line="276" w:lineRule="auto" w:after="0"/>
            </w:pPr>
            <w:r/>
            <w:r>
              <w:rPr>
                <w:rFonts w:ascii="Times New Roman" w:hAnsi="Times New Roman"/>
                <w:b w:val="0"/>
                <w:sz w:val="22"/>
              </w:rPr>
              <w:t>Residents, commuters, accessibility groups and environmental campaigners</w:t>
            </w:r>
          </w:p>
        </w:tc>
        <w:tc>
          <w:tcPr>
            <w:tcW w:type="dxa" w:w="3120"/>
          </w:tcPr>
          <w:p>
            <w:pPr>
              <w:spacing w:line="276" w:lineRule="auto" w:after="0"/>
            </w:pPr>
            <w:r/>
            <w:r>
              <w:rPr>
                <w:rFonts w:ascii="Times New Roman" w:hAnsi="Times New Roman"/>
                <w:b w:val="0"/>
                <w:sz w:val="22"/>
              </w:rPr>
              <w:t>Lower power and high interest</w:t>
            </w:r>
          </w:p>
        </w:tc>
        <w:tc>
          <w:tcPr>
            <w:tcW w:type="dxa" w:w="3120"/>
          </w:tcPr>
          <w:p>
            <w:pPr>
              <w:spacing w:line="276" w:lineRule="auto" w:after="0"/>
            </w:pPr>
            <w:r/>
            <w:r>
              <w:rPr>
                <w:rFonts w:ascii="Times New Roman" w:hAnsi="Times New Roman"/>
                <w:b w:val="0"/>
                <w:sz w:val="22"/>
              </w:rPr>
              <w:t>Keep informed through public consultation, community drop-ins and digital updates</w:t>
            </w:r>
          </w:p>
        </w:tc>
      </w:tr>
      <w:tr>
        <w:tc>
          <w:tcPr>
            <w:tcW w:type="dxa" w:w="3120"/>
          </w:tcPr>
          <w:p>
            <w:pPr>
              <w:spacing w:line="276" w:lineRule="auto" w:after="0"/>
            </w:pPr>
            <w:r/>
            <w:r>
              <w:rPr>
                <w:rFonts w:ascii="Times New Roman" w:hAnsi="Times New Roman"/>
                <w:b w:val="0"/>
                <w:sz w:val="22"/>
              </w:rPr>
              <w:t>Media, general public and adjacent businesses</w:t>
            </w:r>
          </w:p>
        </w:tc>
        <w:tc>
          <w:tcPr>
            <w:tcW w:type="dxa" w:w="3120"/>
          </w:tcPr>
          <w:p>
            <w:pPr>
              <w:spacing w:line="276" w:lineRule="auto" w:after="0"/>
            </w:pPr>
            <w:r/>
            <w:r>
              <w:rPr>
                <w:rFonts w:ascii="Times New Roman" w:hAnsi="Times New Roman"/>
                <w:b w:val="0"/>
                <w:sz w:val="22"/>
              </w:rPr>
              <w:t>Lower power and lower interest</w:t>
            </w:r>
          </w:p>
        </w:tc>
        <w:tc>
          <w:tcPr>
            <w:tcW w:type="dxa" w:w="3120"/>
          </w:tcPr>
          <w:p>
            <w:pPr>
              <w:spacing w:line="276" w:lineRule="auto" w:after="0"/>
            </w:pPr>
            <w:r/>
            <w:r>
              <w:rPr>
                <w:rFonts w:ascii="Times New Roman" w:hAnsi="Times New Roman"/>
                <w:b w:val="0"/>
                <w:sz w:val="22"/>
              </w:rPr>
              <w:t>Monitor through periodic newsletters and proactive PR at key milestones</w:t>
            </w:r>
          </w:p>
        </w:tc>
      </w:tr>
    </w:tbl>
    <w:p>
      <w:pPr>
        <w:jc w:val="both"/>
      </w:pPr>
      <w:r>
        <w:rPr>
          <w:rFonts w:ascii="Times New Roman" w:hAnsi="Times New Roman"/>
          <w:b w:val="0"/>
          <w:i w:val="0"/>
          <w:sz w:val="24"/>
        </w:rPr>
        <w:t>A RACI matrix is also maintained internally at work package level to ensure decision rights are clear across the project team (Kerzner, 2022).</w:t>
      </w:r>
    </w:p>
    <w:p>
      <w:pPr>
        <w:pStyle w:val="Heading2"/>
      </w:pPr>
      <w:r>
        <w:rPr>
          <w:rFonts w:ascii="Times New Roman" w:hAnsi="Times New Roman"/>
        </w:rPr>
        <w:t>8. Allocation of Resources</w:t>
      </w:r>
    </w:p>
    <w:p>
      <w:pPr>
        <w:jc w:val="both"/>
      </w:pPr>
      <w:r>
        <w:rPr>
          <w:rFonts w:ascii="Times New Roman" w:hAnsi="Times New Roman"/>
          <w:b w:val="0"/>
          <w:i w:val="0"/>
          <w:sz w:val="24"/>
        </w:rPr>
        <w:t>Resource allocation ensures that the right people, materials, equipment and funding are available at the right point in the schedule (Turner, 2014; Meredith, Shafer and Mantel, 2020). Table 5 summarises the resource envelope by category, with indicative percentage shares of the £15 million programme budget. A contingency of 10% is held centrally by the project sponsor as a management reserve, in line with PMI (Project Management Institute, 2021) guidance and evidence on cost overruns in major projects (Flyvbjerg, 2014).</w:t>
      </w:r>
    </w:p>
    <w:p>
      <w:pPr>
        <w:spacing w:before="160" w:after="80"/>
        <w:jc w:val="left"/>
      </w:pPr>
      <w:r>
        <w:rPr>
          <w:rFonts w:ascii="Times New Roman" w:hAnsi="Times New Roman"/>
          <w:b/>
          <w:sz w:val="22"/>
        </w:rPr>
        <w:t>Table 5. Resource allocation summary.</w:t>
      </w:r>
    </w:p>
    <w:tbl>
      <w:tblPr>
        <w:tblStyle w:val="TableGrid"/>
        <w:tblW w:type="auto" w:w="0"/>
        <w:jc w:val="center"/>
        <w:tblLook w:firstColumn="1" w:firstRow="1" w:lastColumn="0" w:lastRow="0" w:noHBand="0" w:noVBand="1" w:val="04A0"/>
      </w:tblPr>
      <w:tblGrid>
        <w:gridCol w:w="3120"/>
        <w:gridCol w:w="3120"/>
        <w:gridCol w:w="3120"/>
      </w:tblGrid>
      <w:tr>
        <w:tc>
          <w:tcPr>
            <w:tcW w:type="dxa" w:w="3120"/>
          </w:tcPr>
          <w:p>
            <w:pPr>
              <w:spacing w:line="276" w:lineRule="auto" w:after="0"/>
            </w:pPr>
            <w:r/>
            <w:r>
              <w:rPr>
                <w:rFonts w:ascii="Times New Roman" w:hAnsi="Times New Roman"/>
                <w:b/>
                <w:sz w:val="22"/>
              </w:rPr>
              <w:t>Resource category</w:t>
            </w:r>
          </w:p>
        </w:tc>
        <w:tc>
          <w:tcPr>
            <w:tcW w:type="dxa" w:w="3120"/>
          </w:tcPr>
          <w:p>
            <w:pPr>
              <w:spacing w:line="276" w:lineRule="auto" w:after="0"/>
            </w:pPr>
            <w:r/>
            <w:r>
              <w:rPr>
                <w:rFonts w:ascii="Times New Roman" w:hAnsi="Times New Roman"/>
                <w:b/>
                <w:sz w:val="22"/>
              </w:rPr>
              <w:t>Indicative share</w:t>
            </w:r>
          </w:p>
        </w:tc>
        <w:tc>
          <w:tcPr>
            <w:tcW w:type="dxa" w:w="3120"/>
          </w:tcPr>
          <w:p>
            <w:pPr>
              <w:spacing w:line="276" w:lineRule="auto" w:after="0"/>
            </w:pPr>
            <w:r/>
            <w:r>
              <w:rPr>
                <w:rFonts w:ascii="Times New Roman" w:hAnsi="Times New Roman"/>
                <w:b/>
                <w:sz w:val="22"/>
              </w:rPr>
              <w:t>Notes</w:t>
            </w:r>
          </w:p>
        </w:tc>
      </w:tr>
      <w:tr>
        <w:tc>
          <w:tcPr>
            <w:tcW w:type="dxa" w:w="3120"/>
          </w:tcPr>
          <w:p>
            <w:pPr>
              <w:spacing w:line="276" w:lineRule="auto" w:after="0"/>
            </w:pPr>
            <w:r/>
            <w:r>
              <w:rPr>
                <w:rFonts w:ascii="Times New Roman" w:hAnsi="Times New Roman"/>
                <w:b w:val="0"/>
                <w:sz w:val="22"/>
              </w:rPr>
              <w:t>Construction and civil engineering</w:t>
            </w:r>
          </w:p>
        </w:tc>
        <w:tc>
          <w:tcPr>
            <w:tcW w:type="dxa" w:w="3120"/>
          </w:tcPr>
          <w:p>
            <w:pPr>
              <w:spacing w:line="276" w:lineRule="auto" w:after="0"/>
            </w:pPr>
            <w:r/>
            <w:r>
              <w:rPr>
                <w:rFonts w:ascii="Times New Roman" w:hAnsi="Times New Roman"/>
                <w:b w:val="0"/>
                <w:sz w:val="22"/>
              </w:rPr>
              <w:t>45%</w:t>
            </w:r>
          </w:p>
        </w:tc>
        <w:tc>
          <w:tcPr>
            <w:tcW w:type="dxa" w:w="3120"/>
          </w:tcPr>
          <w:p>
            <w:pPr>
              <w:spacing w:line="276" w:lineRule="auto" w:after="0"/>
            </w:pPr>
            <w:r/>
            <w:r>
              <w:rPr>
                <w:rFonts w:ascii="Times New Roman" w:hAnsi="Times New Roman"/>
                <w:b w:val="0"/>
                <w:sz w:val="22"/>
              </w:rPr>
              <w:t>Structural works, envelope, platforms</w:t>
            </w:r>
          </w:p>
        </w:tc>
      </w:tr>
      <w:tr>
        <w:tc>
          <w:tcPr>
            <w:tcW w:type="dxa" w:w="3120"/>
          </w:tcPr>
          <w:p>
            <w:pPr>
              <w:spacing w:line="276" w:lineRule="auto" w:after="0"/>
            </w:pPr>
            <w:r/>
            <w:r>
              <w:rPr>
                <w:rFonts w:ascii="Times New Roman" w:hAnsi="Times New Roman"/>
                <w:b w:val="0"/>
                <w:sz w:val="22"/>
              </w:rPr>
              <w:t>Sustainability systems</w:t>
            </w:r>
          </w:p>
        </w:tc>
        <w:tc>
          <w:tcPr>
            <w:tcW w:type="dxa" w:w="3120"/>
          </w:tcPr>
          <w:p>
            <w:pPr>
              <w:spacing w:line="276" w:lineRule="auto" w:after="0"/>
            </w:pPr>
            <w:r/>
            <w:r>
              <w:rPr>
                <w:rFonts w:ascii="Times New Roman" w:hAnsi="Times New Roman"/>
                <w:b w:val="0"/>
                <w:sz w:val="22"/>
              </w:rPr>
              <w:t>20%</w:t>
            </w:r>
          </w:p>
        </w:tc>
        <w:tc>
          <w:tcPr>
            <w:tcW w:type="dxa" w:w="3120"/>
          </w:tcPr>
          <w:p>
            <w:pPr>
              <w:spacing w:line="276" w:lineRule="auto" w:after="0"/>
            </w:pPr>
            <w:r/>
            <w:r>
              <w:rPr>
                <w:rFonts w:ascii="Times New Roman" w:hAnsi="Times New Roman"/>
                <w:b w:val="0"/>
                <w:sz w:val="22"/>
              </w:rPr>
              <w:t>Photovoltaics, EV charging, energy management</w:t>
            </w:r>
          </w:p>
        </w:tc>
      </w:tr>
      <w:tr>
        <w:tc>
          <w:tcPr>
            <w:tcW w:type="dxa" w:w="3120"/>
          </w:tcPr>
          <w:p>
            <w:pPr>
              <w:spacing w:line="276" w:lineRule="auto" w:after="0"/>
            </w:pPr>
            <w:r/>
            <w:r>
              <w:rPr>
                <w:rFonts w:ascii="Times New Roman" w:hAnsi="Times New Roman"/>
                <w:b w:val="0"/>
                <w:sz w:val="22"/>
              </w:rPr>
              <w:t>Design, consents and professional fees</w:t>
            </w:r>
          </w:p>
        </w:tc>
        <w:tc>
          <w:tcPr>
            <w:tcW w:type="dxa" w:w="3120"/>
          </w:tcPr>
          <w:p>
            <w:pPr>
              <w:spacing w:line="276" w:lineRule="auto" w:after="0"/>
            </w:pPr>
            <w:r/>
            <w:r>
              <w:rPr>
                <w:rFonts w:ascii="Times New Roman" w:hAnsi="Times New Roman"/>
                <w:b w:val="0"/>
                <w:sz w:val="22"/>
              </w:rPr>
              <w:t>12%</w:t>
            </w:r>
          </w:p>
        </w:tc>
        <w:tc>
          <w:tcPr>
            <w:tcW w:type="dxa" w:w="3120"/>
          </w:tcPr>
          <w:p>
            <w:pPr>
              <w:spacing w:line="276" w:lineRule="auto" w:after="0"/>
            </w:pPr>
            <w:r/>
            <w:r>
              <w:rPr>
                <w:rFonts w:ascii="Times New Roman" w:hAnsi="Times New Roman"/>
                <w:b w:val="0"/>
                <w:sz w:val="22"/>
              </w:rPr>
              <w:t>Architects, engineers, planning consultants</w:t>
            </w:r>
          </w:p>
        </w:tc>
      </w:tr>
      <w:tr>
        <w:tc>
          <w:tcPr>
            <w:tcW w:type="dxa" w:w="3120"/>
          </w:tcPr>
          <w:p>
            <w:pPr>
              <w:spacing w:line="276" w:lineRule="auto" w:after="0"/>
            </w:pPr>
            <w:r/>
            <w:r>
              <w:rPr>
                <w:rFonts w:ascii="Times New Roman" w:hAnsi="Times New Roman"/>
                <w:b w:val="0"/>
                <w:sz w:val="22"/>
              </w:rPr>
              <w:t>Digital and smart-technology infrastructure</w:t>
            </w:r>
          </w:p>
        </w:tc>
        <w:tc>
          <w:tcPr>
            <w:tcW w:type="dxa" w:w="3120"/>
          </w:tcPr>
          <w:p>
            <w:pPr>
              <w:spacing w:line="276" w:lineRule="auto" w:after="0"/>
            </w:pPr>
            <w:r/>
            <w:r>
              <w:rPr>
                <w:rFonts w:ascii="Times New Roman" w:hAnsi="Times New Roman"/>
                <w:b w:val="0"/>
                <w:sz w:val="22"/>
              </w:rPr>
              <w:t>8%</w:t>
            </w:r>
          </w:p>
        </w:tc>
        <w:tc>
          <w:tcPr>
            <w:tcW w:type="dxa" w:w="3120"/>
          </w:tcPr>
          <w:p>
            <w:pPr>
              <w:spacing w:line="276" w:lineRule="auto" w:after="0"/>
            </w:pPr>
            <w:r/>
            <w:r>
              <w:rPr>
                <w:rFonts w:ascii="Times New Roman" w:hAnsi="Times New Roman"/>
                <w:b w:val="0"/>
                <w:sz w:val="22"/>
              </w:rPr>
              <w:t>Passenger information, wayfinding, sensors</w:t>
            </w:r>
          </w:p>
        </w:tc>
      </w:tr>
      <w:tr>
        <w:tc>
          <w:tcPr>
            <w:tcW w:type="dxa" w:w="3120"/>
          </w:tcPr>
          <w:p>
            <w:pPr>
              <w:spacing w:line="276" w:lineRule="auto" w:after="0"/>
            </w:pPr>
            <w:r/>
            <w:r>
              <w:rPr>
                <w:rFonts w:ascii="Times New Roman" w:hAnsi="Times New Roman"/>
                <w:b w:val="0"/>
                <w:sz w:val="22"/>
              </w:rPr>
              <w:t>Project management and governance</w:t>
            </w:r>
          </w:p>
        </w:tc>
        <w:tc>
          <w:tcPr>
            <w:tcW w:type="dxa" w:w="3120"/>
          </w:tcPr>
          <w:p>
            <w:pPr>
              <w:spacing w:line="276" w:lineRule="auto" w:after="0"/>
            </w:pPr>
            <w:r/>
            <w:r>
              <w:rPr>
                <w:rFonts w:ascii="Times New Roman" w:hAnsi="Times New Roman"/>
                <w:b w:val="0"/>
                <w:sz w:val="22"/>
              </w:rPr>
              <w:t>5%</w:t>
            </w:r>
          </w:p>
        </w:tc>
        <w:tc>
          <w:tcPr>
            <w:tcW w:type="dxa" w:w="3120"/>
          </w:tcPr>
          <w:p>
            <w:pPr>
              <w:spacing w:line="276" w:lineRule="auto" w:after="0"/>
            </w:pPr>
            <w:r/>
            <w:r>
              <w:rPr>
                <w:rFonts w:ascii="Times New Roman" w:hAnsi="Times New Roman"/>
                <w:b w:val="0"/>
                <w:sz w:val="22"/>
              </w:rPr>
              <w:t>Project manager, planners, cost controllers</w:t>
            </w:r>
          </w:p>
        </w:tc>
      </w:tr>
      <w:tr>
        <w:tc>
          <w:tcPr>
            <w:tcW w:type="dxa" w:w="3120"/>
          </w:tcPr>
          <w:p>
            <w:pPr>
              <w:spacing w:line="276" w:lineRule="auto" w:after="0"/>
            </w:pPr>
            <w:r/>
            <w:r>
              <w:rPr>
                <w:rFonts w:ascii="Times New Roman" w:hAnsi="Times New Roman"/>
                <w:b w:val="0"/>
                <w:sz w:val="22"/>
              </w:rPr>
              <w:t>Contingency (management reserve)</w:t>
            </w:r>
          </w:p>
        </w:tc>
        <w:tc>
          <w:tcPr>
            <w:tcW w:type="dxa" w:w="3120"/>
          </w:tcPr>
          <w:p>
            <w:pPr>
              <w:spacing w:line="276" w:lineRule="auto" w:after="0"/>
            </w:pPr>
            <w:r/>
            <w:r>
              <w:rPr>
                <w:rFonts w:ascii="Times New Roman" w:hAnsi="Times New Roman"/>
                <w:b w:val="0"/>
                <w:sz w:val="22"/>
              </w:rPr>
              <w:t>10%</w:t>
            </w:r>
          </w:p>
        </w:tc>
        <w:tc>
          <w:tcPr>
            <w:tcW w:type="dxa" w:w="3120"/>
          </w:tcPr>
          <w:p>
            <w:pPr>
              <w:spacing w:line="276" w:lineRule="auto" w:after="0"/>
            </w:pPr>
            <w:r/>
            <w:r>
              <w:rPr>
                <w:rFonts w:ascii="Times New Roman" w:hAnsi="Times New Roman"/>
                <w:b w:val="0"/>
                <w:sz w:val="22"/>
              </w:rPr>
              <w:t>Held by sponsor, released only on approved change</w:t>
            </w:r>
          </w:p>
        </w:tc>
      </w:tr>
    </w:tbl>
    <w:p>
      <w:pPr>
        <w:pStyle w:val="Heading2"/>
      </w:pPr>
      <w:r>
        <w:rPr>
          <w:rFonts w:ascii="Times New Roman" w:hAnsi="Times New Roman"/>
        </w:rPr>
        <w:t>9. Risk Analysis</w:t>
      </w:r>
    </w:p>
    <w:p>
      <w:pPr>
        <w:jc w:val="both"/>
      </w:pPr>
      <w:r>
        <w:rPr>
          <w:rFonts w:ascii="Times New Roman" w:hAnsi="Times New Roman"/>
          <w:b w:val="0"/>
          <w:i w:val="0"/>
          <w:sz w:val="24"/>
        </w:rPr>
        <w:t>Risk management runs throughout the project lifecycle. The approach follows the ISO 31000 standard (International Organization for Standardization, 2018) and the PMBOK Guide (Project Management Institute, 2021). A structured approach to risk is particularly important given the well-established tendency for major infrastructure projects to experience significant cost and schedule overruns (Flyvbjerg, 2014). The risk register in Table 6 identifies the six most significant risks. Each risk is scored for probability and impact on a scale from 1 to 5. Ownership and mitigation actions are also listed, following APM (Association for Project Management, 2019) good practice.</w:t>
      </w:r>
    </w:p>
    <w:p>
      <w:pPr>
        <w:spacing w:before="160" w:after="80"/>
        <w:jc w:val="left"/>
      </w:pPr>
      <w:r>
        <w:rPr>
          <w:rFonts w:ascii="Times New Roman" w:hAnsi="Times New Roman"/>
          <w:b/>
          <w:sz w:val="22"/>
        </w:rPr>
        <w:t>Table 6. Risk register with probability, impact and mitigation.</w:t>
      </w:r>
    </w:p>
    <w:tbl>
      <w:tblPr>
        <w:tblStyle w:val="TableGrid"/>
        <w:tblW w:type="auto" w:w="0"/>
        <w:jc w:val="center"/>
        <w:tblLook w:firstColumn="1" w:firstRow="1" w:lastColumn="0" w:lastRow="0" w:noHBand="0" w:noVBand="1" w:val="04A0"/>
      </w:tblPr>
      <w:tblGrid>
        <w:gridCol w:w="1872"/>
        <w:gridCol w:w="1872"/>
        <w:gridCol w:w="1872"/>
        <w:gridCol w:w="1872"/>
        <w:gridCol w:w="1872"/>
      </w:tblGrid>
      <w:tr>
        <w:tc>
          <w:tcPr>
            <w:tcW w:type="dxa" w:w="1872"/>
          </w:tcPr>
          <w:p>
            <w:pPr>
              <w:spacing w:line="276" w:lineRule="auto" w:after="0"/>
            </w:pPr>
            <w:r/>
            <w:r>
              <w:rPr>
                <w:rFonts w:ascii="Times New Roman" w:hAnsi="Times New Roman"/>
                <w:b/>
                <w:sz w:val="22"/>
              </w:rPr>
              <w:t>Risk</w:t>
            </w:r>
          </w:p>
        </w:tc>
        <w:tc>
          <w:tcPr>
            <w:tcW w:type="dxa" w:w="1872"/>
          </w:tcPr>
          <w:p>
            <w:pPr>
              <w:spacing w:line="276" w:lineRule="auto" w:after="0"/>
            </w:pPr>
            <w:r/>
            <w:r>
              <w:rPr>
                <w:rFonts w:ascii="Times New Roman" w:hAnsi="Times New Roman"/>
                <w:b/>
                <w:sz w:val="22"/>
              </w:rPr>
              <w:t>P</w:t>
            </w:r>
          </w:p>
        </w:tc>
        <w:tc>
          <w:tcPr>
            <w:tcW w:type="dxa" w:w="1872"/>
          </w:tcPr>
          <w:p>
            <w:pPr>
              <w:spacing w:line="276" w:lineRule="auto" w:after="0"/>
            </w:pPr>
            <w:r/>
            <w:r>
              <w:rPr>
                <w:rFonts w:ascii="Times New Roman" w:hAnsi="Times New Roman"/>
                <w:b/>
                <w:sz w:val="22"/>
              </w:rPr>
              <w:t>I</w:t>
            </w:r>
          </w:p>
        </w:tc>
        <w:tc>
          <w:tcPr>
            <w:tcW w:type="dxa" w:w="1872"/>
          </w:tcPr>
          <w:p>
            <w:pPr>
              <w:spacing w:line="276" w:lineRule="auto" w:after="0"/>
            </w:pPr>
            <w:r/>
            <w:r>
              <w:rPr>
                <w:rFonts w:ascii="Times New Roman" w:hAnsi="Times New Roman"/>
                <w:b/>
                <w:sz w:val="22"/>
              </w:rPr>
              <w:t>Owner</w:t>
            </w:r>
          </w:p>
        </w:tc>
        <w:tc>
          <w:tcPr>
            <w:tcW w:type="dxa" w:w="1872"/>
          </w:tcPr>
          <w:p>
            <w:pPr>
              <w:spacing w:line="276" w:lineRule="auto" w:after="0"/>
            </w:pPr>
            <w:r/>
            <w:r>
              <w:rPr>
                <w:rFonts w:ascii="Times New Roman" w:hAnsi="Times New Roman"/>
                <w:b/>
                <w:sz w:val="22"/>
              </w:rPr>
              <w:t>Mitigation</w:t>
            </w:r>
          </w:p>
        </w:tc>
      </w:tr>
      <w:tr>
        <w:tc>
          <w:tcPr>
            <w:tcW w:type="dxa" w:w="1872"/>
          </w:tcPr>
          <w:p>
            <w:pPr>
              <w:spacing w:line="276" w:lineRule="auto" w:after="0"/>
            </w:pPr>
            <w:r/>
            <w:r>
              <w:rPr>
                <w:rFonts w:ascii="Times New Roman" w:hAnsi="Times New Roman"/>
                <w:b w:val="0"/>
                <w:sz w:val="22"/>
              </w:rPr>
              <w:t>Budget overrun</w:t>
            </w:r>
          </w:p>
        </w:tc>
        <w:tc>
          <w:tcPr>
            <w:tcW w:type="dxa" w:w="1872"/>
          </w:tcPr>
          <w:p>
            <w:pPr>
              <w:spacing w:line="276" w:lineRule="auto" w:after="0"/>
              <w:jc w:val="center"/>
            </w:pPr>
            <w:r/>
            <w:r>
              <w:rPr>
                <w:rFonts w:ascii="Times New Roman" w:hAnsi="Times New Roman"/>
                <w:b w:val="0"/>
                <w:sz w:val="22"/>
              </w:rPr>
              <w:t>3</w:t>
            </w:r>
          </w:p>
        </w:tc>
        <w:tc>
          <w:tcPr>
            <w:tcW w:type="dxa" w:w="1872"/>
          </w:tcPr>
          <w:p>
            <w:pPr>
              <w:spacing w:line="276" w:lineRule="auto" w:after="0"/>
              <w:jc w:val="center"/>
            </w:pPr>
            <w:r/>
            <w:r>
              <w:rPr>
                <w:rFonts w:ascii="Times New Roman" w:hAnsi="Times New Roman"/>
                <w:b w:val="0"/>
                <w:sz w:val="22"/>
              </w:rPr>
              <w:t>5</w:t>
            </w:r>
          </w:p>
        </w:tc>
        <w:tc>
          <w:tcPr>
            <w:tcW w:type="dxa" w:w="1872"/>
          </w:tcPr>
          <w:p>
            <w:pPr>
              <w:spacing w:line="276" w:lineRule="auto" w:after="0"/>
            </w:pPr>
            <w:r/>
            <w:r>
              <w:rPr>
                <w:rFonts w:ascii="Times New Roman" w:hAnsi="Times New Roman"/>
                <w:b w:val="0"/>
                <w:sz w:val="22"/>
              </w:rPr>
              <w:t>Project sponsor</w:t>
            </w:r>
          </w:p>
        </w:tc>
        <w:tc>
          <w:tcPr>
            <w:tcW w:type="dxa" w:w="1872"/>
          </w:tcPr>
          <w:p>
            <w:pPr>
              <w:spacing w:line="276" w:lineRule="auto" w:after="0"/>
            </w:pPr>
            <w:r/>
            <w:r>
              <w:rPr>
                <w:rFonts w:ascii="Times New Roman" w:hAnsi="Times New Roman"/>
                <w:b w:val="0"/>
                <w:sz w:val="22"/>
              </w:rPr>
              <w:t>Monthly earned-value analysis, 10% management reserve, and independent cost audit</w:t>
            </w:r>
          </w:p>
        </w:tc>
      </w:tr>
      <w:tr>
        <w:tc>
          <w:tcPr>
            <w:tcW w:type="dxa" w:w="1872"/>
          </w:tcPr>
          <w:p>
            <w:pPr>
              <w:spacing w:line="276" w:lineRule="auto" w:after="0"/>
            </w:pPr>
            <w:r/>
            <w:r>
              <w:rPr>
                <w:rFonts w:ascii="Times New Roman" w:hAnsi="Times New Roman"/>
                <w:b w:val="0"/>
                <w:sz w:val="22"/>
              </w:rPr>
              <w:t>Planning consent delay</w:t>
            </w:r>
          </w:p>
        </w:tc>
        <w:tc>
          <w:tcPr>
            <w:tcW w:type="dxa" w:w="1872"/>
          </w:tcPr>
          <w:p>
            <w:pPr>
              <w:spacing w:line="276" w:lineRule="auto" w:after="0"/>
              <w:jc w:val="center"/>
            </w:pPr>
            <w:r/>
            <w:r>
              <w:rPr>
                <w:rFonts w:ascii="Times New Roman" w:hAnsi="Times New Roman"/>
                <w:b w:val="0"/>
                <w:sz w:val="22"/>
              </w:rPr>
              <w:t>3</w:t>
            </w:r>
          </w:p>
        </w:tc>
        <w:tc>
          <w:tcPr>
            <w:tcW w:type="dxa" w:w="1872"/>
          </w:tcPr>
          <w:p>
            <w:pPr>
              <w:spacing w:line="276" w:lineRule="auto" w:after="0"/>
              <w:jc w:val="center"/>
            </w:pPr>
            <w:r/>
            <w:r>
              <w:rPr>
                <w:rFonts w:ascii="Times New Roman" w:hAnsi="Times New Roman"/>
                <w:b w:val="0"/>
                <w:sz w:val="22"/>
              </w:rPr>
              <w:t>4</w:t>
            </w:r>
          </w:p>
        </w:tc>
        <w:tc>
          <w:tcPr>
            <w:tcW w:type="dxa" w:w="1872"/>
          </w:tcPr>
          <w:p>
            <w:pPr>
              <w:spacing w:line="276" w:lineRule="auto" w:after="0"/>
            </w:pPr>
            <w:r/>
            <w:r>
              <w:rPr>
                <w:rFonts w:ascii="Times New Roman" w:hAnsi="Times New Roman"/>
                <w:b w:val="0"/>
                <w:sz w:val="22"/>
              </w:rPr>
              <w:t>Design lead</w:t>
            </w:r>
          </w:p>
        </w:tc>
        <w:tc>
          <w:tcPr>
            <w:tcW w:type="dxa" w:w="1872"/>
          </w:tcPr>
          <w:p>
            <w:pPr>
              <w:spacing w:line="276" w:lineRule="auto" w:after="0"/>
            </w:pPr>
            <w:r/>
            <w:r>
              <w:rPr>
                <w:rFonts w:ascii="Times New Roman" w:hAnsi="Times New Roman"/>
                <w:b w:val="0"/>
                <w:sz w:val="22"/>
              </w:rPr>
              <w:t>Early pre-application engagement, and alternative massing options prepared</w:t>
            </w:r>
          </w:p>
        </w:tc>
      </w:tr>
      <w:tr>
        <w:tc>
          <w:tcPr>
            <w:tcW w:type="dxa" w:w="1872"/>
          </w:tcPr>
          <w:p>
            <w:pPr>
              <w:spacing w:line="276" w:lineRule="auto" w:after="0"/>
            </w:pPr>
            <w:r/>
            <w:r>
              <w:rPr>
                <w:rFonts w:ascii="Times New Roman" w:hAnsi="Times New Roman"/>
                <w:b w:val="0"/>
                <w:sz w:val="22"/>
              </w:rPr>
              <w:t>Supply-chain disruption for PV modules</w:t>
            </w:r>
          </w:p>
        </w:tc>
        <w:tc>
          <w:tcPr>
            <w:tcW w:type="dxa" w:w="1872"/>
          </w:tcPr>
          <w:p>
            <w:pPr>
              <w:spacing w:line="276" w:lineRule="auto" w:after="0"/>
              <w:jc w:val="center"/>
            </w:pPr>
            <w:r/>
            <w:r>
              <w:rPr>
                <w:rFonts w:ascii="Times New Roman" w:hAnsi="Times New Roman"/>
                <w:b w:val="0"/>
                <w:sz w:val="22"/>
              </w:rPr>
              <w:t>3</w:t>
            </w:r>
          </w:p>
        </w:tc>
        <w:tc>
          <w:tcPr>
            <w:tcW w:type="dxa" w:w="1872"/>
          </w:tcPr>
          <w:p>
            <w:pPr>
              <w:spacing w:line="276" w:lineRule="auto" w:after="0"/>
              <w:jc w:val="center"/>
            </w:pPr>
            <w:r/>
            <w:r>
              <w:rPr>
                <w:rFonts w:ascii="Times New Roman" w:hAnsi="Times New Roman"/>
                <w:b w:val="0"/>
                <w:sz w:val="22"/>
              </w:rPr>
              <w:t>4</w:t>
            </w:r>
          </w:p>
        </w:tc>
        <w:tc>
          <w:tcPr>
            <w:tcW w:type="dxa" w:w="1872"/>
          </w:tcPr>
          <w:p>
            <w:pPr>
              <w:spacing w:line="276" w:lineRule="auto" w:after="0"/>
            </w:pPr>
            <w:r/>
            <w:r>
              <w:rPr>
                <w:rFonts w:ascii="Times New Roman" w:hAnsi="Times New Roman"/>
                <w:b w:val="0"/>
                <w:sz w:val="22"/>
              </w:rPr>
              <w:t>Procurement lead</w:t>
            </w:r>
          </w:p>
        </w:tc>
        <w:tc>
          <w:tcPr>
            <w:tcW w:type="dxa" w:w="1872"/>
          </w:tcPr>
          <w:p>
            <w:pPr>
              <w:spacing w:line="276" w:lineRule="auto" w:after="0"/>
            </w:pPr>
            <w:r/>
            <w:r>
              <w:rPr>
                <w:rFonts w:ascii="Times New Roman" w:hAnsi="Times New Roman"/>
                <w:b w:val="0"/>
                <w:sz w:val="22"/>
              </w:rPr>
              <w:t>Dual-source strategy, and long-lead orders placed by Month 6</w:t>
            </w:r>
          </w:p>
        </w:tc>
      </w:tr>
      <w:tr>
        <w:tc>
          <w:tcPr>
            <w:tcW w:type="dxa" w:w="1872"/>
          </w:tcPr>
          <w:p>
            <w:pPr>
              <w:spacing w:line="276" w:lineRule="auto" w:after="0"/>
            </w:pPr>
            <w:r/>
            <w:r>
              <w:rPr>
                <w:rFonts w:ascii="Times New Roman" w:hAnsi="Times New Roman"/>
                <w:b w:val="0"/>
                <w:sz w:val="22"/>
              </w:rPr>
              <w:t>Construction delay from adverse weather</w:t>
            </w:r>
          </w:p>
        </w:tc>
        <w:tc>
          <w:tcPr>
            <w:tcW w:type="dxa" w:w="1872"/>
          </w:tcPr>
          <w:p>
            <w:pPr>
              <w:spacing w:line="276" w:lineRule="auto" w:after="0"/>
              <w:jc w:val="center"/>
            </w:pPr>
            <w:r/>
            <w:r>
              <w:rPr>
                <w:rFonts w:ascii="Times New Roman" w:hAnsi="Times New Roman"/>
                <w:b w:val="0"/>
                <w:sz w:val="22"/>
              </w:rPr>
              <w:t>2</w:t>
            </w:r>
          </w:p>
        </w:tc>
        <w:tc>
          <w:tcPr>
            <w:tcW w:type="dxa" w:w="1872"/>
          </w:tcPr>
          <w:p>
            <w:pPr>
              <w:spacing w:line="276" w:lineRule="auto" w:after="0"/>
              <w:jc w:val="center"/>
            </w:pPr>
            <w:r/>
            <w:r>
              <w:rPr>
                <w:rFonts w:ascii="Times New Roman" w:hAnsi="Times New Roman"/>
                <w:b w:val="0"/>
                <w:sz w:val="22"/>
              </w:rPr>
              <w:t>3</w:t>
            </w:r>
          </w:p>
        </w:tc>
        <w:tc>
          <w:tcPr>
            <w:tcW w:type="dxa" w:w="1872"/>
          </w:tcPr>
          <w:p>
            <w:pPr>
              <w:spacing w:line="276" w:lineRule="auto" w:after="0"/>
            </w:pPr>
            <w:r/>
            <w:r>
              <w:rPr>
                <w:rFonts w:ascii="Times New Roman" w:hAnsi="Times New Roman"/>
                <w:b w:val="0"/>
                <w:sz w:val="22"/>
              </w:rPr>
              <w:t>Site manager</w:t>
            </w:r>
          </w:p>
        </w:tc>
        <w:tc>
          <w:tcPr>
            <w:tcW w:type="dxa" w:w="1872"/>
          </w:tcPr>
          <w:p>
            <w:pPr>
              <w:spacing w:line="276" w:lineRule="auto" w:after="0"/>
            </w:pPr>
            <w:r/>
            <w:r>
              <w:rPr>
                <w:rFonts w:ascii="Times New Roman" w:hAnsi="Times New Roman"/>
                <w:b w:val="0"/>
                <w:sz w:val="22"/>
              </w:rPr>
              <w:t>Weather contingency in programme, enclosed works prioritised for winter months</w:t>
            </w:r>
          </w:p>
        </w:tc>
      </w:tr>
      <w:tr>
        <w:tc>
          <w:tcPr>
            <w:tcW w:type="dxa" w:w="1872"/>
          </w:tcPr>
          <w:p>
            <w:pPr>
              <w:spacing w:line="276" w:lineRule="auto" w:after="0"/>
            </w:pPr>
            <w:r/>
            <w:r>
              <w:rPr>
                <w:rFonts w:ascii="Times New Roman" w:hAnsi="Times New Roman"/>
                <w:b w:val="0"/>
                <w:sz w:val="22"/>
              </w:rPr>
              <w:t>Stakeholder resistance to disruption</w:t>
            </w:r>
          </w:p>
        </w:tc>
        <w:tc>
          <w:tcPr>
            <w:tcW w:type="dxa" w:w="1872"/>
          </w:tcPr>
          <w:p>
            <w:pPr>
              <w:spacing w:line="276" w:lineRule="auto" w:after="0"/>
              <w:jc w:val="center"/>
            </w:pPr>
            <w:r/>
            <w:r>
              <w:rPr>
                <w:rFonts w:ascii="Times New Roman" w:hAnsi="Times New Roman"/>
                <w:b w:val="0"/>
                <w:sz w:val="22"/>
              </w:rPr>
              <w:t>3</w:t>
            </w:r>
          </w:p>
        </w:tc>
        <w:tc>
          <w:tcPr>
            <w:tcW w:type="dxa" w:w="1872"/>
          </w:tcPr>
          <w:p>
            <w:pPr>
              <w:spacing w:line="276" w:lineRule="auto" w:after="0"/>
              <w:jc w:val="center"/>
            </w:pPr>
            <w:r/>
            <w:r>
              <w:rPr>
                <w:rFonts w:ascii="Times New Roman" w:hAnsi="Times New Roman"/>
                <w:b w:val="0"/>
                <w:sz w:val="22"/>
              </w:rPr>
              <w:t>3</w:t>
            </w:r>
          </w:p>
        </w:tc>
        <w:tc>
          <w:tcPr>
            <w:tcW w:type="dxa" w:w="1872"/>
          </w:tcPr>
          <w:p>
            <w:pPr>
              <w:spacing w:line="276" w:lineRule="auto" w:after="0"/>
            </w:pPr>
            <w:r/>
            <w:r>
              <w:rPr>
                <w:rFonts w:ascii="Times New Roman" w:hAnsi="Times New Roman"/>
                <w:b w:val="0"/>
                <w:sz w:val="22"/>
              </w:rPr>
              <w:t>Communications lead</w:t>
            </w:r>
          </w:p>
        </w:tc>
        <w:tc>
          <w:tcPr>
            <w:tcW w:type="dxa" w:w="1872"/>
          </w:tcPr>
          <w:p>
            <w:pPr>
              <w:spacing w:line="276" w:lineRule="auto" w:after="0"/>
            </w:pPr>
            <w:r/>
            <w:r>
              <w:rPr>
                <w:rFonts w:ascii="Times New Roman" w:hAnsi="Times New Roman"/>
                <w:b w:val="0"/>
                <w:sz w:val="22"/>
              </w:rPr>
              <w:t>Structured consultation, phased closures, clear digital wayfinding</w:t>
            </w:r>
          </w:p>
        </w:tc>
      </w:tr>
      <w:tr>
        <w:tc>
          <w:tcPr>
            <w:tcW w:type="dxa" w:w="1872"/>
          </w:tcPr>
          <w:p>
            <w:pPr>
              <w:spacing w:line="276" w:lineRule="auto" w:after="0"/>
            </w:pPr>
            <w:r/>
            <w:r>
              <w:rPr>
                <w:rFonts w:ascii="Times New Roman" w:hAnsi="Times New Roman"/>
                <w:b w:val="0"/>
                <w:sz w:val="22"/>
              </w:rPr>
              <w:t>Non-compliance with accessibility standards</w:t>
            </w:r>
          </w:p>
        </w:tc>
        <w:tc>
          <w:tcPr>
            <w:tcW w:type="dxa" w:w="1872"/>
          </w:tcPr>
          <w:p>
            <w:pPr>
              <w:spacing w:line="276" w:lineRule="auto" w:after="0"/>
              <w:jc w:val="center"/>
            </w:pPr>
            <w:r/>
            <w:r>
              <w:rPr>
                <w:rFonts w:ascii="Times New Roman" w:hAnsi="Times New Roman"/>
                <w:b w:val="0"/>
                <w:sz w:val="22"/>
              </w:rPr>
              <w:t>2</w:t>
            </w:r>
          </w:p>
        </w:tc>
        <w:tc>
          <w:tcPr>
            <w:tcW w:type="dxa" w:w="1872"/>
          </w:tcPr>
          <w:p>
            <w:pPr>
              <w:spacing w:line="276" w:lineRule="auto" w:after="0"/>
              <w:jc w:val="center"/>
            </w:pPr>
            <w:r/>
            <w:r>
              <w:rPr>
                <w:rFonts w:ascii="Times New Roman" w:hAnsi="Times New Roman"/>
                <w:b w:val="0"/>
                <w:sz w:val="22"/>
              </w:rPr>
              <w:t>5</w:t>
            </w:r>
          </w:p>
        </w:tc>
        <w:tc>
          <w:tcPr>
            <w:tcW w:type="dxa" w:w="1872"/>
          </w:tcPr>
          <w:p>
            <w:pPr>
              <w:spacing w:line="276" w:lineRule="auto" w:after="0"/>
            </w:pPr>
            <w:r/>
            <w:r>
              <w:rPr>
                <w:rFonts w:ascii="Times New Roman" w:hAnsi="Times New Roman"/>
                <w:b w:val="0"/>
                <w:sz w:val="22"/>
              </w:rPr>
              <w:t>Design lead</w:t>
            </w:r>
          </w:p>
        </w:tc>
        <w:tc>
          <w:tcPr>
            <w:tcW w:type="dxa" w:w="1872"/>
          </w:tcPr>
          <w:p>
            <w:pPr>
              <w:spacing w:line="276" w:lineRule="auto" w:after="0"/>
            </w:pPr>
            <w:r/>
            <w:r>
              <w:rPr>
                <w:rFonts w:ascii="Times New Roman" w:hAnsi="Times New Roman"/>
                <w:b w:val="0"/>
                <w:sz w:val="22"/>
              </w:rPr>
              <w:t>Independent accessibility audit at RIBA Stage 4 and pre-handover</w:t>
            </w:r>
          </w:p>
        </w:tc>
      </w:tr>
    </w:tbl>
    <w:p>
      <w:pPr>
        <w:jc w:val="both"/>
      </w:pPr>
      <w:r>
        <w:rPr>
          <w:rFonts w:ascii="Times New Roman" w:hAnsi="Times New Roman"/>
          <w:b w:val="0"/>
          <w:i w:val="0"/>
          <w:sz w:val="24"/>
        </w:rPr>
        <w:t>The most severe residual risks are those where high probability meets high impact. In the current register those are budget overrun and consent delay. Both are actively managed through governance controls and technical mitigation. The steering group reviews all risks monthly and the sponsor receives a traffic-light dashboard, following APM (Association for Project Management, 2019) good practice.</w:t>
      </w:r>
    </w:p>
    <w:p>
      <w:pPr>
        <w:pStyle w:val="Heading2"/>
      </w:pPr>
      <w:r>
        <w:rPr>
          <w:rFonts w:ascii="Times New Roman" w:hAnsi="Times New Roman"/>
        </w:rPr>
        <w:t>10. Conclusion</w:t>
      </w:r>
    </w:p>
    <w:p>
      <w:pPr>
        <w:jc w:val="both"/>
      </w:pPr>
      <w:r>
        <w:rPr>
          <w:rFonts w:ascii="Times New Roman" w:hAnsi="Times New Roman"/>
          <w:b w:val="0"/>
          <w:i w:val="0"/>
          <w:sz w:val="24"/>
        </w:rPr>
        <w:t>The sustainable redesign of the central transport hub is a strategic investment in the resilience of the city. The project supports the local economy, improves environmental performance and raises the quality of life of citizens (Bulkeley, 2013; UK Green Building Council, 2021). This plan shows how established project management tools such as the WBS, quad chart, Gantt chart, Power/Interest analysis, resource allocation matrix and risk register turn a complex urban regeneration challenge into a coherent and controllable programme (Kerzner, 2022; Project Management Institute, 2021).</w:t>
      </w:r>
    </w:p>
    <w:p>
      <w:pPr>
        <w:jc w:val="both"/>
      </w:pPr>
      <w:r>
        <w:rPr>
          <w:rFonts w:ascii="Times New Roman" w:hAnsi="Times New Roman"/>
          <w:b w:val="0"/>
          <w:i w:val="0"/>
          <w:sz w:val="24"/>
        </w:rPr>
        <w:t>The plan also addresses the tutor and peer feedback received on the Part A poster. The objectives are sharpened using the SMART framework (Doran, 1981). Stakeholder analysis is deepened through the Power/Interest Matrix (Mendelow, 1991). Risk analysis is strengthened with formal probability and impact scoring (International Organization for Standardization, 2018). Delivered as specified, the 18-month project of £15 million restores transport capacity, delivers measurable carbon reduction, meets accessibility requirements and provides a modern digital passenger experience. The redesigned hub supports the UK Net Zero 2050 targets (HM Government, 2021; IPCC, 2022) and stands as a replicable model for sustainable urban mobility (Banister, 2008).</w:t>
      </w:r>
    </w:p>
    <w:p>
      <w:pPr>
        <w:jc w:val="right"/>
      </w:pPr>
      <w:r>
        <w:rPr>
          <w:rFonts w:ascii="Times New Roman" w:hAnsi="Times New Roman"/>
          <w:b w:val="0"/>
          <w:i/>
          <w:sz w:val="20"/>
        </w:rPr>
        <w:t>Word count: 2,510 words (within 2,500 +/- 10%).</w:t>
      </w:r>
    </w:p>
    <w:p>
      <w:r>
        <w:br w:type="page"/>
      </w:r>
    </w:p>
    <w:p>
      <w:pPr>
        <w:pStyle w:val="Heading1"/>
      </w:pPr>
      <w:r>
        <w:rPr>
          <w:rFonts w:ascii="Times New Roman" w:hAnsi="Times New Roman"/>
        </w:rPr>
        <w:t>References</w:t>
      </w:r>
    </w:p>
    <w:p>
      <w:pPr>
        <w:spacing w:after="120"/>
        <w:ind w:left="720" w:hanging="720"/>
        <w:jc w:val="left"/>
      </w:pPr>
      <w:r>
        <w:rPr>
          <w:rFonts w:ascii="Times New Roman" w:hAnsi="Times New Roman"/>
          <w:i w:val="0"/>
          <w:sz w:val="24"/>
        </w:rPr>
        <w:t xml:space="preserve">Association for Project Management (2019) </w:t>
      </w:r>
      <w:r>
        <w:rPr>
          <w:rFonts w:ascii="Times New Roman" w:hAnsi="Times New Roman"/>
          <w:i/>
          <w:sz w:val="24"/>
        </w:rPr>
        <w:t>APM Body of Knowledge</w:t>
      </w:r>
      <w:r>
        <w:rPr>
          <w:rFonts w:ascii="Times New Roman" w:hAnsi="Times New Roman"/>
          <w:i w:val="0"/>
          <w:sz w:val="24"/>
        </w:rPr>
        <w:t>. 7th edn. Princes Risborough: Association for Project Management.</w:t>
      </w:r>
    </w:p>
    <w:p>
      <w:pPr>
        <w:spacing w:after="120"/>
        <w:ind w:left="720" w:hanging="720"/>
        <w:jc w:val="left"/>
      </w:pPr>
      <w:r>
        <w:rPr>
          <w:rFonts w:ascii="Times New Roman" w:hAnsi="Times New Roman"/>
          <w:i w:val="0"/>
          <w:sz w:val="24"/>
        </w:rPr>
        <w:t xml:space="preserve">Banister, D. (2008) 'The sustainable mobility paradigm', </w:t>
      </w:r>
      <w:r>
        <w:rPr>
          <w:rFonts w:ascii="Times New Roman" w:hAnsi="Times New Roman"/>
          <w:i/>
          <w:sz w:val="24"/>
        </w:rPr>
        <w:t>Transport Policy</w:t>
      </w:r>
      <w:r>
        <w:rPr>
          <w:rFonts w:ascii="Times New Roman" w:hAnsi="Times New Roman"/>
          <w:i w:val="0"/>
          <w:sz w:val="24"/>
        </w:rPr>
        <w:t>, 15(2), pp. 73–80.</w:t>
      </w:r>
    </w:p>
    <w:p>
      <w:pPr>
        <w:spacing w:after="120"/>
        <w:ind w:left="720" w:hanging="720"/>
        <w:jc w:val="left"/>
      </w:pPr>
      <w:r>
        <w:rPr>
          <w:rFonts w:ascii="Times New Roman" w:hAnsi="Times New Roman"/>
          <w:i w:val="0"/>
          <w:sz w:val="24"/>
        </w:rPr>
        <w:t xml:space="preserve">Berkun, S. (2008) </w:t>
      </w:r>
      <w:r>
        <w:rPr>
          <w:rFonts w:ascii="Times New Roman" w:hAnsi="Times New Roman"/>
          <w:i/>
          <w:sz w:val="24"/>
        </w:rPr>
        <w:t>Making Things Happen: Mastering Project Management</w:t>
      </w:r>
      <w:r>
        <w:rPr>
          <w:rFonts w:ascii="Times New Roman" w:hAnsi="Times New Roman"/>
          <w:i w:val="0"/>
          <w:sz w:val="24"/>
        </w:rPr>
        <w:t>. Sebastopol, CA: O’Reilly Media.</w:t>
      </w:r>
    </w:p>
    <w:p>
      <w:pPr>
        <w:spacing w:after="120"/>
        <w:ind w:left="720" w:hanging="720"/>
        <w:jc w:val="left"/>
      </w:pPr>
      <w:r>
        <w:rPr>
          <w:rFonts w:ascii="Times New Roman" w:hAnsi="Times New Roman"/>
          <w:i w:val="0"/>
          <w:sz w:val="24"/>
        </w:rPr>
        <w:t xml:space="preserve">Boud, D., Keogh, R. and Walker, D. (2013) </w:t>
      </w:r>
      <w:r>
        <w:rPr>
          <w:rFonts w:ascii="Times New Roman" w:hAnsi="Times New Roman"/>
          <w:i/>
          <w:sz w:val="24"/>
        </w:rPr>
        <w:t>Reflection: Turning Experience into Learning</w:t>
      </w:r>
      <w:r>
        <w:rPr>
          <w:rFonts w:ascii="Times New Roman" w:hAnsi="Times New Roman"/>
          <w:i w:val="0"/>
          <w:sz w:val="24"/>
        </w:rPr>
        <w:t>. Abingdon: Routledge.</w:t>
      </w:r>
    </w:p>
    <w:p>
      <w:pPr>
        <w:spacing w:after="120"/>
        <w:ind w:left="720" w:hanging="720"/>
        <w:jc w:val="left"/>
      </w:pPr>
      <w:r>
        <w:rPr>
          <w:rFonts w:ascii="Times New Roman" w:hAnsi="Times New Roman"/>
          <w:i w:val="0"/>
          <w:sz w:val="24"/>
        </w:rPr>
        <w:t xml:space="preserve">Bulkeley, H. (2013) </w:t>
      </w:r>
      <w:r>
        <w:rPr>
          <w:rFonts w:ascii="Times New Roman" w:hAnsi="Times New Roman"/>
          <w:i/>
          <w:sz w:val="24"/>
        </w:rPr>
        <w:t>Cities and Climate Change</w:t>
      </w:r>
      <w:r>
        <w:rPr>
          <w:rFonts w:ascii="Times New Roman" w:hAnsi="Times New Roman"/>
          <w:i w:val="0"/>
          <w:sz w:val="24"/>
        </w:rPr>
        <w:t>. Abingdon: Routledge.</w:t>
      </w:r>
    </w:p>
    <w:p>
      <w:pPr>
        <w:spacing w:after="120"/>
        <w:ind w:left="720" w:hanging="720"/>
        <w:jc w:val="left"/>
      </w:pPr>
      <w:r>
        <w:rPr>
          <w:rFonts w:ascii="Times New Roman" w:hAnsi="Times New Roman"/>
          <w:i w:val="0"/>
          <w:sz w:val="24"/>
        </w:rPr>
        <w:t xml:space="preserve">Department for Transport (2024) </w:t>
      </w:r>
      <w:r>
        <w:rPr>
          <w:rFonts w:ascii="Times New Roman" w:hAnsi="Times New Roman"/>
          <w:i/>
          <w:sz w:val="24"/>
        </w:rPr>
        <w:t>Transport and environment statistics: 2024</w:t>
      </w:r>
      <w:r>
        <w:rPr>
          <w:rFonts w:ascii="Times New Roman" w:hAnsi="Times New Roman"/>
          <w:i w:val="0"/>
          <w:sz w:val="24"/>
        </w:rPr>
        <w:t>. London: Department for Transport. Available at: https://www.gov.uk/government/statistics/transport-and-environment-statistics-2024 (Accessed: 19 July 2026).</w:t>
      </w:r>
    </w:p>
    <w:p>
      <w:pPr>
        <w:spacing w:after="120"/>
        <w:ind w:left="720" w:hanging="720"/>
        <w:jc w:val="left"/>
      </w:pPr>
      <w:r>
        <w:rPr>
          <w:rFonts w:ascii="Times New Roman" w:hAnsi="Times New Roman"/>
          <w:i w:val="0"/>
          <w:sz w:val="24"/>
        </w:rPr>
        <w:t xml:space="preserve">Doran, G.T. (1981) 'There’s a S.M.A.R.T. way to write management’s goals and objectives', </w:t>
      </w:r>
      <w:r>
        <w:rPr>
          <w:rFonts w:ascii="Times New Roman" w:hAnsi="Times New Roman"/>
          <w:i/>
          <w:sz w:val="24"/>
        </w:rPr>
        <w:t>Management Review</w:t>
      </w:r>
      <w:r>
        <w:rPr>
          <w:rFonts w:ascii="Times New Roman" w:hAnsi="Times New Roman"/>
          <w:i w:val="0"/>
          <w:sz w:val="24"/>
        </w:rPr>
        <w:t>, 70(11), pp. 35–36.</w:t>
      </w:r>
    </w:p>
    <w:p>
      <w:pPr>
        <w:spacing w:after="120"/>
        <w:ind w:left="720" w:hanging="720"/>
        <w:jc w:val="left"/>
      </w:pPr>
      <w:r>
        <w:rPr>
          <w:rFonts w:ascii="Times New Roman" w:hAnsi="Times New Roman"/>
          <w:i w:val="0"/>
          <w:sz w:val="24"/>
        </w:rPr>
        <w:t xml:space="preserve">Flyvbjerg, B. (2014) 'What you should know about megaprojects and why: an overview', </w:t>
      </w:r>
      <w:r>
        <w:rPr>
          <w:rFonts w:ascii="Times New Roman" w:hAnsi="Times New Roman"/>
          <w:i/>
          <w:sz w:val="24"/>
        </w:rPr>
        <w:t>Project Management Journal</w:t>
      </w:r>
      <w:r>
        <w:rPr>
          <w:rFonts w:ascii="Times New Roman" w:hAnsi="Times New Roman"/>
          <w:i w:val="0"/>
          <w:sz w:val="24"/>
        </w:rPr>
        <w:t>, 45(2), pp. 6–19.</w:t>
      </w:r>
    </w:p>
    <w:p>
      <w:pPr>
        <w:spacing w:after="120"/>
        <w:ind w:left="720" w:hanging="720"/>
        <w:jc w:val="left"/>
      </w:pPr>
      <w:r>
        <w:rPr>
          <w:rFonts w:ascii="Times New Roman" w:hAnsi="Times New Roman"/>
          <w:i w:val="0"/>
          <w:sz w:val="24"/>
        </w:rPr>
        <w:t xml:space="preserve">Freeman, R.E. (2010) </w:t>
      </w:r>
      <w:r>
        <w:rPr>
          <w:rFonts w:ascii="Times New Roman" w:hAnsi="Times New Roman"/>
          <w:i/>
          <w:sz w:val="24"/>
        </w:rPr>
        <w:t>Strategic Management: A Stakeholder Approach</w:t>
      </w:r>
      <w:r>
        <w:rPr>
          <w:rFonts w:ascii="Times New Roman" w:hAnsi="Times New Roman"/>
          <w:i w:val="0"/>
          <w:sz w:val="24"/>
        </w:rPr>
        <w:t>. Cambridge: Cambridge University Press.</w:t>
      </w:r>
    </w:p>
    <w:p>
      <w:pPr>
        <w:spacing w:after="120"/>
        <w:ind w:left="720" w:hanging="720"/>
        <w:jc w:val="left"/>
      </w:pPr>
      <w:r>
        <w:rPr>
          <w:rFonts w:ascii="Times New Roman" w:hAnsi="Times New Roman"/>
          <w:i w:val="0"/>
          <w:sz w:val="24"/>
        </w:rPr>
        <w:t xml:space="preserve">HM Government (2021) </w:t>
      </w:r>
      <w:r>
        <w:rPr>
          <w:rFonts w:ascii="Times New Roman" w:hAnsi="Times New Roman"/>
          <w:i/>
          <w:sz w:val="24"/>
        </w:rPr>
        <w:t>Net Zero Strategy: Build Back Greener</w:t>
      </w:r>
      <w:r>
        <w:rPr>
          <w:rFonts w:ascii="Times New Roman" w:hAnsi="Times New Roman"/>
          <w:i w:val="0"/>
          <w:sz w:val="24"/>
        </w:rPr>
        <w:t>. London: HMSO. Available at: https://www.gov.uk/government/publications/net-zero-strategy (Accessed: 19 July 2026).</w:t>
      </w:r>
    </w:p>
    <w:p>
      <w:pPr>
        <w:spacing w:after="120"/>
        <w:ind w:left="720" w:hanging="720"/>
        <w:jc w:val="left"/>
      </w:pPr>
      <w:r>
        <w:rPr>
          <w:rFonts w:ascii="Times New Roman" w:hAnsi="Times New Roman"/>
          <w:i w:val="0"/>
          <w:sz w:val="24"/>
        </w:rPr>
        <w:t xml:space="preserve">International Organization for Standardization (2018) </w:t>
      </w:r>
      <w:r>
        <w:rPr>
          <w:rFonts w:ascii="Times New Roman" w:hAnsi="Times New Roman"/>
          <w:i/>
          <w:sz w:val="24"/>
        </w:rPr>
        <w:t>ISO 31000:2018 Risk management. Guidelines</w:t>
      </w:r>
      <w:r>
        <w:rPr>
          <w:rFonts w:ascii="Times New Roman" w:hAnsi="Times New Roman"/>
          <w:i w:val="0"/>
          <w:sz w:val="24"/>
        </w:rPr>
        <w:t>. Geneva: ISO.</w:t>
      </w:r>
    </w:p>
    <w:p>
      <w:pPr>
        <w:spacing w:after="120"/>
        <w:ind w:left="720" w:hanging="720"/>
        <w:jc w:val="left"/>
      </w:pPr>
      <w:r>
        <w:rPr>
          <w:rFonts w:ascii="Times New Roman" w:hAnsi="Times New Roman"/>
          <w:i w:val="0"/>
          <w:sz w:val="24"/>
        </w:rPr>
        <w:t xml:space="preserve">IPCC (2022) </w:t>
      </w:r>
      <w:r>
        <w:rPr>
          <w:rFonts w:ascii="Times New Roman" w:hAnsi="Times New Roman"/>
          <w:i/>
          <w:sz w:val="24"/>
        </w:rPr>
        <w:t>Climate Change 2022: Mitigation of Climate Change. Contribution of Working Group III to the Sixth Assessment Report of the Intergovernmental Panel on Climate Change</w:t>
      </w:r>
      <w:r>
        <w:rPr>
          <w:rFonts w:ascii="Times New Roman" w:hAnsi="Times New Roman"/>
          <w:i w:val="0"/>
          <w:sz w:val="24"/>
        </w:rPr>
        <w:t>. Cambridge: Cambridge University Press.</w:t>
      </w:r>
    </w:p>
    <w:p>
      <w:pPr>
        <w:spacing w:after="120"/>
        <w:ind w:left="720" w:hanging="720"/>
        <w:jc w:val="left"/>
      </w:pPr>
      <w:r>
        <w:rPr>
          <w:rFonts w:ascii="Times New Roman" w:hAnsi="Times New Roman"/>
          <w:i w:val="0"/>
          <w:sz w:val="24"/>
        </w:rPr>
        <w:t xml:space="preserve">Kerzner, H. (2022) </w:t>
      </w:r>
      <w:r>
        <w:rPr>
          <w:rFonts w:ascii="Times New Roman" w:hAnsi="Times New Roman"/>
          <w:i/>
          <w:sz w:val="24"/>
        </w:rPr>
        <w:t>Project Management: A Systems Approach to Planning, Scheduling, and Controlling</w:t>
      </w:r>
      <w:r>
        <w:rPr>
          <w:rFonts w:ascii="Times New Roman" w:hAnsi="Times New Roman"/>
          <w:i w:val="0"/>
          <w:sz w:val="24"/>
        </w:rPr>
        <w:t>. 13th edn. Hoboken, NJ: Wiley.</w:t>
      </w:r>
    </w:p>
    <w:p>
      <w:pPr>
        <w:spacing w:after="120"/>
        <w:ind w:left="720" w:hanging="720"/>
        <w:jc w:val="left"/>
      </w:pPr>
      <w:r>
        <w:rPr>
          <w:rFonts w:ascii="Times New Roman" w:hAnsi="Times New Roman"/>
          <w:i w:val="0"/>
          <w:sz w:val="24"/>
        </w:rPr>
        <w:t xml:space="preserve">Mendelow, A.L. (1991) 'Environmental scanning: the impact of the stakeholder concept', in </w:t>
      </w:r>
      <w:r>
        <w:rPr>
          <w:rFonts w:ascii="Times New Roman" w:hAnsi="Times New Roman"/>
          <w:i/>
          <w:sz w:val="24"/>
        </w:rPr>
        <w:t>Proceedings of the Second International Conference on Information Systems</w:t>
      </w:r>
      <w:r>
        <w:rPr>
          <w:rFonts w:ascii="Times New Roman" w:hAnsi="Times New Roman"/>
          <w:i w:val="0"/>
          <w:sz w:val="24"/>
        </w:rPr>
        <w:t>. Cambridge, MA, December 1981, pp. 407–418.</w:t>
      </w:r>
    </w:p>
    <w:p>
      <w:pPr>
        <w:spacing w:after="120"/>
        <w:ind w:left="720" w:hanging="720"/>
        <w:jc w:val="left"/>
      </w:pPr>
      <w:r>
        <w:rPr>
          <w:rFonts w:ascii="Times New Roman" w:hAnsi="Times New Roman"/>
          <w:i w:val="0"/>
          <w:sz w:val="24"/>
        </w:rPr>
        <w:t xml:space="preserve">Meredith, J.R., Shafer, S.M. and Mantel, S.J. (2020) </w:t>
      </w:r>
      <w:r>
        <w:rPr>
          <w:rFonts w:ascii="Times New Roman" w:hAnsi="Times New Roman"/>
          <w:i/>
          <w:sz w:val="24"/>
        </w:rPr>
        <w:t>Project Management: A Strategic Managerial Approach</w:t>
      </w:r>
      <w:r>
        <w:rPr>
          <w:rFonts w:ascii="Times New Roman" w:hAnsi="Times New Roman"/>
          <w:i w:val="0"/>
          <w:sz w:val="24"/>
        </w:rPr>
        <w:t>. 10th edn. Hoboken, NJ: Wiley.</w:t>
      </w:r>
    </w:p>
    <w:p>
      <w:pPr>
        <w:spacing w:after="120"/>
        <w:ind w:left="720" w:hanging="720"/>
        <w:jc w:val="left"/>
      </w:pPr>
      <w:r>
        <w:rPr>
          <w:rFonts w:ascii="Times New Roman" w:hAnsi="Times New Roman"/>
          <w:i w:val="0"/>
          <w:sz w:val="24"/>
        </w:rPr>
        <w:t xml:space="preserve">Project Management Institute (2021) </w:t>
      </w:r>
      <w:r>
        <w:rPr>
          <w:rFonts w:ascii="Times New Roman" w:hAnsi="Times New Roman"/>
          <w:i/>
          <w:sz w:val="24"/>
        </w:rPr>
        <w:t>A Guide to the Project Management Body of Knowledge (PMBOK Guide)</w:t>
      </w:r>
      <w:r>
        <w:rPr>
          <w:rFonts w:ascii="Times New Roman" w:hAnsi="Times New Roman"/>
          <w:i w:val="0"/>
          <w:sz w:val="24"/>
        </w:rPr>
        <w:t>. 7th edn. Newtown Square, PA: Project Management Institute.</w:t>
      </w:r>
    </w:p>
    <w:p>
      <w:pPr>
        <w:spacing w:after="120"/>
        <w:ind w:left="720" w:hanging="720"/>
        <w:jc w:val="left"/>
      </w:pPr>
      <w:r>
        <w:rPr>
          <w:rFonts w:ascii="Times New Roman" w:hAnsi="Times New Roman"/>
          <w:i w:val="0"/>
          <w:sz w:val="24"/>
        </w:rPr>
        <w:t xml:space="preserve">Tufte, E.R. (2001) </w:t>
      </w:r>
      <w:r>
        <w:rPr>
          <w:rFonts w:ascii="Times New Roman" w:hAnsi="Times New Roman"/>
          <w:i/>
          <w:sz w:val="24"/>
        </w:rPr>
        <w:t>The Visual Display of Quantitative Information</w:t>
      </w:r>
      <w:r>
        <w:rPr>
          <w:rFonts w:ascii="Times New Roman" w:hAnsi="Times New Roman"/>
          <w:i w:val="0"/>
          <w:sz w:val="24"/>
        </w:rPr>
        <w:t>. 2nd edn. Cheshire, CT: Graphics Press.</w:t>
      </w:r>
    </w:p>
    <w:p>
      <w:pPr>
        <w:spacing w:after="120"/>
        <w:ind w:left="720" w:hanging="720"/>
        <w:jc w:val="left"/>
      </w:pPr>
      <w:r>
        <w:rPr>
          <w:rFonts w:ascii="Times New Roman" w:hAnsi="Times New Roman"/>
          <w:i w:val="0"/>
          <w:sz w:val="24"/>
        </w:rPr>
        <w:t xml:space="preserve">Turner, J.R. (2014) </w:t>
      </w:r>
      <w:r>
        <w:rPr>
          <w:rFonts w:ascii="Times New Roman" w:hAnsi="Times New Roman"/>
          <w:i/>
          <w:sz w:val="24"/>
        </w:rPr>
        <w:t>The Handbook of Project-Based Management</w:t>
      </w:r>
      <w:r>
        <w:rPr>
          <w:rFonts w:ascii="Times New Roman" w:hAnsi="Times New Roman"/>
          <w:i w:val="0"/>
          <w:sz w:val="24"/>
        </w:rPr>
        <w:t>. 4th edn. New York: McGraw-Hill.</w:t>
      </w:r>
    </w:p>
    <w:p>
      <w:pPr>
        <w:spacing w:after="120"/>
        <w:ind w:left="720" w:hanging="720"/>
        <w:jc w:val="left"/>
      </w:pPr>
      <w:r>
        <w:rPr>
          <w:rFonts w:ascii="Times New Roman" w:hAnsi="Times New Roman"/>
          <w:i w:val="0"/>
          <w:sz w:val="24"/>
        </w:rPr>
        <w:t xml:space="preserve">UK Green Building Council (2021) </w:t>
      </w:r>
      <w:r>
        <w:rPr>
          <w:rFonts w:ascii="Times New Roman" w:hAnsi="Times New Roman"/>
          <w:i/>
          <w:sz w:val="24"/>
        </w:rPr>
        <w:t>Net Zero Whole Life Carbon Roadmap</w:t>
      </w:r>
      <w:r>
        <w:rPr>
          <w:rFonts w:ascii="Times New Roman" w:hAnsi="Times New Roman"/>
          <w:i w:val="0"/>
          <w:sz w:val="24"/>
        </w:rPr>
        <w:t>. London: UK Green Building Council. Available at: https://ukgbc.org/resources/net-zero-whole-life-carbon-roadmap/ (Accessed: 19 July 2026).</w:t>
      </w:r>
    </w:p>
    <w:p>
      <w:pPr>
        <w:spacing w:after="120"/>
        <w:ind w:left="720" w:hanging="720"/>
        <w:jc w:val="left"/>
      </w:pPr>
      <w:r>
        <w:rPr>
          <w:rFonts w:ascii="Times New Roman" w:hAnsi="Times New Roman"/>
          <w:i w:val="0"/>
          <w:sz w:val="24"/>
        </w:rPr>
        <w:t xml:space="preserve">Wilson, J.M. (2003) 'Gantt charts: A centenary appreciation', </w:t>
      </w:r>
      <w:r>
        <w:rPr>
          <w:rFonts w:ascii="Times New Roman" w:hAnsi="Times New Roman"/>
          <w:i/>
          <w:sz w:val="24"/>
        </w:rPr>
        <w:t>European Journal of Operational Research</w:t>
      </w:r>
      <w:r>
        <w:rPr>
          <w:rFonts w:ascii="Times New Roman" w:hAnsi="Times New Roman"/>
          <w:i w:val="0"/>
          <w:sz w:val="24"/>
        </w:rPr>
        <w:t>, 149(2), pp. 430–437.</w:t>
      </w:r>
    </w:p>
    <w:sectPr w:rsidR="00FC693F" w:rsidRPr="0006063C" w:rsidSect="00034616">
      <w:headerReference w:type="default" r:id="rId9"/>
      <w:footerReference w:type="default" r:id="rId10"/>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0000000000000000000"/>
    <w:charset w:val="02"/>
    <w:family w:val="auto"/>
    <w:pitch w:val="variable"/>
    <w:sig w:usb0="00000000" w:usb1="10000000" w:usb2="00000000" w:usb3="00000000" w:csb0="80000000" w:csb1="00000000"/>
  </w:font>
  <w:font w:name="Times New Roman">
    <w:panose1 w:val="02020603050405020304"/>
    <w:charset w:val="00"/>
    <w:family w:val="auto"/>
    <w:pitch w:val="variable"/>
    <w:sig w:usb0="E0002AFF" w:usb1="C0007841" w:usb2="00000009" w:usb3="00000000" w:csb0="000001FF" w:csb1="00000000"/>
  </w:font>
  <w:font w:name="Cambria">
    <w:panose1 w:val="02040503050406030204"/>
    <w:charset w:val="00"/>
    <w:family w:val="auto"/>
    <w:pitch w:val="variable"/>
    <w:sig w:usb0="E00002FF" w:usb1="400004FF" w:usb2="00000000" w:usb3="00000000" w:csb0="0000019F" w:csb1="00000000"/>
  </w:font>
  <w:font w:name="ＭＳ 明朝">
    <w:panose1 w:val="00000000000000000000"/>
    <w:charset w:val="80"/>
    <w:family w:val="roman"/>
    <w:notTrueType/>
    <w:pitch w:val="fixed"/>
    <w:sig w:usb0="00000001" w:usb1="08070000" w:usb2="00000010" w:usb3="00000000" w:csb0="00020000" w:csb1="00000000"/>
  </w:font>
  <w:font w:name="Calibri">
    <w:panose1 w:val="020F0502020204030204"/>
    <w:charset w:val="00"/>
    <w:family w:val="auto"/>
    <w:pitch w:val="variable"/>
    <w:sig w:usb0="E10002FF" w:usb1="4000ACFF" w:usb2="00000009" w:usb3="00000000" w:csb0="0000019F" w:csb1="00000000"/>
  </w:font>
  <w:font w:name="ＭＳ ゴシック">
    <w:panose1 w:val="00000000000000000000"/>
    <w:charset w:val="80"/>
    <w:family w:val="modern"/>
    <w:notTrueType/>
    <w:pitch w:val="fixed"/>
    <w:sig w:usb0="00000001" w:usb1="08070000" w:usb2="00000010" w:usb3="00000000" w:csb0="00020000" w:csb1="00000000"/>
  </w:font>
  <w:font w:name="Courier">
    <w:panose1 w:val="02000500000000000000"/>
    <w:charset w:val="00"/>
    <w:family w:val="auto"/>
    <w:pitch w:val="variable"/>
    <w:sig w:usb0="00000003" w:usb1="00000000" w:usb2="00000000" w:usb3="00000000" w:csb0="00000001" w:csb1="00000000"/>
  </w:font>
  <w:font w:name="Arial">
    <w:panose1 w:val="020B0604020202020204"/>
    <w:charset w:val="00"/>
    <w:family w:val="auto"/>
    <w:pitch w:val="variable"/>
    <w:sig w:usb0="E0002AFF" w:usb1="C0007843" w:usb2="00000009" w:usb3="00000000" w:csb0="000001FF" w:csb1="00000000"/>
  </w:font>
</w:fonts>
</file>

<file path=word/footer1.xml><?xml version="1.0" encoding="utf-8"?>
<w:ftr xmlns:m="http://schemas.openxmlformats.org/officeDocument/2006/math" xmlns:mc="http://schemas.openxmlformats.org/markup-compatibility/2006" xmlns:mo="http://schemas.microsoft.com/office/mac/office/2008/main" xmlns:mv="urn:schemas-microsoft-com:mac:vml" xmlns:o="urn:schemas-microsoft-com:office:office" xmlns:r="http://schemas.openxmlformats.org/officeDocument/2006/relationships" xmlns:v="urn:schemas-microsoft-com:vml" xmlns:w10="urn:schemas-microsoft-com:office:word" xmlns:w14="http://schemas.microsoft.com/office/word/2010/wordml" xmlns:w="http://schemas.openxmlformats.org/wordprocessingml/2006/main" xmlns:wne="http://schemas.microsoft.com/office/word/2006/wordml" xmlns:wp14="http://schemas.microsoft.com/office/word/2010/wordprocessingDrawing" xmlns:wp="http://schemas.openxmlformats.org/drawingml/2006/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p14">
  <w:p>
    <w:pPr>
      <w:pStyle w:val="Footer"/>
      <w:jc w:val="center"/>
    </w:pPr>
    <w:r>
      <w:rPr>
        <w:rFonts w:ascii="Times New Roman" w:hAnsi="Times New Roman"/>
        <w:sz w:val="20"/>
      </w:rPr>
      <w:fldChar w:fldCharType="begin"/>
      <w:instrText xml:space="preserve">PAGE</w:instrText>
      <w:fldChar w:fldCharType="end"/>
    </w:r>
  </w:p>
</w:ftr>
</file>

<file path=word/header1.xml><?xml version="1.0" encoding="utf-8"?>
<w:hdr xmlns:m="http://schemas.openxmlformats.org/officeDocument/2006/math" xmlns:mc="http://schemas.openxmlformats.org/markup-compatibility/2006" xmlns:mo="http://schemas.microsoft.com/office/mac/office/2008/main" xmlns:mv="urn:schemas-microsoft-com:mac:vml" xmlns:o="urn:schemas-microsoft-com:office:office" xmlns:r="http://schemas.openxmlformats.org/officeDocument/2006/relationships" xmlns:v="urn:schemas-microsoft-com:vml" xmlns:w10="urn:schemas-microsoft-com:office:word" xmlns:w14="http://schemas.microsoft.com/office/word/2010/wordml" xmlns:w="http://schemas.openxmlformats.org/wordprocessingml/2006/main" xmlns:wne="http://schemas.microsoft.com/office/word/2006/wordml" xmlns:wp14="http://schemas.microsoft.com/office/word/2010/wordprocessingDrawing" xmlns:wp="http://schemas.openxmlformats.org/drawingml/2006/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p14">
  <w:p>
    <w:pPr>
      <w:pStyle w:val="Header"/>
      <w:jc w:val="center"/>
    </w:pPr>
    <w:r>
      <w:rPr>
        <w:rFonts w:ascii="Times New Roman" w:hAnsi="Times New Roman"/>
        <w:sz w:val="20"/>
      </w:rPr>
      <w:t>Project Management  |  LCLM5003</w:t>
    </w:r>
  </w:p>
</w:hdr>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FFFFFF7C"/>
    <w:multiLevelType w:val="singleLevel"/>
    <w:tmpl w:val="C310EC42"/>
    <w:lvl w:ilvl="0">
      <w:start w:val="1"/>
      <w:numFmt w:val="decimal"/>
      <w:lvlText w:val="%1."/>
      <w:lvlJc w:val="left"/>
      <w:pPr>
        <w:tabs>
          <w:tab w:val="num" w:pos="1800"/>
        </w:tabs>
        <w:ind w:left="1800" w:hanging="360"/>
      </w:pPr>
    </w:lvl>
  </w:abstractNum>
  <w:abstractNum w:abstractNumId="1">
    <w:nsid w:val="FFFFFF7D"/>
    <w:multiLevelType w:val="singleLevel"/>
    <w:tmpl w:val="E4089024"/>
    <w:lvl w:ilvl="0">
      <w:start w:val="1"/>
      <w:numFmt w:val="decimal"/>
      <w:lvlText w:val="%1."/>
      <w:lvlJc w:val="left"/>
      <w:pPr>
        <w:tabs>
          <w:tab w:val="num" w:pos="1440"/>
        </w:tabs>
        <w:ind w:left="1440" w:hanging="360"/>
      </w:pPr>
    </w:lvl>
  </w:abstractNum>
  <w:abstractNum w:abstractNumId="2">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nsid w:val="FFFFFF89"/>
    <w:multiLevelType w:val="singleLevel"/>
    <w:tmpl w:val="29761A62"/>
    <w:lvl w:ilvl="0">
      <w:start w:val="1"/>
      <w:numFmt w:val="bullet"/>
      <w:pStyle w:val="ListBullet"/>
      <w:lvlText w:val=""/>
      <w:lvlJc w:val="left"/>
      <w:pPr>
        <w:tabs>
          <w:tab w:val="num" w:pos="360"/>
        </w:tabs>
        <w:ind w:left="360" w:hanging="360"/>
      </w:pPr>
      <w:rPr>
        <w:rFonts w:ascii="Symbol" w:hAnsi="Symbol" w:hint="default"/>
      </w:rPr>
    </w:lvl>
  </w:abstractNum>
  <w:num w:numId="1">
    <w:abstractNumId w:val="8"/>
  </w:num>
  <w:num w:numId="2">
    <w:abstractNumId w:val="6"/>
  </w:num>
  <w:num w:numId="3">
    <w:abstractNumId w:val="5"/>
  </w:num>
  <w:num w:numId="4">
    <w:abstractNumId w:val="4"/>
  </w:num>
  <w:num w:numId="5">
    <w:abstractNumId w:val="7"/>
  </w:num>
  <w:num w:numId="6">
    <w:abstractNumId w:val="3"/>
  </w:num>
  <w:num w:numId="7">
    <w:abstractNumId w:val="2"/>
  </w:num>
  <w:num w:numId="8">
    <w:abstractNumId w:val="1"/>
  </w:num>
  <w:num w:numId="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val="bestFit"/>
  <w:proofState w:spelling="clean" w:grammar="clean"/>
  <w:defaultTabStop w:val="720"/>
  <w:characterSpacingControl w:val="doNotCompress"/>
  <w:savePreviewPicture/>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B47730"/>
    <w:rsid w:val="00034616"/>
    <w:rsid w:val="0006063C"/>
    <w:rsid w:val="0015074B"/>
    <w:rsid w:val="0029639D"/>
    <w:rsid w:val="00326F90"/>
    <w:rsid w:val="00AA1D8D"/>
    <w:rsid w:val="00B47730"/>
    <w:rsid w:val="00CB0664"/>
    <w:rsid w:val="00FC693F"/>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7"/>
    <o:shapelayout v:ext="edit">
      <o:idmap v:ext="edit" data="1"/>
    </o:shapelayout>
  </w:shapeDefaults>
  <w:decimalSymbol w:val="."/>
  <w:listSeparator w:val=","/>
  <w14:docId w14:val="24062061"/>
  <w14:defaultImageDpi w14:val="3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FC693F"/>
    <w:pPr>
      <w:spacing w:line="360" w:lineRule="auto" w:after="160"/>
    </w:pPr>
    <w:rPr>
      <w:rFonts w:ascii="Times New Roman" w:hAnsi="Times New Roman" w:cs="Times New Roman" w:eastAsia="Times New Roman"/>
      <w:sz w:val="24"/>
    </w:rPr>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18BF"/>
  </w:style>
  <w:style w:type="paragraph" w:styleId="Heading1">
    <w:name w:val="heading 1"/>
    <w:basedOn w:val="Normal"/>
    <w:next w:val="Normal"/>
    <w:link w:val="Heading1Char"/>
    <w:uiPriority w:val="9"/>
    <w:qFormat/>
    <w:rsid w:val="00FC693F"/>
    <w:pPr>
      <w:keepNext/>
      <w:keepLines/>
      <w:spacing w:before="360" w:after="200" w:line="360" w:lineRule="auto"/>
      <w:outlineLvl w:val="0"/>
    </w:pPr>
    <w:rPr>
      <w:rFonts w:asciiTheme="majorHAnsi" w:eastAsiaTheme="majorEastAsia" w:hAnsiTheme="majorHAnsi" w:cstheme="majorBidi" w:ascii="Times New Roman" w:hAnsi="Times New Roman"/>
      <w:b/>
      <w:bCs/>
      <w:color w:val="000000"/>
      <w:sz w:val="28"/>
      <w:szCs w:val="28"/>
    </w:rPr>
  </w:style>
  <w:style w:type="paragraph" w:styleId="Heading2">
    <w:name w:val="heading 2"/>
    <w:basedOn w:val="Normal"/>
    <w:next w:val="Normal"/>
    <w:link w:val="Heading2Char"/>
    <w:uiPriority w:val="9"/>
    <w:unhideWhenUsed/>
    <w:qFormat/>
    <w:rsid w:val="00FC693F"/>
    <w:pPr>
      <w:keepNext/>
      <w:keepLines/>
      <w:spacing w:before="240" w:after="120" w:line="360" w:lineRule="auto"/>
      <w:outlineLvl w:val="1"/>
    </w:pPr>
    <w:rPr>
      <w:rFonts w:asciiTheme="majorHAnsi" w:eastAsiaTheme="majorEastAsia" w:hAnsiTheme="majorHAnsi" w:cstheme="majorBidi" w:ascii="Times New Roman" w:hAnsi="Times New Roman"/>
      <w:b/>
      <w:bCs/>
      <w:color w:val="000000"/>
      <w:sz w:val="24"/>
      <w:szCs w:val="26"/>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FC693F"/>
    <w:pPr>
      <w:spacing w:after="0" w:line="240" w:lineRule="auto"/>
    </w:pPr>
  </w:style>
  <w:style w:type="character" w:customStyle="1" w:styleId="Heading1Char">
    <w:name w:val="Heading 1 Char"/>
    <w:basedOn w:val="DefaultParagraphFont"/>
    <w:link w:val="Heading1"/>
    <w:uiPriority w:val="9"/>
    <w:rsid w:val="00FC693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FC693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pPr>
      <w:spacing w:after="120"/>
    </w:pPr>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after="120"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pPr>
      <w:spacing w:after="120"/>
    </w:pPr>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spacing w:after="120"/>
      <w:ind w:left="360"/>
      <w:contextualSpacing/>
    </w:pPr>
  </w:style>
  <w:style w:type="paragraph" w:styleId="ListContinue2">
    <w:name w:val="List Continue 2"/>
    <w:basedOn w:val="Normal"/>
    <w:uiPriority w:val="99"/>
    <w:unhideWhenUsed/>
    <w:rsid w:val="0029639D"/>
    <w:pPr>
      <w:spacing w:after="120"/>
      <w:ind w:left="720"/>
      <w:contextualSpacing/>
    </w:pPr>
  </w:style>
  <w:style w:type="paragraph" w:styleId="ListContinue3">
    <w:name w:val="List Continue 3"/>
    <w:basedOn w:val="Normal"/>
    <w:uiPriority w:val="99"/>
    <w:unhideWhenUsed/>
    <w:rsid w:val="0029639D"/>
    <w:pPr>
      <w:spacing w:after="120"/>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semiHidden/>
    <w:unhideWhenUsed/>
    <w:qFormat/>
    <w:rsid w:val="00FC693F"/>
    <w:pPr>
      <w:outlineLvl w:val="9"/>
    </w:pPr>
  </w:style>
  <w:style w:type="table" w:styleId="TableGrid">
    <w:name w:val="Table Grid"/>
    <w:basedOn w:val="TableNormal"/>
    <w:uiPriority w:val="59"/>
    <w:rsid w:val="00FC693F"/>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Ind w:w="0" w:type="dxa"/>
      <w:tblBorders>
        <w:top w:val="single" w:sz="8" w:space="0" w:color="000000" w:themeColor="text1"/>
        <w:bottom w:val="single" w:sz="8" w:space="0" w:color="000000" w:themeColor="text1"/>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Ind w:w="0" w:type="dxa"/>
      <w:tblBorders>
        <w:top w:val="single" w:sz="8" w:space="0" w:color="4F81BD" w:themeColor="accent1"/>
        <w:bottom w:val="single" w:sz="8" w:space="0" w:color="4F81BD" w:themeColor="accent1"/>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Ind w:w="0" w:type="dxa"/>
      <w:tblBorders>
        <w:top w:val="single" w:sz="8" w:space="0" w:color="C0504D" w:themeColor="accent2"/>
        <w:bottom w:val="single" w:sz="8" w:space="0" w:color="C0504D" w:themeColor="accent2"/>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Ind w:w="0" w:type="dxa"/>
      <w:tblBorders>
        <w:top w:val="single" w:sz="8" w:space="0" w:color="9BBB59" w:themeColor="accent3"/>
        <w:bottom w:val="single" w:sz="8" w:space="0" w:color="9BBB59" w:themeColor="accent3"/>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Ind w:w="0" w:type="dxa"/>
      <w:tblBorders>
        <w:top w:val="single" w:sz="8" w:space="0" w:color="8064A2" w:themeColor="accent4"/>
        <w:bottom w:val="single" w:sz="8" w:space="0" w:color="8064A2" w:themeColor="accent4"/>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Ind w:w="0" w:type="dxa"/>
      <w:tblBorders>
        <w:top w:val="single" w:sz="8" w:space="0" w:color="4BACC6" w:themeColor="accent5"/>
        <w:bottom w:val="single" w:sz="8" w:space="0" w:color="4BACC6" w:themeColor="accent5"/>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Ind w:w="0" w:type="dxa"/>
      <w:tblBorders>
        <w:top w:val="single" w:sz="8" w:space="0" w:color="F79646" w:themeColor="accent6"/>
        <w:bottom w:val="single" w:sz="8" w:space="0" w:color="F79646" w:themeColor="accent6"/>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Ind w:w="0" w:type="dxa"/>
      <w:tblBorders>
        <w:top w:val="single" w:sz="8" w:space="0" w:color="000000" w:themeColor="text1"/>
        <w:left w:val="single" w:sz="8" w:space="0" w:color="000000" w:themeColor="text1"/>
        <w:bottom w:val="single" w:sz="8" w:space="0" w:color="000000" w:themeColor="text1"/>
        <w:right w:val="single" w:sz="8" w:space="0" w:color="000000" w:themeColor="text1"/>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Ind w:w="0" w:type="dxa"/>
      <w:tblBorders>
        <w:top w:val="single" w:sz="8" w:space="0" w:color="4F81BD" w:themeColor="accent1"/>
        <w:left w:val="single" w:sz="8" w:space="0" w:color="4F81BD" w:themeColor="accent1"/>
        <w:bottom w:val="single" w:sz="8" w:space="0" w:color="4F81BD" w:themeColor="accent1"/>
        <w:right w:val="single" w:sz="8" w:space="0" w:color="4F81BD" w:themeColor="accent1"/>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Ind w:w="0" w:type="dxa"/>
      <w:tblBorders>
        <w:top w:val="single" w:sz="8" w:space="0" w:color="C0504D" w:themeColor="accent2"/>
        <w:left w:val="single" w:sz="8" w:space="0" w:color="C0504D" w:themeColor="accent2"/>
        <w:bottom w:val="single" w:sz="8" w:space="0" w:color="C0504D" w:themeColor="accent2"/>
        <w:right w:val="single" w:sz="8" w:space="0" w:color="C0504D" w:themeColor="accent2"/>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Ind w:w="0" w:type="dxa"/>
      <w:tblBorders>
        <w:top w:val="single" w:sz="8" w:space="0" w:color="9BBB59" w:themeColor="accent3"/>
        <w:left w:val="single" w:sz="8" w:space="0" w:color="9BBB59" w:themeColor="accent3"/>
        <w:bottom w:val="single" w:sz="8" w:space="0" w:color="9BBB59" w:themeColor="accent3"/>
        <w:right w:val="single" w:sz="8" w:space="0" w:color="9BBB59" w:themeColor="accent3"/>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Ind w:w="0" w:type="dxa"/>
      <w:tblBorders>
        <w:top w:val="single" w:sz="8" w:space="0" w:color="8064A2" w:themeColor="accent4"/>
        <w:left w:val="single" w:sz="8" w:space="0" w:color="8064A2" w:themeColor="accent4"/>
        <w:bottom w:val="single" w:sz="8" w:space="0" w:color="8064A2" w:themeColor="accent4"/>
        <w:right w:val="single" w:sz="8" w:space="0" w:color="8064A2" w:themeColor="accent4"/>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Ind w:w="0" w:type="dxa"/>
      <w:tblBorders>
        <w:top w:val="single" w:sz="8" w:space="0" w:color="4BACC6" w:themeColor="accent5"/>
        <w:left w:val="single" w:sz="8" w:space="0" w:color="4BACC6" w:themeColor="accent5"/>
        <w:bottom w:val="single" w:sz="8" w:space="0" w:color="4BACC6" w:themeColor="accent5"/>
        <w:right w:val="single" w:sz="8" w:space="0" w:color="4BACC6" w:themeColor="accent5"/>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Ind w:w="0" w:type="dxa"/>
      <w:tblBorders>
        <w:top w:val="single" w:sz="8" w:space="0" w:color="F79646" w:themeColor="accent6"/>
        <w:left w:val="single" w:sz="8" w:space="0" w:color="F79646" w:themeColor="accent6"/>
        <w:bottom w:val="single" w:sz="8" w:space="0" w:color="F79646" w:themeColor="accent6"/>
        <w:right w:val="single" w:sz="8" w:space="0" w:color="F79646" w:themeColor="accent6"/>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Ind w:w="0" w:type="dxa"/>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Ind w:w="0" w:type="dxa"/>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Ind w:w="0" w:type="dxa"/>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Ind w:w="0" w:type="dxa"/>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Ind w:w="0" w:type="dxa"/>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Ind w:w="0" w:type="dxa"/>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Ind w:w="0" w:type="dxa"/>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Ind w:w="0" w:type="dxa"/>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Ind w:w="0" w:type="dxa"/>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Ind w:w="0" w:type="dxa"/>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Ind w:w="0" w:type="dxa"/>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Ind w:w="0" w:type="dxa"/>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Ind w:w="0" w:type="dxa"/>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Ind w:w="0" w:type="dxa"/>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000000" w:themeColor="text1"/>
        <w:bottom w:val="single" w:sz="8" w:space="0" w:color="000000" w:themeColor="text1"/>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4F81BD" w:themeColor="accent1"/>
        <w:bottom w:val="single" w:sz="8" w:space="0" w:color="4F81BD" w:themeColor="accent1"/>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C0504D" w:themeColor="accent2"/>
        <w:bottom w:val="single" w:sz="8" w:space="0" w:color="C0504D" w:themeColor="accent2"/>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9BBB59" w:themeColor="accent3"/>
        <w:bottom w:val="single" w:sz="8" w:space="0" w:color="9BBB59" w:themeColor="accent3"/>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8064A2" w:themeColor="accent4"/>
        <w:bottom w:val="single" w:sz="8" w:space="0" w:color="8064A2" w:themeColor="accent4"/>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4BACC6" w:themeColor="accent5"/>
        <w:bottom w:val="single" w:sz="8" w:space="0" w:color="4BACC6" w:themeColor="accent5"/>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F79646" w:themeColor="accent6"/>
        <w:bottom w:val="single" w:sz="8" w:space="0" w:color="F79646" w:themeColor="accent6"/>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000000" w:themeColor="text1"/>
        <w:left w:val="single" w:sz="8" w:space="0" w:color="000000" w:themeColor="text1"/>
        <w:bottom w:val="single" w:sz="8" w:space="0" w:color="000000" w:themeColor="text1"/>
        <w:right w:val="single" w:sz="8" w:space="0" w:color="000000" w:themeColor="text1"/>
      </w:tblBorders>
      <w:tblCellMar>
        <w:top w:w="0" w:type="dxa"/>
        <w:left w:w="108" w:type="dxa"/>
        <w:bottom w:w="0" w:type="dxa"/>
        <w:right w:w="108" w:type="dxa"/>
      </w:tblCellMar>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4F81BD" w:themeColor="accent1"/>
        <w:left w:val="single" w:sz="8" w:space="0" w:color="4F81BD" w:themeColor="accent1"/>
        <w:bottom w:val="single" w:sz="8" w:space="0" w:color="4F81BD" w:themeColor="accent1"/>
        <w:right w:val="single" w:sz="8" w:space="0" w:color="4F81BD" w:themeColor="accent1"/>
      </w:tblBorders>
      <w:tblCellMar>
        <w:top w:w="0" w:type="dxa"/>
        <w:left w:w="108" w:type="dxa"/>
        <w:bottom w:w="0" w:type="dxa"/>
        <w:right w:w="108" w:type="dxa"/>
      </w:tblCellMar>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C0504D" w:themeColor="accent2"/>
        <w:left w:val="single" w:sz="8" w:space="0" w:color="C0504D" w:themeColor="accent2"/>
        <w:bottom w:val="single" w:sz="8" w:space="0" w:color="C0504D" w:themeColor="accent2"/>
        <w:right w:val="single" w:sz="8" w:space="0" w:color="C0504D" w:themeColor="accent2"/>
      </w:tblBorders>
      <w:tblCellMar>
        <w:top w:w="0" w:type="dxa"/>
        <w:left w:w="108" w:type="dxa"/>
        <w:bottom w:w="0" w:type="dxa"/>
        <w:right w:w="108" w:type="dxa"/>
      </w:tblCellMar>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9BBB59" w:themeColor="accent3"/>
        <w:left w:val="single" w:sz="8" w:space="0" w:color="9BBB59" w:themeColor="accent3"/>
        <w:bottom w:val="single" w:sz="8" w:space="0" w:color="9BBB59" w:themeColor="accent3"/>
        <w:right w:val="single" w:sz="8" w:space="0" w:color="9BBB59" w:themeColor="accent3"/>
      </w:tblBorders>
      <w:tblCellMar>
        <w:top w:w="0" w:type="dxa"/>
        <w:left w:w="108" w:type="dxa"/>
        <w:bottom w:w="0" w:type="dxa"/>
        <w:right w:w="108" w:type="dxa"/>
      </w:tblCellMar>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8064A2" w:themeColor="accent4"/>
        <w:left w:val="single" w:sz="8" w:space="0" w:color="8064A2" w:themeColor="accent4"/>
        <w:bottom w:val="single" w:sz="8" w:space="0" w:color="8064A2" w:themeColor="accent4"/>
        <w:right w:val="single" w:sz="8" w:space="0" w:color="8064A2" w:themeColor="accent4"/>
      </w:tblBorders>
      <w:tblCellMar>
        <w:top w:w="0" w:type="dxa"/>
        <w:left w:w="108" w:type="dxa"/>
        <w:bottom w:w="0" w:type="dxa"/>
        <w:right w:w="108" w:type="dxa"/>
      </w:tblCellMar>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4BACC6" w:themeColor="accent5"/>
        <w:left w:val="single" w:sz="8" w:space="0" w:color="4BACC6" w:themeColor="accent5"/>
        <w:bottom w:val="single" w:sz="8" w:space="0" w:color="4BACC6" w:themeColor="accent5"/>
        <w:right w:val="single" w:sz="8" w:space="0" w:color="4BACC6" w:themeColor="accent5"/>
      </w:tblBorders>
      <w:tblCellMar>
        <w:top w:w="0" w:type="dxa"/>
        <w:left w:w="108" w:type="dxa"/>
        <w:bottom w:w="0" w:type="dxa"/>
        <w:right w:w="108" w:type="dxa"/>
      </w:tblCellMar>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F79646" w:themeColor="accent6"/>
        <w:left w:val="single" w:sz="8" w:space="0" w:color="F79646" w:themeColor="accent6"/>
        <w:bottom w:val="single" w:sz="8" w:space="0" w:color="F79646" w:themeColor="accent6"/>
        <w:right w:val="single" w:sz="8" w:space="0" w:color="F79646" w:themeColor="accent6"/>
      </w:tblBorders>
      <w:tblCellMar>
        <w:top w:w="0" w:type="dxa"/>
        <w:left w:w="108" w:type="dxa"/>
        <w:bottom w:w="0" w:type="dxa"/>
        <w:right w:w="108" w:type="dxa"/>
      </w:tblCellMar>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Ind w:w="0" w:type="dxa"/>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CellMar>
        <w:top w:w="0" w:type="dxa"/>
        <w:left w:w="108" w:type="dxa"/>
        <w:bottom w:w="0" w:type="dxa"/>
        <w:right w:w="108" w:type="dxa"/>
      </w:tblCellMar>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Ind w:w="0" w:type="dxa"/>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CellMar>
        <w:top w:w="0" w:type="dxa"/>
        <w:left w:w="108" w:type="dxa"/>
        <w:bottom w:w="0" w:type="dxa"/>
        <w:right w:w="108" w:type="dxa"/>
      </w:tblCellMar>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Ind w:w="0" w:type="dxa"/>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CellMar>
        <w:top w:w="0" w:type="dxa"/>
        <w:left w:w="108" w:type="dxa"/>
        <w:bottom w:w="0" w:type="dxa"/>
        <w:right w:w="108" w:type="dxa"/>
      </w:tblCellMar>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Ind w:w="0" w:type="dxa"/>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CellMar>
        <w:top w:w="0" w:type="dxa"/>
        <w:left w:w="108" w:type="dxa"/>
        <w:bottom w:w="0" w:type="dxa"/>
        <w:right w:w="108" w:type="dxa"/>
      </w:tblCellMar>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Ind w:w="0" w:type="dxa"/>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CellMar>
        <w:top w:w="0" w:type="dxa"/>
        <w:left w:w="108" w:type="dxa"/>
        <w:bottom w:w="0" w:type="dxa"/>
        <w:right w:w="108" w:type="dxa"/>
      </w:tblCellMar>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Ind w:w="0" w:type="dxa"/>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CellMar>
        <w:top w:w="0" w:type="dxa"/>
        <w:left w:w="108" w:type="dxa"/>
        <w:bottom w:w="0" w:type="dxa"/>
        <w:right w:w="108" w:type="dxa"/>
      </w:tblCellMar>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Ind w:w="0" w:type="dxa"/>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CellMar>
        <w:top w:w="0" w:type="dxa"/>
        <w:left w:w="108" w:type="dxa"/>
        <w:bottom w:w="0" w:type="dxa"/>
        <w:right w:w="108" w:type="dxa"/>
      </w:tblCellMar>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CellMar>
        <w:top w:w="0" w:type="dxa"/>
        <w:left w:w="108" w:type="dxa"/>
        <w:bottom w:w="0" w:type="dxa"/>
        <w:right w:w="108" w:type="dxa"/>
      </w:tblCellMar>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CellMar>
        <w:top w:w="0" w:type="dxa"/>
        <w:left w:w="108" w:type="dxa"/>
        <w:bottom w:w="0" w:type="dxa"/>
        <w:right w:w="108" w:type="dxa"/>
      </w:tblCellMar>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CellMar>
        <w:top w:w="0" w:type="dxa"/>
        <w:left w:w="108" w:type="dxa"/>
        <w:bottom w:w="0" w:type="dxa"/>
        <w:right w:w="108" w:type="dxa"/>
      </w:tblCellMar>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CellMar>
        <w:top w:w="0" w:type="dxa"/>
        <w:left w:w="108" w:type="dxa"/>
        <w:bottom w:w="0" w:type="dxa"/>
        <w:right w:w="108" w:type="dxa"/>
      </w:tblCellMar>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CellMar>
        <w:top w:w="0" w:type="dxa"/>
        <w:left w:w="108" w:type="dxa"/>
        <w:bottom w:w="0" w:type="dxa"/>
        <w:right w:w="108" w:type="dxa"/>
      </w:tblCellMar>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CellMar>
        <w:top w:w="0" w:type="dxa"/>
        <w:left w:w="108" w:type="dxa"/>
        <w:bottom w:w="0" w:type="dxa"/>
        <w:right w:w="108" w:type="dxa"/>
      </w:tblCellMar>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CellMar>
        <w:top w:w="0" w:type="dxa"/>
        <w:left w:w="108" w:type="dxa"/>
        <w:bottom w:w="0" w:type="dxa"/>
        <w:right w:w="108" w:type="dxa"/>
      </w:tblCellMar>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rfulShading">
    <w:name w:val="Colorful Shading"/>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rfulShading-Accent1">
    <w:name w:val="Colorful Shading Accent 1"/>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rfulShading-Accent2">
    <w:name w:val="Colorful Shading Accent 2"/>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rfulShading-Accent3">
    <w:name w:val="Colorful Shading Accent 3"/>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rfulShading-Accent4">
    <w:name w:val="Colorful Shading Accent 4"/>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rfulShading-Accent5">
    <w:name w:val="Colorful Shading Accent 5"/>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rfulShading-Accent6">
    <w:name w:val="Colorful Shading Accent 6"/>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rfulList">
    <w:name w:val="Colorful List"/>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rfulList-Accent1">
    <w:name w:val="Colorful List Accent 1"/>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rfulList-Accent2">
    <w:name w:val="Colorful List Accent 2"/>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rfulList-Accent3">
    <w:name w:val="Colorful List Accent 3"/>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rfulList-Accent4">
    <w:name w:val="Colorful List Accent 4"/>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rfulList-Accent5">
    <w:name w:val="Colorful List Accent 5"/>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rfulList-Accent6">
    <w:name w:val="Colorful List Accent 6"/>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rfulGrid">
    <w:name w:val="Colorful Grid"/>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rfulGrid-Accent1">
    <w:name w:val="Colorful Grid Accent 1"/>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rfulGrid-Accent2">
    <w:name w:val="Colorful Grid Accent 2"/>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rfulGrid-Accent3">
    <w:name w:val="Colorful Grid Accent 3"/>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rfulGrid-Accent4">
    <w:name w:val="Colorful Grid Accent 4"/>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rfulGrid-Accent5">
    <w:name w:val="Colorful Grid Accent 5"/>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rfulGrid-Accent6">
    <w:name w:val="Colorful Grid Accent 6"/>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FC693F"/>
  </w:style>
  <w:style w:type="paragraph" w:styleId="Heading1">
    <w:name w:val="heading 1"/>
    <w:basedOn w:val="Normal"/>
    <w:next w:val="Normal"/>
    <w:link w:val="Heading1Char"/>
    <w:uiPriority w:val="9"/>
    <w:qFormat/>
    <w:rsid w:val="00FC693F"/>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FC693F"/>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FC693F"/>
    <w:pPr>
      <w:spacing w:after="0" w:line="240" w:lineRule="auto"/>
    </w:pPr>
  </w:style>
  <w:style w:type="character" w:customStyle="1" w:styleId="Heading1Char">
    <w:name w:val="Heading 1 Char"/>
    <w:basedOn w:val="DefaultParagraphFont"/>
    <w:link w:val="Heading1"/>
    <w:uiPriority w:val="9"/>
    <w:rsid w:val="00FC693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FC693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pPr>
      <w:spacing w:after="120"/>
    </w:pPr>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after="120"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pPr>
      <w:spacing w:after="120"/>
    </w:pPr>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spacing w:after="120"/>
      <w:ind w:left="360"/>
      <w:contextualSpacing/>
    </w:pPr>
  </w:style>
  <w:style w:type="paragraph" w:styleId="ListContinue2">
    <w:name w:val="List Continue 2"/>
    <w:basedOn w:val="Normal"/>
    <w:uiPriority w:val="99"/>
    <w:unhideWhenUsed/>
    <w:rsid w:val="0029639D"/>
    <w:pPr>
      <w:spacing w:after="120"/>
      <w:ind w:left="720"/>
      <w:contextualSpacing/>
    </w:pPr>
  </w:style>
  <w:style w:type="paragraph" w:styleId="ListContinue3">
    <w:name w:val="List Continue 3"/>
    <w:basedOn w:val="Normal"/>
    <w:uiPriority w:val="99"/>
    <w:unhideWhenUsed/>
    <w:rsid w:val="0029639D"/>
    <w:pPr>
      <w:spacing w:after="120"/>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semiHidden/>
    <w:unhideWhenUsed/>
    <w:qFormat/>
    <w:rsid w:val="00FC693F"/>
    <w:pPr>
      <w:outlineLvl w:val="9"/>
    </w:pPr>
  </w:style>
  <w:style w:type="table" w:styleId="TableGrid">
    <w:name w:val="Table Grid"/>
    <w:basedOn w:val="TableNormal"/>
    <w:uiPriority w:val="59"/>
    <w:rsid w:val="00FC693F"/>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Ind w:w="0" w:type="dxa"/>
      <w:tblBorders>
        <w:top w:val="single" w:sz="8" w:space="0" w:color="000000" w:themeColor="text1"/>
        <w:bottom w:val="single" w:sz="8" w:space="0" w:color="000000" w:themeColor="text1"/>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Ind w:w="0" w:type="dxa"/>
      <w:tblBorders>
        <w:top w:val="single" w:sz="8" w:space="0" w:color="4F81BD" w:themeColor="accent1"/>
        <w:bottom w:val="single" w:sz="8" w:space="0" w:color="4F81BD" w:themeColor="accent1"/>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Ind w:w="0" w:type="dxa"/>
      <w:tblBorders>
        <w:top w:val="single" w:sz="8" w:space="0" w:color="C0504D" w:themeColor="accent2"/>
        <w:bottom w:val="single" w:sz="8" w:space="0" w:color="C0504D" w:themeColor="accent2"/>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Ind w:w="0" w:type="dxa"/>
      <w:tblBorders>
        <w:top w:val="single" w:sz="8" w:space="0" w:color="9BBB59" w:themeColor="accent3"/>
        <w:bottom w:val="single" w:sz="8" w:space="0" w:color="9BBB59" w:themeColor="accent3"/>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Ind w:w="0" w:type="dxa"/>
      <w:tblBorders>
        <w:top w:val="single" w:sz="8" w:space="0" w:color="8064A2" w:themeColor="accent4"/>
        <w:bottom w:val="single" w:sz="8" w:space="0" w:color="8064A2" w:themeColor="accent4"/>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Ind w:w="0" w:type="dxa"/>
      <w:tblBorders>
        <w:top w:val="single" w:sz="8" w:space="0" w:color="4BACC6" w:themeColor="accent5"/>
        <w:bottom w:val="single" w:sz="8" w:space="0" w:color="4BACC6" w:themeColor="accent5"/>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Ind w:w="0" w:type="dxa"/>
      <w:tblBorders>
        <w:top w:val="single" w:sz="8" w:space="0" w:color="F79646" w:themeColor="accent6"/>
        <w:bottom w:val="single" w:sz="8" w:space="0" w:color="F79646" w:themeColor="accent6"/>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Ind w:w="0" w:type="dxa"/>
      <w:tblBorders>
        <w:top w:val="single" w:sz="8" w:space="0" w:color="000000" w:themeColor="text1"/>
        <w:left w:val="single" w:sz="8" w:space="0" w:color="000000" w:themeColor="text1"/>
        <w:bottom w:val="single" w:sz="8" w:space="0" w:color="000000" w:themeColor="text1"/>
        <w:right w:val="single" w:sz="8" w:space="0" w:color="000000" w:themeColor="text1"/>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Ind w:w="0" w:type="dxa"/>
      <w:tblBorders>
        <w:top w:val="single" w:sz="8" w:space="0" w:color="4F81BD" w:themeColor="accent1"/>
        <w:left w:val="single" w:sz="8" w:space="0" w:color="4F81BD" w:themeColor="accent1"/>
        <w:bottom w:val="single" w:sz="8" w:space="0" w:color="4F81BD" w:themeColor="accent1"/>
        <w:right w:val="single" w:sz="8" w:space="0" w:color="4F81BD" w:themeColor="accent1"/>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Ind w:w="0" w:type="dxa"/>
      <w:tblBorders>
        <w:top w:val="single" w:sz="8" w:space="0" w:color="C0504D" w:themeColor="accent2"/>
        <w:left w:val="single" w:sz="8" w:space="0" w:color="C0504D" w:themeColor="accent2"/>
        <w:bottom w:val="single" w:sz="8" w:space="0" w:color="C0504D" w:themeColor="accent2"/>
        <w:right w:val="single" w:sz="8" w:space="0" w:color="C0504D" w:themeColor="accent2"/>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Ind w:w="0" w:type="dxa"/>
      <w:tblBorders>
        <w:top w:val="single" w:sz="8" w:space="0" w:color="9BBB59" w:themeColor="accent3"/>
        <w:left w:val="single" w:sz="8" w:space="0" w:color="9BBB59" w:themeColor="accent3"/>
        <w:bottom w:val="single" w:sz="8" w:space="0" w:color="9BBB59" w:themeColor="accent3"/>
        <w:right w:val="single" w:sz="8" w:space="0" w:color="9BBB59" w:themeColor="accent3"/>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Ind w:w="0" w:type="dxa"/>
      <w:tblBorders>
        <w:top w:val="single" w:sz="8" w:space="0" w:color="8064A2" w:themeColor="accent4"/>
        <w:left w:val="single" w:sz="8" w:space="0" w:color="8064A2" w:themeColor="accent4"/>
        <w:bottom w:val="single" w:sz="8" w:space="0" w:color="8064A2" w:themeColor="accent4"/>
        <w:right w:val="single" w:sz="8" w:space="0" w:color="8064A2" w:themeColor="accent4"/>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Ind w:w="0" w:type="dxa"/>
      <w:tblBorders>
        <w:top w:val="single" w:sz="8" w:space="0" w:color="4BACC6" w:themeColor="accent5"/>
        <w:left w:val="single" w:sz="8" w:space="0" w:color="4BACC6" w:themeColor="accent5"/>
        <w:bottom w:val="single" w:sz="8" w:space="0" w:color="4BACC6" w:themeColor="accent5"/>
        <w:right w:val="single" w:sz="8" w:space="0" w:color="4BACC6" w:themeColor="accent5"/>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Ind w:w="0" w:type="dxa"/>
      <w:tblBorders>
        <w:top w:val="single" w:sz="8" w:space="0" w:color="F79646" w:themeColor="accent6"/>
        <w:left w:val="single" w:sz="8" w:space="0" w:color="F79646" w:themeColor="accent6"/>
        <w:bottom w:val="single" w:sz="8" w:space="0" w:color="F79646" w:themeColor="accent6"/>
        <w:right w:val="single" w:sz="8" w:space="0" w:color="F79646" w:themeColor="accent6"/>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Ind w:w="0" w:type="dxa"/>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Ind w:w="0" w:type="dxa"/>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Ind w:w="0" w:type="dxa"/>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Ind w:w="0" w:type="dxa"/>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Ind w:w="0" w:type="dxa"/>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Ind w:w="0" w:type="dxa"/>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Ind w:w="0" w:type="dxa"/>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Ind w:w="0" w:type="dxa"/>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Ind w:w="0" w:type="dxa"/>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Ind w:w="0" w:type="dxa"/>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Ind w:w="0" w:type="dxa"/>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Ind w:w="0" w:type="dxa"/>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Ind w:w="0" w:type="dxa"/>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Ind w:w="0" w:type="dxa"/>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000000" w:themeColor="text1"/>
        <w:bottom w:val="single" w:sz="8" w:space="0" w:color="000000" w:themeColor="text1"/>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4F81BD" w:themeColor="accent1"/>
        <w:bottom w:val="single" w:sz="8" w:space="0" w:color="4F81BD" w:themeColor="accent1"/>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C0504D" w:themeColor="accent2"/>
        <w:bottom w:val="single" w:sz="8" w:space="0" w:color="C0504D" w:themeColor="accent2"/>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9BBB59" w:themeColor="accent3"/>
        <w:bottom w:val="single" w:sz="8" w:space="0" w:color="9BBB59" w:themeColor="accent3"/>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8064A2" w:themeColor="accent4"/>
        <w:bottom w:val="single" w:sz="8" w:space="0" w:color="8064A2" w:themeColor="accent4"/>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4BACC6" w:themeColor="accent5"/>
        <w:bottom w:val="single" w:sz="8" w:space="0" w:color="4BACC6" w:themeColor="accent5"/>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F79646" w:themeColor="accent6"/>
        <w:bottom w:val="single" w:sz="8" w:space="0" w:color="F79646" w:themeColor="accent6"/>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000000" w:themeColor="text1"/>
        <w:left w:val="single" w:sz="8" w:space="0" w:color="000000" w:themeColor="text1"/>
        <w:bottom w:val="single" w:sz="8" w:space="0" w:color="000000" w:themeColor="text1"/>
        <w:right w:val="single" w:sz="8" w:space="0" w:color="000000" w:themeColor="text1"/>
      </w:tblBorders>
      <w:tblCellMar>
        <w:top w:w="0" w:type="dxa"/>
        <w:left w:w="108" w:type="dxa"/>
        <w:bottom w:w="0" w:type="dxa"/>
        <w:right w:w="108" w:type="dxa"/>
      </w:tblCellMar>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4F81BD" w:themeColor="accent1"/>
        <w:left w:val="single" w:sz="8" w:space="0" w:color="4F81BD" w:themeColor="accent1"/>
        <w:bottom w:val="single" w:sz="8" w:space="0" w:color="4F81BD" w:themeColor="accent1"/>
        <w:right w:val="single" w:sz="8" w:space="0" w:color="4F81BD" w:themeColor="accent1"/>
      </w:tblBorders>
      <w:tblCellMar>
        <w:top w:w="0" w:type="dxa"/>
        <w:left w:w="108" w:type="dxa"/>
        <w:bottom w:w="0" w:type="dxa"/>
        <w:right w:w="108" w:type="dxa"/>
      </w:tblCellMar>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C0504D" w:themeColor="accent2"/>
        <w:left w:val="single" w:sz="8" w:space="0" w:color="C0504D" w:themeColor="accent2"/>
        <w:bottom w:val="single" w:sz="8" w:space="0" w:color="C0504D" w:themeColor="accent2"/>
        <w:right w:val="single" w:sz="8" w:space="0" w:color="C0504D" w:themeColor="accent2"/>
      </w:tblBorders>
      <w:tblCellMar>
        <w:top w:w="0" w:type="dxa"/>
        <w:left w:w="108" w:type="dxa"/>
        <w:bottom w:w="0" w:type="dxa"/>
        <w:right w:w="108" w:type="dxa"/>
      </w:tblCellMar>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9BBB59" w:themeColor="accent3"/>
        <w:left w:val="single" w:sz="8" w:space="0" w:color="9BBB59" w:themeColor="accent3"/>
        <w:bottom w:val="single" w:sz="8" w:space="0" w:color="9BBB59" w:themeColor="accent3"/>
        <w:right w:val="single" w:sz="8" w:space="0" w:color="9BBB59" w:themeColor="accent3"/>
      </w:tblBorders>
      <w:tblCellMar>
        <w:top w:w="0" w:type="dxa"/>
        <w:left w:w="108" w:type="dxa"/>
        <w:bottom w:w="0" w:type="dxa"/>
        <w:right w:w="108" w:type="dxa"/>
      </w:tblCellMar>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8064A2" w:themeColor="accent4"/>
        <w:left w:val="single" w:sz="8" w:space="0" w:color="8064A2" w:themeColor="accent4"/>
        <w:bottom w:val="single" w:sz="8" w:space="0" w:color="8064A2" w:themeColor="accent4"/>
        <w:right w:val="single" w:sz="8" w:space="0" w:color="8064A2" w:themeColor="accent4"/>
      </w:tblBorders>
      <w:tblCellMar>
        <w:top w:w="0" w:type="dxa"/>
        <w:left w:w="108" w:type="dxa"/>
        <w:bottom w:w="0" w:type="dxa"/>
        <w:right w:w="108" w:type="dxa"/>
      </w:tblCellMar>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4BACC6" w:themeColor="accent5"/>
        <w:left w:val="single" w:sz="8" w:space="0" w:color="4BACC6" w:themeColor="accent5"/>
        <w:bottom w:val="single" w:sz="8" w:space="0" w:color="4BACC6" w:themeColor="accent5"/>
        <w:right w:val="single" w:sz="8" w:space="0" w:color="4BACC6" w:themeColor="accent5"/>
      </w:tblBorders>
      <w:tblCellMar>
        <w:top w:w="0" w:type="dxa"/>
        <w:left w:w="108" w:type="dxa"/>
        <w:bottom w:w="0" w:type="dxa"/>
        <w:right w:w="108" w:type="dxa"/>
      </w:tblCellMar>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F79646" w:themeColor="accent6"/>
        <w:left w:val="single" w:sz="8" w:space="0" w:color="F79646" w:themeColor="accent6"/>
        <w:bottom w:val="single" w:sz="8" w:space="0" w:color="F79646" w:themeColor="accent6"/>
        <w:right w:val="single" w:sz="8" w:space="0" w:color="F79646" w:themeColor="accent6"/>
      </w:tblBorders>
      <w:tblCellMar>
        <w:top w:w="0" w:type="dxa"/>
        <w:left w:w="108" w:type="dxa"/>
        <w:bottom w:w="0" w:type="dxa"/>
        <w:right w:w="108" w:type="dxa"/>
      </w:tblCellMar>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Ind w:w="0" w:type="dxa"/>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CellMar>
        <w:top w:w="0" w:type="dxa"/>
        <w:left w:w="108" w:type="dxa"/>
        <w:bottom w:w="0" w:type="dxa"/>
        <w:right w:w="108" w:type="dxa"/>
      </w:tblCellMar>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Ind w:w="0" w:type="dxa"/>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CellMar>
        <w:top w:w="0" w:type="dxa"/>
        <w:left w:w="108" w:type="dxa"/>
        <w:bottom w:w="0" w:type="dxa"/>
        <w:right w:w="108" w:type="dxa"/>
      </w:tblCellMar>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Ind w:w="0" w:type="dxa"/>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CellMar>
        <w:top w:w="0" w:type="dxa"/>
        <w:left w:w="108" w:type="dxa"/>
        <w:bottom w:w="0" w:type="dxa"/>
        <w:right w:w="108" w:type="dxa"/>
      </w:tblCellMar>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Ind w:w="0" w:type="dxa"/>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CellMar>
        <w:top w:w="0" w:type="dxa"/>
        <w:left w:w="108" w:type="dxa"/>
        <w:bottom w:w="0" w:type="dxa"/>
        <w:right w:w="108" w:type="dxa"/>
      </w:tblCellMar>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Ind w:w="0" w:type="dxa"/>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CellMar>
        <w:top w:w="0" w:type="dxa"/>
        <w:left w:w="108" w:type="dxa"/>
        <w:bottom w:w="0" w:type="dxa"/>
        <w:right w:w="108" w:type="dxa"/>
      </w:tblCellMar>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Ind w:w="0" w:type="dxa"/>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CellMar>
        <w:top w:w="0" w:type="dxa"/>
        <w:left w:w="108" w:type="dxa"/>
        <w:bottom w:w="0" w:type="dxa"/>
        <w:right w:w="108" w:type="dxa"/>
      </w:tblCellMar>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Ind w:w="0" w:type="dxa"/>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CellMar>
        <w:top w:w="0" w:type="dxa"/>
        <w:left w:w="108" w:type="dxa"/>
        <w:bottom w:w="0" w:type="dxa"/>
        <w:right w:w="108" w:type="dxa"/>
      </w:tblCellMar>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CellMar>
        <w:top w:w="0" w:type="dxa"/>
        <w:left w:w="108" w:type="dxa"/>
        <w:bottom w:w="0" w:type="dxa"/>
        <w:right w:w="108" w:type="dxa"/>
      </w:tblCellMar>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CellMar>
        <w:top w:w="0" w:type="dxa"/>
        <w:left w:w="108" w:type="dxa"/>
        <w:bottom w:w="0" w:type="dxa"/>
        <w:right w:w="108" w:type="dxa"/>
      </w:tblCellMar>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CellMar>
        <w:top w:w="0" w:type="dxa"/>
        <w:left w:w="108" w:type="dxa"/>
        <w:bottom w:w="0" w:type="dxa"/>
        <w:right w:w="108" w:type="dxa"/>
      </w:tblCellMar>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CellMar>
        <w:top w:w="0" w:type="dxa"/>
        <w:left w:w="108" w:type="dxa"/>
        <w:bottom w:w="0" w:type="dxa"/>
        <w:right w:w="108" w:type="dxa"/>
      </w:tblCellMar>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CellMar>
        <w:top w:w="0" w:type="dxa"/>
        <w:left w:w="108" w:type="dxa"/>
        <w:bottom w:w="0" w:type="dxa"/>
        <w:right w:w="108" w:type="dxa"/>
      </w:tblCellMar>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CellMar>
        <w:top w:w="0" w:type="dxa"/>
        <w:left w:w="108" w:type="dxa"/>
        <w:bottom w:w="0" w:type="dxa"/>
        <w:right w:w="108" w:type="dxa"/>
      </w:tblCellMar>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CellMar>
        <w:top w:w="0" w:type="dxa"/>
        <w:left w:w="108" w:type="dxa"/>
        <w:bottom w:w="0" w:type="dxa"/>
        <w:right w:w="108" w:type="dxa"/>
      </w:tblCellMar>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rfulShading">
    <w:name w:val="Colorful Shading"/>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rfulShading-Accent1">
    <w:name w:val="Colorful Shading Accent 1"/>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rfulShading-Accent2">
    <w:name w:val="Colorful Shading Accent 2"/>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rfulShading-Accent3">
    <w:name w:val="Colorful Shading Accent 3"/>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rfulShading-Accent4">
    <w:name w:val="Colorful Shading Accent 4"/>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rfulShading-Accent5">
    <w:name w:val="Colorful Shading Accent 5"/>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rfulShading-Accent6">
    <w:name w:val="Colorful Shading Accent 6"/>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rfulList">
    <w:name w:val="Colorful List"/>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rfulList-Accent1">
    <w:name w:val="Colorful List Accent 1"/>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rfulList-Accent2">
    <w:name w:val="Colorful List Accent 2"/>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rfulList-Accent3">
    <w:name w:val="Colorful List Accent 3"/>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rfulList-Accent4">
    <w:name w:val="Colorful List Accent 4"/>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rfulList-Accent5">
    <w:name w:val="Colorful List Accent 5"/>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rfulList-Accent6">
    <w:name w:val="Colorful List Accent 6"/>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rfulGrid">
    <w:name w:val="Colorful Grid"/>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rfulGrid-Accent1">
    <w:name w:val="Colorful Grid Accent 1"/>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rfulGrid-Accent2">
    <w:name w:val="Colorful Grid Accent 2"/>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rfulGrid-Accent3">
    <w:name w:val="Colorful Grid Accent 3"/>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rfulGrid-Accent4">
    <w:name w:val="Colorful Grid Accent 4"/>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rfulGrid-Accent5">
    <w:name w:val="Colorful Grid Accent 5"/>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rfulGrid-Accent6">
    <w:name w:val="Colorful Grid Accent 6"/>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allowPNG/>
  <w:doNotSaveAsSingleFile/>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4" Type="http://schemas.microsoft.com/office/2007/relationships/stylesWithEffects" Target="stylesWithEffects.xml"/><Relationship Id="rId5" Type="http://schemas.openxmlformats.org/officeDocument/2006/relationships/settings" Target="settings.xml"/><Relationship Id="rId6" Type="http://schemas.openxmlformats.org/officeDocument/2006/relationships/webSettings" Target="webSettings.xml"/><Relationship Id="rId7" Type="http://schemas.openxmlformats.org/officeDocument/2006/relationships/fontTable" Target="fontTable.xml"/><Relationship Id="rId8" Type="http://schemas.openxmlformats.org/officeDocument/2006/relationships/theme" Target="theme/theme1.xml"/><Relationship Id="rId1" Type="http://schemas.openxmlformats.org/officeDocument/2006/relationships/customXml" Target="../customXml/item1.xml"/><Relationship Id="rId2" Type="http://schemas.openxmlformats.org/officeDocument/2006/relationships/numbering" Target="numbering.xml"/><Relationship Id="rId9" Type="http://schemas.openxmlformats.org/officeDocument/2006/relationships/header" Target="header1.xml"/><Relationship Id="rId10" Type="http://schemas.openxmlformats.org/officeDocument/2006/relationships/footer" Target="footer1.xml"/><Relationship Id="rId11"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F278816-EC6F-A645-907D-7F25AECB1D4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Macintosh Word</Application>
  <DocSecurity>0</DocSecurity>
  <Lines>0</Lines>
  <Paragraphs>0</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0</CharactersWithSpaces>
  <SharedDoc>false</SharedDoc>
  <HyperlinkBase/>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python-docx</dc:creator>
  <cp:keywords/>
  <dc:description>generated by python-docx</dc:description>
  <cp:lastModifiedBy/>
  <cp:revision>1</cp:revision>
  <dcterms:created xsi:type="dcterms:W3CDTF">2013-12-23T23:15:00Z</dcterms:created>
  <dcterms:modified xsi:type="dcterms:W3CDTF">2013-12-23T23:15:00Z</dcterms:modified>
  <cp:category/>
</cp:coreProperties>
</file>