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02C40" w:rsidRPr="006714A2" w:rsidRDefault="00B02C40" w:rsidP="00B02C40">
      <w:pPr>
        <w:rPr>
          <w:b/>
          <w:sz w:val="32"/>
          <w:szCs w:val="32"/>
        </w:rPr>
      </w:pPr>
      <w:r w:rsidRPr="006714A2">
        <w:rPr>
          <w:b/>
          <w:sz w:val="32"/>
          <w:szCs w:val="32"/>
        </w:rPr>
        <w:t>Introduction</w:t>
      </w:r>
      <w:r>
        <w:rPr>
          <w:b/>
          <w:sz w:val="32"/>
          <w:szCs w:val="32"/>
        </w:rPr>
        <w:t xml:space="preserve"> </w:t>
      </w:r>
    </w:p>
    <w:p w:rsidR="00B02C40" w:rsidRDefault="00B02C40" w:rsidP="00B02C40">
      <w:pPr>
        <w:rPr>
          <w:sz w:val="28"/>
          <w:szCs w:val="28"/>
        </w:rPr>
      </w:pPr>
      <w:r>
        <w:rPr>
          <w:sz w:val="28"/>
          <w:szCs w:val="28"/>
        </w:rPr>
        <w:t xml:space="preserve">The aim of this essay is to take a deeper dive into the effect that seating plans have on engagement in the classroom. I am interested in observing the effect of different seating plans on students and whether they have a positive or negative effect on engagement. This research will influence my future practice in regard to classroom management and ensuring an effective seating plan is in place. </w:t>
      </w:r>
    </w:p>
    <w:p w:rsidR="00B02C40" w:rsidRDefault="00B02C40" w:rsidP="00B02C40">
      <w:pPr>
        <w:rPr>
          <w:sz w:val="28"/>
          <w:szCs w:val="28"/>
        </w:rPr>
      </w:pPr>
    </w:p>
    <w:p w:rsidR="00B02C40" w:rsidRDefault="00B02C40" w:rsidP="00B02C40">
      <w:pPr>
        <w:rPr>
          <w:sz w:val="28"/>
          <w:szCs w:val="28"/>
        </w:rPr>
      </w:pPr>
      <w:r>
        <w:rPr>
          <w:sz w:val="28"/>
          <w:szCs w:val="28"/>
        </w:rPr>
        <w:t xml:space="preserve">In line with BERA guidelines (2018) I will anonymise the school where the research is taking place as school X and participants of the research as child A, B ectara.   The school is based in a deprived area of South Wales. It is an 11-18 comprehensive school with roughly 27% of pupils living in the 20% most deprived areas in Wales and with that, 23% of students are eligible for free school meals (eFSM) (Estyn, 2017). After the most recent Estyn inspection, recommendations were made to improve pupil behaviour and attitudes to learning (Estyn, 2017). </w:t>
      </w:r>
    </w:p>
    <w:p w:rsidR="00B02C40" w:rsidRDefault="00B02C40" w:rsidP="00B02C40">
      <w:pPr>
        <w:rPr>
          <w:sz w:val="28"/>
          <w:szCs w:val="28"/>
        </w:rPr>
      </w:pPr>
    </w:p>
    <w:p w:rsidR="00B02C40" w:rsidRDefault="00B02C40" w:rsidP="00B02C40">
      <w:pPr>
        <w:rPr>
          <w:sz w:val="28"/>
          <w:szCs w:val="28"/>
        </w:rPr>
      </w:pPr>
      <w:r w:rsidRPr="00ED6D34">
        <w:rPr>
          <w:sz w:val="28"/>
          <w:szCs w:val="28"/>
        </w:rPr>
        <w:t xml:space="preserve">The class </w:t>
      </w:r>
      <w:r>
        <w:rPr>
          <w:sz w:val="28"/>
          <w:szCs w:val="28"/>
        </w:rPr>
        <w:t xml:space="preserve">is currently arranged in a seating plan set by the class teacher. The students are sat in rows and some on individual tables. There are 34 pupils in the class and they are set 1 year 8s. The boy girl split is 21 to 13 so nearly 2 thirds of the class are boys. 11 students in the class are identified as being more able and talented (MAT) and 5 are identified as having a special educational need (SEN). </w:t>
      </w:r>
    </w:p>
    <w:p w:rsidR="00B02C40" w:rsidRDefault="00B02C40" w:rsidP="00B02C40">
      <w:pPr>
        <w:rPr>
          <w:sz w:val="28"/>
          <w:szCs w:val="28"/>
        </w:rPr>
      </w:pPr>
    </w:p>
    <w:p w:rsidR="00B02C40" w:rsidRDefault="00B02C40" w:rsidP="00B02C40">
      <w:pPr>
        <w:rPr>
          <w:sz w:val="28"/>
          <w:szCs w:val="28"/>
        </w:rPr>
      </w:pPr>
      <w:r>
        <w:rPr>
          <w:sz w:val="28"/>
          <w:szCs w:val="28"/>
        </w:rPr>
        <w:t xml:space="preserve">During this research project I will be aiming to analyse “How the use seating plans can affect engagement of year 8 set 1 pupils in a Mathematics lesson”. According to Vygotsky’s (1978) theory of the “zone of proximal development” (ZPD) which includes the concept of the “more knowledgeable other” (MKO), whereby the MKO can facilitate learning by supporting and guiding a learner. </w:t>
      </w: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Pr="006714A2" w:rsidRDefault="00B02C40" w:rsidP="00B02C40">
      <w:pPr>
        <w:rPr>
          <w:b/>
          <w:bCs/>
          <w:sz w:val="32"/>
          <w:szCs w:val="32"/>
        </w:rPr>
      </w:pPr>
      <w:r w:rsidRPr="006714A2">
        <w:rPr>
          <w:b/>
          <w:bCs/>
          <w:sz w:val="32"/>
          <w:szCs w:val="32"/>
        </w:rPr>
        <w:t>Overview of literature (734)</w:t>
      </w:r>
      <w:r>
        <w:rPr>
          <w:b/>
          <w:bCs/>
          <w:sz w:val="32"/>
          <w:szCs w:val="32"/>
        </w:rPr>
        <w:t>/ 800</w:t>
      </w:r>
    </w:p>
    <w:p w:rsidR="00B02C40" w:rsidRDefault="00B02C40" w:rsidP="00B02C40">
      <w:pPr>
        <w:rPr>
          <w:b/>
          <w:bCs/>
          <w:sz w:val="28"/>
          <w:szCs w:val="28"/>
        </w:rPr>
      </w:pPr>
    </w:p>
    <w:p w:rsidR="00B02C40" w:rsidRPr="00D1284A" w:rsidRDefault="00B02C40" w:rsidP="00B02C40">
      <w:pPr>
        <w:rPr>
          <w:sz w:val="28"/>
          <w:szCs w:val="28"/>
        </w:rPr>
      </w:pPr>
      <w:r w:rsidRPr="00D1284A">
        <w:rPr>
          <w:sz w:val="28"/>
          <w:szCs w:val="28"/>
        </w:rPr>
        <w:t xml:space="preserve">When </w:t>
      </w:r>
      <w:r>
        <w:rPr>
          <w:sz w:val="28"/>
          <w:szCs w:val="28"/>
        </w:rPr>
        <w:t>observing</w:t>
      </w:r>
      <w:r w:rsidRPr="00D1284A">
        <w:rPr>
          <w:sz w:val="28"/>
          <w:szCs w:val="28"/>
        </w:rPr>
        <w:t xml:space="preserve"> student engagement it is important we define what student engagement looks like in school. In previous generations, teachers may have said </w:t>
      </w:r>
      <w:r>
        <w:rPr>
          <w:sz w:val="28"/>
          <w:szCs w:val="28"/>
        </w:rPr>
        <w:t>silent</w:t>
      </w:r>
      <w:r w:rsidRPr="00D1284A">
        <w:rPr>
          <w:sz w:val="28"/>
          <w:szCs w:val="28"/>
        </w:rPr>
        <w:t xml:space="preserve"> classrooms with rote learning showed the epitome of student engagement however in modern teaching this is far from what we perceive engagement to be. </w:t>
      </w:r>
      <w:r>
        <w:rPr>
          <w:sz w:val="28"/>
          <w:szCs w:val="28"/>
        </w:rPr>
        <w:t xml:space="preserve">According to Kahu (2011), the most common perception of engagement is good student behaviour and teaching practice. Work by </w:t>
      </w:r>
      <w:r>
        <w:rPr>
          <w:sz w:val="28"/>
          <w:szCs w:val="28"/>
        </w:rPr>
        <w:lastRenderedPageBreak/>
        <w:t xml:space="preserve">Fredricks et al (2004) divides engagement up into 3 subcategories. Behavioural engagement, emotional engagement and cognitive engagement. According to Fredricks et al (2004) cognitive engagement is defined as students taking ownership of their own learning, emotional engagement is the enjoyment of a subject and being interested in the content. Finally, behavioural engagement which involves students ability to complete tasks with good effort and focus (Fredricks et al 2004). Even though this research is 20 years old, it is still used as the three pillars of engagement in other research projects. Recent work by Jansen et al (2023) refer back to these three subcategories to underpin their own research and their findings which supported the work of Fredrick et al (2004). </w:t>
      </w:r>
    </w:p>
    <w:p w:rsidR="00B02C40" w:rsidRDefault="00B02C40" w:rsidP="00B02C40">
      <w:pPr>
        <w:rPr>
          <w:sz w:val="28"/>
          <w:szCs w:val="28"/>
        </w:rPr>
      </w:pPr>
    </w:p>
    <w:p w:rsidR="00B02C40" w:rsidRDefault="00B02C40" w:rsidP="00B02C40">
      <w:pPr>
        <w:rPr>
          <w:sz w:val="28"/>
          <w:szCs w:val="28"/>
        </w:rPr>
      </w:pPr>
      <w:r>
        <w:rPr>
          <w:sz w:val="28"/>
          <w:szCs w:val="28"/>
        </w:rPr>
        <w:t xml:space="preserve">There are many factors involved when creating seating plans. A teacher could choose to seat students next to a partner who is more able in order to positively influence to less able student. A teacher may decide that pairing high energy students will calmer students can enable the more high energy student to become more focussed. This section of the report will analyse different studies and opinions on the various ways a classroom can be organised. </w:t>
      </w:r>
    </w:p>
    <w:p w:rsidR="00B02C40" w:rsidRDefault="00B02C40" w:rsidP="00B02C40">
      <w:pPr>
        <w:rPr>
          <w:sz w:val="28"/>
          <w:szCs w:val="28"/>
        </w:rPr>
      </w:pPr>
    </w:p>
    <w:p w:rsidR="00B02C40" w:rsidRDefault="00B02C40" w:rsidP="00B02C40">
      <w:pPr>
        <w:rPr>
          <w:sz w:val="28"/>
          <w:szCs w:val="28"/>
        </w:rPr>
      </w:pPr>
      <w:r>
        <w:rPr>
          <w:sz w:val="28"/>
          <w:szCs w:val="28"/>
        </w:rPr>
        <w:t xml:space="preserve">When it comes to pairing less able students with more able students we are delving into Vygotsky’s theory of the Zone of proximal Development (ZPD) whereby the concept of a more knowledgeable other (MKO) is born. When arranging seating plans in the classroom it is important to note the effect a MKO other can have on the classroom dynamics. Neugebauer et al (2016) mention that an increase in motivation can be seen when a peer succeeds as it provides a view into own personal potential. Huong (2006) conducted an experiment with a MKO and found that the knowledgeable peer was able to facilitate discussion and encouraged opinions, assisted students when necessary and increased the engagement of the less knowledgeable students. </w:t>
      </w:r>
    </w:p>
    <w:p w:rsidR="00B02C40" w:rsidRDefault="00B02C40" w:rsidP="00B02C40">
      <w:pPr>
        <w:rPr>
          <w:sz w:val="28"/>
          <w:szCs w:val="28"/>
        </w:rPr>
      </w:pPr>
    </w:p>
    <w:p w:rsidR="00B02C40" w:rsidRDefault="00B02C40" w:rsidP="00B02C40">
      <w:pPr>
        <w:rPr>
          <w:sz w:val="28"/>
          <w:szCs w:val="28"/>
        </w:rPr>
      </w:pPr>
      <w:r>
        <w:rPr>
          <w:sz w:val="28"/>
          <w:szCs w:val="28"/>
        </w:rPr>
        <w:t xml:space="preserve">Although some literature states MKO have a positive impact on students. It is important to realise the potential negative effects MKO can have on other students. Neubauer et al (2016) state that less knowledgeable peers can potentially engage in upward comparison meaning they compare themselves to the more knowledgeable and highlights to them that their knowledge is lacking. This upward comparison can diminish self-esteem and self-worth but Buchs and Butera (2009) say that this isn’t always a bad thing. Huong (2007) mention that there are gaps in Vygotsky’s ZPD when it comes to the MKO and stating how much </w:t>
      </w:r>
      <w:r w:rsidRPr="001864AF">
        <w:rPr>
          <w:sz w:val="28"/>
          <w:szCs w:val="28"/>
        </w:rPr>
        <w:t xml:space="preserve">more knowledgeable the “other” should be. Abtahi et al (2017) agrees with this and says that there is missing information in Vygotsky’s </w:t>
      </w:r>
      <w:r w:rsidRPr="001864AF">
        <w:rPr>
          <w:sz w:val="28"/>
          <w:szCs w:val="28"/>
        </w:rPr>
        <w:lastRenderedPageBreak/>
        <w:t>ZPD as it is not clear who the MKO is.</w:t>
      </w:r>
      <w:r>
        <w:rPr>
          <w:sz w:val="28"/>
          <w:szCs w:val="28"/>
        </w:rPr>
        <w:t xml:space="preserve"> Huong and Abtahi both specialise in education and classroom interactions and are well-established, respected professors in their field. </w:t>
      </w:r>
    </w:p>
    <w:p w:rsidR="00B02C40" w:rsidRDefault="00B02C40" w:rsidP="00B02C40">
      <w:pPr>
        <w:rPr>
          <w:sz w:val="28"/>
          <w:szCs w:val="28"/>
        </w:rPr>
      </w:pPr>
    </w:p>
    <w:p w:rsidR="00B02C40" w:rsidRDefault="00B02C40" w:rsidP="00B02C40">
      <w:pPr>
        <w:rPr>
          <w:sz w:val="28"/>
          <w:szCs w:val="28"/>
        </w:rPr>
      </w:pPr>
      <w:r>
        <w:rPr>
          <w:sz w:val="28"/>
          <w:szCs w:val="28"/>
        </w:rPr>
        <w:t xml:space="preserve">There is also evidence to suggest that a student’s positioning in a classroom impacts their learning and engagement. According to studies done by Wasendorf et al (2023), students who made their own decision to sit at the back of the classroom had lower attendance rates and lower performance rates than their peers in the middle or front of the class. Interestingly, when the students were asked their reasoning for wanting to sit where they did, students at the back of the class reported they wanted to avoid interactions with the teacher and that they engaged with the lesson material less than those in the middle or front of the class (Wasendorf et al, 2023). The impact of this is that teachers interact and support those who are engaged more than those who are not </w:t>
      </w:r>
      <w:r w:rsidRPr="00DA3CD3">
        <w:rPr>
          <w:sz w:val="28"/>
          <w:szCs w:val="28"/>
          <w:highlight w:val="yellow"/>
        </w:rPr>
        <w:t>(</w:t>
      </w:r>
      <w:r>
        <w:rPr>
          <w:sz w:val="28"/>
          <w:szCs w:val="28"/>
          <w:highlight w:val="yellow"/>
        </w:rPr>
        <w:t xml:space="preserve">check name </w:t>
      </w:r>
      <w:r w:rsidRPr="00DA3CD3">
        <w:rPr>
          <w:sz w:val="28"/>
          <w:szCs w:val="28"/>
          <w:highlight w:val="yellow"/>
        </w:rPr>
        <w:t>DONG ZHE ET AL, 2021).</w:t>
      </w:r>
      <w:r>
        <w:rPr>
          <w:sz w:val="28"/>
          <w:szCs w:val="28"/>
        </w:rPr>
        <w:t xml:space="preserve"> Those at the front reported they could see and hear the teacher more clearly and were able to ask more questions (Wasendorf et al, 2023). Studies completed by Sanders (2013) found that when classrooms were designed in rows, students were more focussed on the content as they didn’t have as many distractions as when tables were grouped and facing each other. </w:t>
      </w:r>
    </w:p>
    <w:p w:rsidR="00B02C40" w:rsidRDefault="00B02C40" w:rsidP="00B02C40">
      <w:pPr>
        <w:rPr>
          <w:sz w:val="28"/>
          <w:szCs w:val="28"/>
        </w:rPr>
      </w:pPr>
    </w:p>
    <w:p w:rsidR="00B02C40" w:rsidRDefault="00B02C40" w:rsidP="00B02C40">
      <w:pPr>
        <w:rPr>
          <w:sz w:val="28"/>
          <w:szCs w:val="28"/>
        </w:rPr>
      </w:pPr>
      <w:r w:rsidRPr="00EB3232">
        <w:rPr>
          <w:sz w:val="28"/>
          <w:szCs w:val="28"/>
          <w:highlight w:val="yellow"/>
        </w:rPr>
        <w:t>WRITE MORE ABOUT POSITION IN CLASS</w:t>
      </w:r>
    </w:p>
    <w:p w:rsidR="00B02C40" w:rsidRDefault="00B02C40" w:rsidP="00B02C40">
      <w:pPr>
        <w:rPr>
          <w:sz w:val="28"/>
          <w:szCs w:val="28"/>
        </w:rPr>
      </w:pPr>
    </w:p>
    <w:p w:rsidR="00B02C40" w:rsidRPr="00F35D65" w:rsidRDefault="00B02C40" w:rsidP="00B02C40">
      <w:pPr>
        <w:rPr>
          <w:sz w:val="28"/>
          <w:szCs w:val="28"/>
        </w:rPr>
      </w:pPr>
      <w:r>
        <w:rPr>
          <w:sz w:val="28"/>
          <w:szCs w:val="28"/>
        </w:rPr>
        <w:t>The extent to which location of students in a classroom effects engagement has not been widely researched so I plan to fill gaps in current literature regarding engagement and seating plans.</w:t>
      </w:r>
    </w:p>
    <w:p w:rsidR="00B02C40" w:rsidRDefault="00B02C40" w:rsidP="00B02C40">
      <w:pPr>
        <w:rPr>
          <w:sz w:val="28"/>
          <w:szCs w:val="28"/>
        </w:rPr>
      </w:pPr>
    </w:p>
    <w:p w:rsidR="00B02C40" w:rsidRPr="006714A2" w:rsidRDefault="00B02C40" w:rsidP="00B02C40">
      <w:pPr>
        <w:rPr>
          <w:b/>
          <w:bCs/>
          <w:sz w:val="32"/>
          <w:szCs w:val="32"/>
        </w:rPr>
      </w:pPr>
      <w:r w:rsidRPr="006714A2">
        <w:rPr>
          <w:b/>
          <w:bCs/>
          <w:sz w:val="32"/>
          <w:szCs w:val="32"/>
        </w:rPr>
        <w:t xml:space="preserve">Explain Case </w:t>
      </w:r>
      <w:r>
        <w:rPr>
          <w:b/>
          <w:bCs/>
          <w:sz w:val="32"/>
          <w:szCs w:val="32"/>
        </w:rPr>
        <w:t>S</w:t>
      </w:r>
      <w:r w:rsidRPr="006714A2">
        <w:rPr>
          <w:b/>
          <w:bCs/>
          <w:sz w:val="32"/>
          <w:szCs w:val="32"/>
        </w:rPr>
        <w:t>tudy</w:t>
      </w:r>
      <w:r>
        <w:rPr>
          <w:b/>
          <w:bCs/>
          <w:sz w:val="32"/>
          <w:szCs w:val="32"/>
        </w:rPr>
        <w:t xml:space="preserve"> </w:t>
      </w:r>
    </w:p>
    <w:p w:rsidR="00B02C40" w:rsidRPr="00F35D65" w:rsidRDefault="00B02C40" w:rsidP="00B02C40">
      <w:pPr>
        <w:rPr>
          <w:sz w:val="28"/>
          <w:szCs w:val="28"/>
        </w:rPr>
      </w:pPr>
    </w:p>
    <w:p w:rsidR="00B02C40" w:rsidRDefault="00B02C40" w:rsidP="00B02C40">
      <w:pPr>
        <w:rPr>
          <w:sz w:val="28"/>
          <w:szCs w:val="28"/>
        </w:rPr>
      </w:pPr>
      <w:r>
        <w:rPr>
          <w:sz w:val="28"/>
          <w:szCs w:val="28"/>
        </w:rPr>
        <w:t xml:space="preserve">The term ‘Case Study’ is rather broad in its’ definition. There are three main types of case study. An evaluative case study, exploratory case study and an explanatory case study. For the purposes of this research, an exploratory case study will be used to consider the effects seating plans can have on engagement of pupils. An exploratory case is developed when a minimal amount is known about the topic and the aim is to delve deeper into said topic. In an exploratory case we have a need for understanding and feel quizzical about a certain question around a topic and therefore studying a case gives us insight into our research question (Stake, 1995). Exploratory case studies have one main research question and the case study’s main objective is to focus upon that question in order to bring more clarity around the topic.  </w:t>
      </w:r>
      <w:r>
        <w:rPr>
          <w:sz w:val="28"/>
          <w:szCs w:val="28"/>
        </w:rPr>
        <w:lastRenderedPageBreak/>
        <w:t xml:space="preserve">Although case studies are used extensively in qualitative research they do not have the reputation as being a legitimate research strategy. Therefore, there are several interpretations of what the term ‘case study’ means (Yazan, 2015). </w:t>
      </w:r>
    </w:p>
    <w:p w:rsidR="00B02C40" w:rsidRDefault="00B02C40" w:rsidP="00B02C40">
      <w:pPr>
        <w:rPr>
          <w:sz w:val="28"/>
          <w:szCs w:val="28"/>
        </w:rPr>
      </w:pPr>
    </w:p>
    <w:p w:rsidR="00B02C40" w:rsidRDefault="00B02C40" w:rsidP="00B02C40">
      <w:pPr>
        <w:rPr>
          <w:sz w:val="28"/>
          <w:szCs w:val="28"/>
        </w:rPr>
      </w:pPr>
      <w:r>
        <w:rPr>
          <w:sz w:val="28"/>
          <w:szCs w:val="28"/>
        </w:rPr>
        <w:t xml:space="preserve">Stake (1995) highlights the importance of awareness that a ‘case study’ is an individual researcher’s interpretation of events and that the researcher has the freedom to report on what they find significant during their inquiries. The ability and willingness to present other views and potential interpretations is the starting point of a good case study (Stake, 1998). Yazan (2015) explains that a Stakian perspective of case studies the researcher should always be aware of the other realities of the reader and that knowledge presented from case study could be interpreted differently to readers. </w:t>
      </w:r>
    </w:p>
    <w:p w:rsidR="00B02C40" w:rsidRDefault="00B02C40" w:rsidP="00B02C40">
      <w:pPr>
        <w:rPr>
          <w:sz w:val="28"/>
          <w:szCs w:val="28"/>
        </w:rPr>
      </w:pPr>
    </w:p>
    <w:p w:rsidR="00B02C40" w:rsidRPr="00F35D65" w:rsidRDefault="00B02C40" w:rsidP="00B02C40">
      <w:pPr>
        <w:rPr>
          <w:sz w:val="28"/>
          <w:szCs w:val="28"/>
        </w:rPr>
      </w:pPr>
      <w:r>
        <w:rPr>
          <w:sz w:val="28"/>
          <w:szCs w:val="28"/>
        </w:rPr>
        <w:t xml:space="preserve">Merriam’s (1998) view of case studies links closely with stakes when taking into account the realisation of other interpretations of research. However, she believes that the research being conducted and report written should not be influenced by the readers’ involvement in the literature and should be a true reflection of the researchers interpretation of results (Yazan, 2015). </w:t>
      </w:r>
    </w:p>
    <w:p w:rsidR="00B02C40" w:rsidRPr="00F35D65" w:rsidRDefault="00B02C40" w:rsidP="00B02C40">
      <w:pPr>
        <w:rPr>
          <w:sz w:val="28"/>
          <w:szCs w:val="28"/>
        </w:rPr>
      </w:pPr>
    </w:p>
    <w:p w:rsidR="00B02C40" w:rsidRDefault="00B02C40" w:rsidP="00B02C40">
      <w:pPr>
        <w:rPr>
          <w:sz w:val="28"/>
          <w:szCs w:val="28"/>
        </w:rPr>
      </w:pPr>
      <w:r>
        <w:rPr>
          <w:sz w:val="28"/>
          <w:szCs w:val="28"/>
        </w:rPr>
        <w:t xml:space="preserve">Yin (2003) believes that in order to develop a successful case study quality control is essential, including internal validity, external validity, construct validity and finally reliability. This is important in research to be able to create a strong rational for the outcome of the research. He suggests developing two case studies in order to strengthen the argument, however due to the nature of this research project there will only be resources available to complete one case study. </w:t>
      </w:r>
    </w:p>
    <w:p w:rsidR="00B02C40" w:rsidRDefault="00B02C40" w:rsidP="00B02C40">
      <w:pPr>
        <w:rPr>
          <w:sz w:val="28"/>
          <w:szCs w:val="28"/>
        </w:rPr>
      </w:pPr>
    </w:p>
    <w:p w:rsidR="00B02C40" w:rsidRDefault="00B02C40" w:rsidP="00B02C40">
      <w:pPr>
        <w:rPr>
          <w:sz w:val="28"/>
          <w:szCs w:val="28"/>
        </w:rPr>
      </w:pPr>
      <w:r>
        <w:rPr>
          <w:sz w:val="28"/>
          <w:szCs w:val="28"/>
        </w:rPr>
        <w:t xml:space="preserve">As a case study is built around the individual researcher’s perspective, it is worth noting that the way in which one person may interpret data and results, may result in contrasting views amongst readers. However, a case study can be an essential part of research. The opportunity to create a reality in which participants can be observed and questioned with the objective to define a research question further. </w:t>
      </w:r>
    </w:p>
    <w:p w:rsidR="00B02C40" w:rsidRDefault="00B02C40" w:rsidP="00B02C40">
      <w:pPr>
        <w:rPr>
          <w:sz w:val="28"/>
          <w:szCs w:val="28"/>
        </w:rPr>
      </w:pPr>
    </w:p>
    <w:p w:rsidR="00B02C40" w:rsidRDefault="00B02C40" w:rsidP="00B02C40">
      <w:pPr>
        <w:rPr>
          <w:sz w:val="28"/>
          <w:szCs w:val="28"/>
        </w:rPr>
      </w:pPr>
      <w:r>
        <w:rPr>
          <w:sz w:val="28"/>
          <w:szCs w:val="28"/>
        </w:rPr>
        <w:t xml:space="preserve">The participants in this case study will be 12/13 year old school children. The year 8 class that will be used is very boy dominant and has a girl to boy ratio of roughly 1:3. After receiving consent forms, my sample size became even more skewed in terms of gender. To secure a representative sample I chose participants via convenience sampling and gained a sample of 8 participants, 7 boys and 1 girl. Convenience sampling was chosen to ensure I had a wide </w:t>
      </w:r>
      <w:r>
        <w:rPr>
          <w:sz w:val="28"/>
          <w:szCs w:val="28"/>
        </w:rPr>
        <w:lastRenderedPageBreak/>
        <w:t>spread sample across the classroom to analyse the participants across the front, middle and back of the room.</w:t>
      </w:r>
    </w:p>
    <w:p w:rsidR="00B02C40" w:rsidRDefault="00B02C40" w:rsidP="00B02C40">
      <w:pPr>
        <w:rPr>
          <w:sz w:val="28"/>
          <w:szCs w:val="28"/>
        </w:rPr>
      </w:pPr>
    </w:p>
    <w:p w:rsidR="00B02C40" w:rsidRDefault="00B02C40" w:rsidP="00B02C40">
      <w:pPr>
        <w:rPr>
          <w:b/>
          <w:bCs/>
          <w:sz w:val="32"/>
          <w:szCs w:val="32"/>
        </w:rPr>
      </w:pPr>
      <w:r w:rsidRPr="00C95B0C">
        <w:rPr>
          <w:b/>
          <w:bCs/>
          <w:sz w:val="32"/>
          <w:szCs w:val="32"/>
        </w:rPr>
        <w:t>Research methods</w:t>
      </w:r>
      <w:r>
        <w:rPr>
          <w:b/>
          <w:bCs/>
          <w:sz w:val="32"/>
          <w:szCs w:val="32"/>
        </w:rPr>
        <w:t xml:space="preserve"> (753)/ 1000</w:t>
      </w:r>
    </w:p>
    <w:p w:rsidR="00B02C40" w:rsidRDefault="00B02C40" w:rsidP="00B02C40">
      <w:pPr>
        <w:rPr>
          <w:b/>
          <w:bCs/>
          <w:sz w:val="32"/>
          <w:szCs w:val="32"/>
        </w:rPr>
      </w:pPr>
    </w:p>
    <w:p w:rsidR="00B02C40" w:rsidRDefault="00B02C40" w:rsidP="00B02C40">
      <w:pPr>
        <w:rPr>
          <w:sz w:val="28"/>
          <w:szCs w:val="28"/>
        </w:rPr>
      </w:pPr>
      <w:r>
        <w:rPr>
          <w:sz w:val="28"/>
          <w:szCs w:val="28"/>
        </w:rPr>
        <w:t xml:space="preserve">In order to provide a comprehensive report on the effects seating plans have in regards to engagement in a classroom, a mixture of questionnaires and observation schedules will be used. </w:t>
      </w:r>
    </w:p>
    <w:p w:rsidR="00B02C40" w:rsidRDefault="00B02C40" w:rsidP="00B02C40">
      <w:pPr>
        <w:rPr>
          <w:sz w:val="28"/>
          <w:szCs w:val="28"/>
        </w:rPr>
      </w:pPr>
    </w:p>
    <w:p w:rsidR="00B02C40" w:rsidRDefault="00B02C40" w:rsidP="00B02C40">
      <w:pPr>
        <w:rPr>
          <w:sz w:val="28"/>
          <w:szCs w:val="28"/>
        </w:rPr>
      </w:pPr>
      <w:r>
        <w:rPr>
          <w:sz w:val="28"/>
          <w:szCs w:val="28"/>
        </w:rPr>
        <w:t xml:space="preserve">The use of questionnaires as a research method has increased in line with the rise in web-based technology over the past 20 years (Lund 2020). There are many ways in which questionnaires can be used to collect data. Multiple choice answers, open ended answers, tick boxes scales and more. The Likert scale is a popular choice when constructing a questionnaire and one which will be used when carrying out questionnaires during the research period. </w:t>
      </w:r>
    </w:p>
    <w:p w:rsidR="00B02C40" w:rsidRDefault="00B02C40" w:rsidP="00B02C40">
      <w:pPr>
        <w:rPr>
          <w:sz w:val="28"/>
          <w:szCs w:val="28"/>
        </w:rPr>
      </w:pPr>
    </w:p>
    <w:p w:rsidR="00B02C40" w:rsidRDefault="00B02C40" w:rsidP="00B02C40">
      <w:pPr>
        <w:rPr>
          <w:sz w:val="28"/>
          <w:szCs w:val="28"/>
        </w:rPr>
      </w:pPr>
      <w:r>
        <w:rPr>
          <w:sz w:val="28"/>
          <w:szCs w:val="28"/>
        </w:rPr>
        <w:t xml:space="preserve">Eckerdal and Hagstrom (2016) state the importance of ensuring the questions within a questionnaire are self-explanatory and the participant is able to deduce what is asked of them. Questionnaires require  careful thought and process to ensure that the respondent is able to formulate, transmit and articulate their answers soundly (Stone, 1993). Stone (1993) states that in order for the respondent to be able to form a valid response, the questions in a </w:t>
      </w:r>
      <w:r w:rsidRPr="00D93DF9">
        <w:rPr>
          <w:sz w:val="28"/>
          <w:szCs w:val="28"/>
          <w:highlight w:val="yellow"/>
        </w:rPr>
        <w:t>questionnaire should be recorded, coded and analysed without bias, error or misrepresentation of the respondents views.</w:t>
      </w:r>
      <w:r>
        <w:rPr>
          <w:sz w:val="28"/>
          <w:szCs w:val="28"/>
        </w:rPr>
        <w:t xml:space="preserve">  The importance of questions being unbiased is vital in gaining quality data, questions should be neutral and not lead the respondent to answer the question a certain way(Stone, 1993). Although Stone’s (1993) paper on how to design a questionnaire is over 30 years old, the content remains relevant to the modern era. Stone has written several papers on research within the medical field, however his thoughts on questionnaires can be modified for education too. </w:t>
      </w:r>
    </w:p>
    <w:p w:rsidR="00B02C40" w:rsidRDefault="00B02C40" w:rsidP="00B02C40">
      <w:pPr>
        <w:rPr>
          <w:sz w:val="28"/>
          <w:szCs w:val="28"/>
        </w:rPr>
      </w:pPr>
    </w:p>
    <w:p w:rsidR="00B02C40" w:rsidRDefault="00B02C40" w:rsidP="00B02C40">
      <w:pPr>
        <w:rPr>
          <w:sz w:val="28"/>
          <w:szCs w:val="28"/>
        </w:rPr>
      </w:pPr>
      <w:r>
        <w:rPr>
          <w:sz w:val="28"/>
          <w:szCs w:val="28"/>
        </w:rPr>
        <w:t xml:space="preserve">Observing activity within a classroom is a fantastic way to gain insight into how they respond to a lesson in a non-verbal way </w:t>
      </w:r>
      <w:r w:rsidRPr="005B5516">
        <w:rPr>
          <w:sz w:val="28"/>
          <w:szCs w:val="28"/>
          <w:highlight w:val="yellow"/>
        </w:rPr>
        <w:t>(REFERENCE)</w:t>
      </w:r>
      <w:r>
        <w:rPr>
          <w:sz w:val="28"/>
          <w:szCs w:val="28"/>
        </w:rPr>
        <w:t xml:space="preserve">. After comprising an observation schedule, observations of the participants will take place within the class. One of the limitations of observations of the class as a research method lie in the inability of the teacher to have full attention on the participants at all time. This is confirmed by Baker (2006) who says that observations can be a complex way to gain data in research as it is necessary for the researcher to take on multiple roles. In the case of this research, the </w:t>
      </w:r>
      <w:r>
        <w:rPr>
          <w:sz w:val="28"/>
          <w:szCs w:val="28"/>
        </w:rPr>
        <w:lastRenderedPageBreak/>
        <w:t xml:space="preserve">teacher will also have the role of teaching the class while also being the observer. This is known as being a ‘participant observer’. </w:t>
      </w:r>
    </w:p>
    <w:p w:rsidR="00B02C40" w:rsidRDefault="00B02C40" w:rsidP="00B02C40">
      <w:pPr>
        <w:rPr>
          <w:sz w:val="28"/>
          <w:szCs w:val="28"/>
        </w:rPr>
      </w:pPr>
    </w:p>
    <w:p w:rsidR="00B02C40" w:rsidRDefault="00B02C40" w:rsidP="00B02C40">
      <w:pPr>
        <w:rPr>
          <w:sz w:val="28"/>
          <w:szCs w:val="28"/>
        </w:rPr>
      </w:pPr>
      <w:r>
        <w:rPr>
          <w:sz w:val="28"/>
          <w:szCs w:val="28"/>
        </w:rPr>
        <w:t xml:space="preserve">The choice to use questionnaires and observations was a tactful one. Due to the nature of the class where research is being conducted and it being in a secondary school, time is a limited factor. </w:t>
      </w:r>
    </w:p>
    <w:p w:rsidR="00B02C40" w:rsidRDefault="00B02C40" w:rsidP="00B02C40">
      <w:pPr>
        <w:rPr>
          <w:sz w:val="28"/>
          <w:szCs w:val="28"/>
        </w:rPr>
      </w:pPr>
    </w:p>
    <w:p w:rsidR="00B02C40" w:rsidRDefault="00B02C40" w:rsidP="00B02C40">
      <w:pPr>
        <w:rPr>
          <w:sz w:val="28"/>
          <w:szCs w:val="28"/>
        </w:rPr>
      </w:pPr>
      <w:r>
        <w:rPr>
          <w:sz w:val="28"/>
          <w:szCs w:val="28"/>
        </w:rPr>
        <w:t xml:space="preserve">Questionnaires are chosen on the grounds that they can be a quick, easy way to get data from the participants. A Likert scale will be used to track the participants answers. The scale, when asking participants about their experience, will be from 0 (being low) and 5 (being high). Not giving the option of a middle score is purposeful so as to encourage the participants to think about whether they felt more strongly or less strongly about the question. A trichotomous scale gives participants the option for neutrality. The length of the likert scale can influence the participants’ process where they map their view onto the scale, one may interpret the scale differently to another causing a skew in the data (Krosnick and Presser, 2010). </w:t>
      </w:r>
    </w:p>
    <w:p w:rsidR="00B02C40" w:rsidRDefault="00B02C40" w:rsidP="00B02C40">
      <w:pPr>
        <w:rPr>
          <w:sz w:val="28"/>
          <w:szCs w:val="28"/>
        </w:rPr>
      </w:pPr>
    </w:p>
    <w:p w:rsidR="00B02C40" w:rsidRDefault="00B02C40" w:rsidP="00B02C40">
      <w:pPr>
        <w:rPr>
          <w:sz w:val="28"/>
          <w:szCs w:val="28"/>
        </w:rPr>
      </w:pPr>
      <w:r>
        <w:rPr>
          <w:sz w:val="28"/>
          <w:szCs w:val="28"/>
        </w:rPr>
        <w:t>The questionnaires will require participants names therefore the impact of this must be highlighted. Participants may feel they cannot answer questions totally honestly so as to not affect the relationship between themselves and the teacher/researcher. They may feel answering negatively could have a negative impact on their outcome as students, also known as the social desirability bias (Kreitchmann et al, 2019). Names are required in this specific research so the location of the participant in the class is known in the data.</w:t>
      </w:r>
    </w:p>
    <w:p w:rsidR="00B02C40" w:rsidRDefault="00B02C40" w:rsidP="00B02C40">
      <w:pPr>
        <w:rPr>
          <w:sz w:val="28"/>
          <w:szCs w:val="28"/>
        </w:rPr>
      </w:pPr>
    </w:p>
    <w:p w:rsidR="00B02C40" w:rsidRDefault="00B02C40" w:rsidP="00B02C40">
      <w:pPr>
        <w:rPr>
          <w:sz w:val="28"/>
          <w:szCs w:val="28"/>
        </w:rPr>
      </w:pPr>
      <w:r>
        <w:rPr>
          <w:sz w:val="28"/>
          <w:szCs w:val="28"/>
        </w:rPr>
        <w:t xml:space="preserve">Observing the participants will take place via an observation schedule. The observation schedule has been developed with the objective of seeing how the pupils interact with the lesson throughout the hour. Ticking when each section of the observation schedule is seen to mitigate the problem of having two roles as an observer and teacher. It decreases the time needed to be making continuous notes as the lesson progresses and maintaining detached and involved at the same time (Baker, 2006). </w:t>
      </w:r>
    </w:p>
    <w:p w:rsidR="00B02C40" w:rsidRDefault="00B02C40" w:rsidP="00B02C40">
      <w:pPr>
        <w:rPr>
          <w:sz w:val="28"/>
          <w:szCs w:val="28"/>
        </w:rPr>
      </w:pPr>
    </w:p>
    <w:p w:rsidR="00B02C40" w:rsidRDefault="00B02C40" w:rsidP="00B02C40">
      <w:pPr>
        <w:rPr>
          <w:sz w:val="28"/>
          <w:szCs w:val="28"/>
        </w:rPr>
      </w:pPr>
      <w:r>
        <w:rPr>
          <w:sz w:val="28"/>
          <w:szCs w:val="28"/>
        </w:rPr>
        <w:t xml:space="preserve">Having an informal relationship with the participants already gives the participants a more natural environment in which the research is taking place which increases validity of the data being collected (Cohen et al, 2016).  </w:t>
      </w:r>
      <w:r w:rsidRPr="004D4100">
        <w:rPr>
          <w:sz w:val="28"/>
          <w:szCs w:val="28"/>
          <w:highlight w:val="yellow"/>
        </w:rPr>
        <w:t>MORE ABOUT OBSERVATION</w:t>
      </w:r>
    </w:p>
    <w:p w:rsidR="00B02C40" w:rsidRDefault="00B02C40" w:rsidP="00B02C40">
      <w:pPr>
        <w:rPr>
          <w:sz w:val="28"/>
          <w:szCs w:val="28"/>
        </w:rPr>
      </w:pPr>
    </w:p>
    <w:p w:rsidR="00B02C40" w:rsidRDefault="00B02C40" w:rsidP="00B02C40">
      <w:pPr>
        <w:rPr>
          <w:b/>
          <w:bCs/>
          <w:sz w:val="32"/>
          <w:szCs w:val="32"/>
        </w:rPr>
      </w:pPr>
      <w:r w:rsidRPr="00D61D8A">
        <w:rPr>
          <w:b/>
          <w:bCs/>
          <w:sz w:val="32"/>
          <w:szCs w:val="32"/>
        </w:rPr>
        <w:t>Data presentation and analysis method</w:t>
      </w:r>
      <w:r>
        <w:rPr>
          <w:b/>
          <w:bCs/>
          <w:sz w:val="32"/>
          <w:szCs w:val="32"/>
        </w:rPr>
        <w:t xml:space="preserve"> (188)/ 400</w:t>
      </w:r>
    </w:p>
    <w:p w:rsidR="00B02C40" w:rsidRDefault="00B02C40" w:rsidP="00B02C40">
      <w:pPr>
        <w:rPr>
          <w:b/>
          <w:bCs/>
          <w:sz w:val="32"/>
          <w:szCs w:val="32"/>
        </w:rPr>
      </w:pPr>
    </w:p>
    <w:p w:rsidR="00B02C40" w:rsidRDefault="00B02C40" w:rsidP="00B02C40">
      <w:pPr>
        <w:rPr>
          <w:sz w:val="28"/>
          <w:szCs w:val="28"/>
        </w:rPr>
      </w:pPr>
      <w:r>
        <w:rPr>
          <w:sz w:val="28"/>
          <w:szCs w:val="28"/>
        </w:rPr>
        <w:t xml:space="preserve">The use of questionnaires serve as a quantitative method of collecting data. Although observations can be both quantitative and qualitative, the way in which the observations for this research will take place will warrant the collection of quantitative data. </w:t>
      </w:r>
    </w:p>
    <w:p w:rsidR="00B02C40" w:rsidRDefault="00B02C40" w:rsidP="00B02C40">
      <w:pPr>
        <w:rPr>
          <w:sz w:val="28"/>
          <w:szCs w:val="28"/>
        </w:rPr>
      </w:pPr>
    </w:p>
    <w:p w:rsidR="00B02C40" w:rsidRDefault="00B02C40" w:rsidP="00B02C40">
      <w:pPr>
        <w:rPr>
          <w:sz w:val="28"/>
          <w:szCs w:val="28"/>
        </w:rPr>
      </w:pPr>
      <w:r>
        <w:rPr>
          <w:sz w:val="28"/>
          <w:szCs w:val="28"/>
        </w:rPr>
        <w:t xml:space="preserve">The data collected for each question of the questionnaire will be presented in a bar chart and compared via individuals. As all questions in the questionnaire are indications of engagement, an average score for each question and the total questionnaire will be taken for the groups: front, (FG) middle (MG) and back (BG). These will be compared to each other to give an overall view of the engagement for each section of the classroom. </w:t>
      </w:r>
    </w:p>
    <w:p w:rsidR="00B02C40" w:rsidRDefault="00B02C40" w:rsidP="00B02C40">
      <w:pPr>
        <w:rPr>
          <w:sz w:val="28"/>
          <w:szCs w:val="28"/>
        </w:rPr>
      </w:pPr>
    </w:p>
    <w:p w:rsidR="00B02C40" w:rsidRDefault="00B02C40" w:rsidP="00B02C40">
      <w:pPr>
        <w:rPr>
          <w:rFonts w:cstheme="minorHAnsi"/>
          <w:sz w:val="28"/>
          <w:szCs w:val="28"/>
        </w:rPr>
      </w:pPr>
      <w:r>
        <w:rPr>
          <w:sz w:val="28"/>
          <w:szCs w:val="28"/>
        </w:rPr>
        <w:t xml:space="preserve">The data collected from observations will also be presented in a bar chart using a scale of 1-5 where 1 is low engagement and </w:t>
      </w:r>
      <w:r w:rsidRPr="005976DB">
        <w:rPr>
          <w:sz w:val="28"/>
          <w:szCs w:val="28"/>
        </w:rPr>
        <w:t xml:space="preserve">5 is </w:t>
      </w:r>
      <w:r>
        <w:rPr>
          <w:rFonts w:cstheme="minorHAnsi"/>
          <w:sz w:val="28"/>
          <w:szCs w:val="28"/>
        </w:rPr>
        <w:t>s</w:t>
      </w:r>
      <w:r w:rsidRPr="005976DB">
        <w:rPr>
          <w:rFonts w:cstheme="minorHAnsi"/>
          <w:sz w:val="28"/>
          <w:szCs w:val="28"/>
        </w:rPr>
        <w:t>ustained intense activity</w:t>
      </w:r>
      <w:r>
        <w:rPr>
          <w:rFonts w:cstheme="minorHAnsi"/>
          <w:sz w:val="28"/>
          <w:szCs w:val="28"/>
        </w:rPr>
        <w:t xml:space="preserve">. </w:t>
      </w:r>
    </w:p>
    <w:p w:rsidR="00B02C40" w:rsidRDefault="00B02C40" w:rsidP="00B02C40">
      <w:pPr>
        <w:rPr>
          <w:rFonts w:cstheme="minorHAnsi"/>
          <w:sz w:val="28"/>
          <w:szCs w:val="28"/>
        </w:rPr>
      </w:pPr>
    </w:p>
    <w:p w:rsidR="00B02C40" w:rsidRPr="009C0A9B" w:rsidRDefault="00B02C40" w:rsidP="00B02C40">
      <w:pPr>
        <w:rPr>
          <w:rFonts w:cstheme="minorHAnsi"/>
          <w:sz w:val="28"/>
          <w:szCs w:val="28"/>
        </w:rPr>
      </w:pPr>
      <w:r>
        <w:rPr>
          <w:rFonts w:cstheme="minorHAnsi"/>
          <w:sz w:val="28"/>
          <w:szCs w:val="28"/>
        </w:rPr>
        <w:t xml:space="preserve">Bar charts are a useful tool in comparing results amongst categories and in this case, grouped data (He et al, 2018). To ensure credible data, the questions in the questionnaire are proof read so as to confirm no questions are leading questions (Forero et al, 2018). </w:t>
      </w:r>
    </w:p>
    <w:p w:rsidR="00B02C40" w:rsidRDefault="00B02C40" w:rsidP="00B02C40">
      <w:pPr>
        <w:rPr>
          <w:sz w:val="28"/>
          <w:szCs w:val="28"/>
        </w:rPr>
      </w:pPr>
    </w:p>
    <w:p w:rsidR="00B02C40" w:rsidRDefault="00B02C40" w:rsidP="00B02C40">
      <w:pPr>
        <w:rPr>
          <w:b/>
          <w:bCs/>
          <w:sz w:val="32"/>
          <w:szCs w:val="32"/>
        </w:rPr>
      </w:pPr>
      <w:r w:rsidRPr="003046B5">
        <w:rPr>
          <w:b/>
          <w:bCs/>
          <w:sz w:val="32"/>
          <w:szCs w:val="32"/>
        </w:rPr>
        <w:t>Ethics of Research</w:t>
      </w:r>
      <w:r>
        <w:rPr>
          <w:b/>
          <w:bCs/>
          <w:sz w:val="32"/>
          <w:szCs w:val="32"/>
        </w:rPr>
        <w:t xml:space="preserve"> </w:t>
      </w:r>
    </w:p>
    <w:p w:rsidR="00B02C40" w:rsidRDefault="00B02C40" w:rsidP="00B02C40">
      <w:pPr>
        <w:rPr>
          <w:b/>
          <w:bCs/>
          <w:sz w:val="32"/>
          <w:szCs w:val="32"/>
        </w:rPr>
      </w:pPr>
    </w:p>
    <w:p w:rsidR="00B02C40" w:rsidRDefault="00B02C40" w:rsidP="00B02C40">
      <w:pPr>
        <w:rPr>
          <w:sz w:val="28"/>
          <w:szCs w:val="28"/>
        </w:rPr>
      </w:pPr>
      <w:r>
        <w:rPr>
          <w:sz w:val="28"/>
          <w:szCs w:val="28"/>
        </w:rPr>
        <w:t xml:space="preserve">It is important to consider the ethics of any research that is taking place. During the research and writing the report all notes, aside from requesting names on the questionnaires, will be anonymised at the source in line with BERA ethical guidelines (2018). This includes any participant’s names, the school’s names and anything else that could identify a participant or the school where the research is taking place. </w:t>
      </w:r>
    </w:p>
    <w:p w:rsidR="00B02C40" w:rsidRDefault="00B02C40" w:rsidP="00B02C40">
      <w:pPr>
        <w:rPr>
          <w:sz w:val="28"/>
          <w:szCs w:val="28"/>
        </w:rPr>
      </w:pPr>
    </w:p>
    <w:p w:rsidR="00B02C40" w:rsidRDefault="00B02C40" w:rsidP="00B02C40">
      <w:pPr>
        <w:rPr>
          <w:sz w:val="28"/>
          <w:szCs w:val="28"/>
        </w:rPr>
      </w:pPr>
      <w:r>
        <w:rPr>
          <w:sz w:val="28"/>
          <w:szCs w:val="28"/>
        </w:rPr>
        <w:t xml:space="preserve">In order to gain pupil assent, parents are contacted via an online form which details the information about the research and a form which they are to fill out if they are happy for their children to participate. Once this is complete, pupils are given an information sheet with simplified language to ensure they understand the nature of the research and requires them to sign if they are happy to participate. At the end of the online questionnaire, assent is required again via a tick box to signal that they are still happy to be involved in the research. Participants and parents are aware of their rights to withdraw at any time without reason or repercussions. </w:t>
      </w:r>
      <w:r w:rsidRPr="009E251B">
        <w:rPr>
          <w:sz w:val="28"/>
          <w:szCs w:val="28"/>
          <w:highlight w:val="yellow"/>
        </w:rPr>
        <w:t>WRITE ABOUT ETHICS FORM IN APPENDIX</w:t>
      </w:r>
    </w:p>
    <w:p w:rsidR="00B02C40" w:rsidRDefault="00B02C40" w:rsidP="00B02C40">
      <w:pPr>
        <w:rPr>
          <w:sz w:val="28"/>
          <w:szCs w:val="28"/>
        </w:rPr>
      </w:pPr>
    </w:p>
    <w:p w:rsidR="00B02C40" w:rsidRDefault="00B02C40" w:rsidP="00B02C40">
      <w:pPr>
        <w:rPr>
          <w:sz w:val="28"/>
          <w:szCs w:val="28"/>
        </w:rPr>
      </w:pPr>
      <w:r>
        <w:rPr>
          <w:sz w:val="28"/>
          <w:szCs w:val="28"/>
        </w:rPr>
        <w:t xml:space="preserve">Questionnaires will not be anonymised as in order to analyse results and data, the location of each participant in the room needs to be known. Observation schedule however will be </w:t>
      </w:r>
      <w:r w:rsidRPr="00D2039E">
        <w:rPr>
          <w:sz w:val="28"/>
          <w:szCs w:val="28"/>
        </w:rPr>
        <w:t>anonymised at the source.</w:t>
      </w:r>
      <w:r>
        <w:rPr>
          <w:sz w:val="28"/>
          <w:szCs w:val="28"/>
        </w:rPr>
        <w:t xml:space="preserve"> </w:t>
      </w:r>
    </w:p>
    <w:p w:rsidR="00B02C40" w:rsidRDefault="00B02C40" w:rsidP="00B02C40">
      <w:pPr>
        <w:rPr>
          <w:sz w:val="28"/>
          <w:szCs w:val="28"/>
        </w:rPr>
      </w:pPr>
    </w:p>
    <w:p w:rsidR="00B02C40" w:rsidRDefault="00B02C40" w:rsidP="00B02C40">
      <w:pPr>
        <w:rPr>
          <w:sz w:val="28"/>
          <w:szCs w:val="28"/>
        </w:rPr>
      </w:pPr>
      <w:r>
        <w:rPr>
          <w:sz w:val="28"/>
          <w:szCs w:val="28"/>
        </w:rPr>
        <w:t xml:space="preserve">Details of the potential risks to participants have been outlined in an ethics form. </w:t>
      </w:r>
      <w:r w:rsidRPr="00D2039E">
        <w:rPr>
          <w:sz w:val="28"/>
          <w:szCs w:val="28"/>
          <w:highlight w:val="yellow"/>
        </w:rPr>
        <w:t>Se</w:t>
      </w:r>
      <w:r>
        <w:rPr>
          <w:sz w:val="28"/>
          <w:szCs w:val="28"/>
        </w:rPr>
        <w:t xml:space="preserve">ction H of the ethics form outlines the risks and the steps to be taken to ensure that any risk is mitigated. Safeguarding regulations and child protection policy will be followed throughout the research and will always take precedent. </w:t>
      </w:r>
    </w:p>
    <w:p w:rsidR="00B02C40" w:rsidRDefault="00B02C40" w:rsidP="00B02C40">
      <w:pPr>
        <w:rPr>
          <w:sz w:val="28"/>
          <w:szCs w:val="28"/>
        </w:rPr>
      </w:pPr>
    </w:p>
    <w:p w:rsidR="00B02C40" w:rsidRDefault="00B02C40" w:rsidP="00B02C40">
      <w:pPr>
        <w:rPr>
          <w:b/>
          <w:bCs/>
          <w:sz w:val="32"/>
          <w:szCs w:val="32"/>
        </w:rPr>
      </w:pPr>
      <w:r w:rsidRPr="00061A95">
        <w:rPr>
          <w:b/>
          <w:bCs/>
          <w:sz w:val="32"/>
          <w:szCs w:val="32"/>
        </w:rPr>
        <w:t xml:space="preserve">Results and analysis </w:t>
      </w:r>
    </w:p>
    <w:p w:rsidR="00B02C40" w:rsidRDefault="00B02C40" w:rsidP="00B02C40">
      <w:pPr>
        <w:rPr>
          <w:b/>
          <w:bCs/>
          <w:sz w:val="32"/>
          <w:szCs w:val="32"/>
        </w:rPr>
      </w:pPr>
    </w:p>
    <w:p w:rsidR="00B02C40" w:rsidRPr="004072D1" w:rsidRDefault="00B02C40" w:rsidP="00B02C40">
      <w:pPr>
        <w:rPr>
          <w:sz w:val="28"/>
          <w:szCs w:val="28"/>
        </w:rPr>
      </w:pPr>
      <w:r>
        <w:rPr>
          <w:sz w:val="28"/>
          <w:szCs w:val="28"/>
        </w:rPr>
        <w:t xml:space="preserve">Child A, B and C make up the participants at the back of the classroom which will be referred to as ‘BG’ in this section of the report. Child D and E make up the middle group, referred to as ‘MG’ in this section. Child F, G and H make up the group at the front of the classroom referred to as ‘FG’ in this section. </w:t>
      </w:r>
    </w:p>
    <w:p w:rsidR="00B02C40" w:rsidRDefault="00B02C40" w:rsidP="00B02C40">
      <w:pPr>
        <w:rPr>
          <w:b/>
          <w:bCs/>
          <w:sz w:val="32"/>
          <w:szCs w:val="32"/>
        </w:rPr>
      </w:pPr>
    </w:p>
    <w:p w:rsidR="00B02C40" w:rsidRDefault="00B02C40" w:rsidP="00B02C40">
      <w:pPr>
        <w:rPr>
          <w:b/>
          <w:bCs/>
          <w:sz w:val="32"/>
          <w:szCs w:val="32"/>
        </w:rPr>
      </w:pPr>
    </w:p>
    <w:p w:rsidR="00B02C40" w:rsidRDefault="00B02C40" w:rsidP="00B02C40">
      <w:pPr>
        <w:rPr>
          <w:b/>
          <w:bCs/>
          <w:sz w:val="32"/>
          <w:szCs w:val="32"/>
        </w:rPr>
      </w:pPr>
    </w:p>
    <w:p w:rsidR="00B02C40" w:rsidRDefault="00B02C40" w:rsidP="00B02C40">
      <w:pPr>
        <w:rPr>
          <w:b/>
          <w:bCs/>
          <w:sz w:val="32"/>
          <w:szCs w:val="32"/>
        </w:rPr>
      </w:pPr>
    </w:p>
    <w:p w:rsidR="00B02C40" w:rsidRDefault="00B02C40" w:rsidP="00B02C40">
      <w:pPr>
        <w:rPr>
          <w:b/>
          <w:bCs/>
          <w:sz w:val="32"/>
          <w:szCs w:val="32"/>
        </w:rPr>
      </w:pPr>
    </w:p>
    <w:p w:rsidR="00B02C40" w:rsidRDefault="00B02C40" w:rsidP="00B02C40">
      <w:pPr>
        <w:rPr>
          <w:b/>
          <w:bCs/>
          <w:sz w:val="32"/>
          <w:szCs w:val="32"/>
        </w:rPr>
      </w:pPr>
    </w:p>
    <w:p w:rsidR="00B02C40" w:rsidRDefault="00B02C40" w:rsidP="00B02C40">
      <w:pPr>
        <w:rPr>
          <w:b/>
          <w:bCs/>
          <w:sz w:val="32"/>
          <w:szCs w:val="32"/>
        </w:rPr>
      </w:pPr>
    </w:p>
    <w:p w:rsidR="00B02C40" w:rsidRDefault="00B02C40" w:rsidP="00B02C40">
      <w:pPr>
        <w:rPr>
          <w:b/>
          <w:bCs/>
          <w:sz w:val="32"/>
          <w:szCs w:val="32"/>
        </w:rPr>
      </w:pPr>
    </w:p>
    <w:p w:rsidR="00B02C40" w:rsidRPr="004072D1" w:rsidRDefault="00B02C40" w:rsidP="00B02C40">
      <w:pPr>
        <w:rPr>
          <w:sz w:val="28"/>
          <w:szCs w:val="28"/>
        </w:rPr>
      </w:pPr>
      <w:r>
        <w:rPr>
          <w:sz w:val="28"/>
          <w:szCs w:val="28"/>
        </w:rPr>
        <w:t xml:space="preserve">Chart 1: </w:t>
      </w:r>
    </w:p>
    <w:p w:rsidR="00B02C40" w:rsidRDefault="00B02C40" w:rsidP="00B02C40">
      <w:pPr>
        <w:rPr>
          <w:b/>
          <w:bCs/>
          <w:sz w:val="32"/>
          <w:szCs w:val="32"/>
        </w:rPr>
      </w:pPr>
      <w:r w:rsidRPr="008E2ACC">
        <w:rPr>
          <w:noProof/>
          <w:sz w:val="16"/>
          <w:szCs w:val="16"/>
        </w:rPr>
        <w:drawing>
          <wp:inline distT="0" distB="0" distL="0" distR="0" wp14:anchorId="75B87057" wp14:editId="3FBAB96F">
            <wp:extent cx="2341245" cy="2159635"/>
            <wp:effectExtent l="0" t="0" r="8255" b="12065"/>
            <wp:docPr id="1" name="Chart 1" title="Chart">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B02C40" w:rsidRDefault="00B02C40" w:rsidP="00B02C40">
      <w:pPr>
        <w:rPr>
          <w:sz w:val="28"/>
          <w:szCs w:val="28"/>
        </w:rPr>
      </w:pPr>
      <w:r>
        <w:rPr>
          <w:sz w:val="28"/>
          <w:szCs w:val="28"/>
        </w:rPr>
        <w:t xml:space="preserve">Participants in group BG asked an average of 4.33 (2dp) questions in the lesson. Participants in MG asked an average of 3 questions during the lesson. Participants in FG asked an average of 2 questions during the lesson. According </w:t>
      </w:r>
      <w:r>
        <w:rPr>
          <w:sz w:val="28"/>
          <w:szCs w:val="28"/>
        </w:rPr>
        <w:lastRenderedPageBreak/>
        <w:t xml:space="preserve">to literature by Wassendorf et al (2023) FG group should have been the most dominant group in asking questions. However, the data shows in chart 1 that in fact they asked the least amount of questions and in actual fact it was group BG that asked double the amount of questions that FG asked. </w:t>
      </w:r>
    </w:p>
    <w:p w:rsidR="00B02C40" w:rsidRDefault="00B02C40" w:rsidP="00B02C40">
      <w:pPr>
        <w:rPr>
          <w:sz w:val="28"/>
          <w:szCs w:val="28"/>
        </w:rPr>
      </w:pPr>
    </w:p>
    <w:p w:rsidR="00B02C40" w:rsidRDefault="00B02C40" w:rsidP="00B02C40">
      <w:pPr>
        <w:rPr>
          <w:sz w:val="28"/>
          <w:szCs w:val="28"/>
        </w:rPr>
      </w:pPr>
      <w:r>
        <w:rPr>
          <w:sz w:val="28"/>
          <w:szCs w:val="28"/>
        </w:rPr>
        <w:t xml:space="preserve">Chart 2: </w:t>
      </w:r>
    </w:p>
    <w:p w:rsidR="00B02C40" w:rsidRDefault="00B02C40" w:rsidP="00B02C40">
      <w:pPr>
        <w:rPr>
          <w:sz w:val="28"/>
          <w:szCs w:val="28"/>
        </w:rPr>
      </w:pPr>
      <w:r w:rsidRPr="008E2ACC">
        <w:rPr>
          <w:noProof/>
          <w:sz w:val="16"/>
          <w:szCs w:val="16"/>
        </w:rPr>
        <w:drawing>
          <wp:inline distT="0" distB="0" distL="0" distR="0" wp14:anchorId="7968ACAA" wp14:editId="3FB4F1B1">
            <wp:extent cx="2341266" cy="2159635"/>
            <wp:effectExtent l="0" t="0" r="8255" b="12065"/>
            <wp:docPr id="2" name="Chart 2" title="Chart">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t xml:space="preserve">Participants in BG scored an average of 4 when asked how motivated they felt. Participants in MG scored 4.5 when asked the same question. Participants in FG scored an average of 3 when asked how motivated they felt. The participants in the middle of the room were more motivated than those at the front. </w:t>
      </w:r>
    </w:p>
    <w:p w:rsidR="00B02C40" w:rsidRDefault="00B02C40" w:rsidP="00B02C40">
      <w:pPr>
        <w:rPr>
          <w:sz w:val="28"/>
          <w:szCs w:val="28"/>
        </w:rPr>
      </w:pPr>
    </w:p>
    <w:p w:rsidR="00B02C40" w:rsidRPr="004072D1" w:rsidRDefault="00B02C40" w:rsidP="00B02C40">
      <w:pPr>
        <w:rPr>
          <w:sz w:val="28"/>
          <w:szCs w:val="28"/>
        </w:rPr>
      </w:pPr>
      <w:r>
        <w:rPr>
          <w:sz w:val="28"/>
          <w:szCs w:val="28"/>
        </w:rPr>
        <w:t xml:space="preserve">Chart 3: </w:t>
      </w:r>
    </w:p>
    <w:p w:rsidR="00B02C40" w:rsidRDefault="00B02C40" w:rsidP="00B02C40">
      <w:pPr>
        <w:rPr>
          <w:b/>
          <w:bCs/>
          <w:sz w:val="32"/>
          <w:szCs w:val="32"/>
        </w:rPr>
      </w:pPr>
      <w:r w:rsidRPr="008E2ACC">
        <w:rPr>
          <w:noProof/>
          <w:sz w:val="16"/>
          <w:szCs w:val="16"/>
        </w:rPr>
        <w:drawing>
          <wp:inline distT="0" distB="0" distL="0" distR="0" wp14:anchorId="1BA8D790" wp14:editId="376274FF">
            <wp:extent cx="2341245" cy="2159635"/>
            <wp:effectExtent l="0" t="0" r="8255" b="12065"/>
            <wp:docPr id="3" name="Chart 3" title="Chart">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B02C40" w:rsidRDefault="00B02C40" w:rsidP="00B02C40">
      <w:pPr>
        <w:rPr>
          <w:b/>
          <w:bCs/>
          <w:sz w:val="32"/>
          <w:szCs w:val="32"/>
        </w:rPr>
      </w:pPr>
    </w:p>
    <w:p w:rsidR="00B02C40" w:rsidRDefault="00B02C40" w:rsidP="00B02C40">
      <w:pPr>
        <w:rPr>
          <w:sz w:val="28"/>
          <w:szCs w:val="28"/>
        </w:rPr>
      </w:pPr>
      <w:r>
        <w:rPr>
          <w:sz w:val="28"/>
          <w:szCs w:val="28"/>
        </w:rPr>
        <w:t xml:space="preserve">Participants in BG scored an average of 4 when asked about their understanding of the topic. Participants in MG scored an average of 5 when asked the same question. Finally, participants in FG scored an average of 4 when asked about their understanding. </w:t>
      </w:r>
    </w:p>
    <w:p w:rsidR="00B02C40" w:rsidRDefault="00B02C40" w:rsidP="00B02C40">
      <w:pPr>
        <w:rPr>
          <w:sz w:val="28"/>
          <w:szCs w:val="28"/>
        </w:rPr>
      </w:pPr>
    </w:p>
    <w:p w:rsidR="00B02C40" w:rsidRDefault="00B02C40" w:rsidP="00B02C40">
      <w:pPr>
        <w:rPr>
          <w:sz w:val="28"/>
          <w:szCs w:val="28"/>
        </w:rPr>
      </w:pPr>
      <w:r>
        <w:rPr>
          <w:sz w:val="28"/>
          <w:szCs w:val="28"/>
        </w:rPr>
        <w:lastRenderedPageBreak/>
        <w:t xml:space="preserve">Chart 4: </w:t>
      </w:r>
    </w:p>
    <w:p w:rsidR="00B02C40" w:rsidRPr="00036820" w:rsidRDefault="00B02C40" w:rsidP="00B02C40">
      <w:pPr>
        <w:rPr>
          <w:sz w:val="28"/>
          <w:szCs w:val="28"/>
        </w:rPr>
      </w:pPr>
      <w:r w:rsidRPr="008E2ACC">
        <w:rPr>
          <w:noProof/>
          <w:sz w:val="16"/>
          <w:szCs w:val="16"/>
        </w:rPr>
        <w:drawing>
          <wp:inline distT="0" distB="0" distL="0" distR="0" wp14:anchorId="572F31A1" wp14:editId="488FC2E8">
            <wp:extent cx="2341245" cy="2159635"/>
            <wp:effectExtent l="0" t="0" r="8255" b="12065"/>
            <wp:docPr id="4" name="Chart 4" title="Chart">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02C40" w:rsidRDefault="00B02C40" w:rsidP="00B02C40">
      <w:pPr>
        <w:rPr>
          <w:b/>
          <w:bCs/>
          <w:sz w:val="32"/>
          <w:szCs w:val="32"/>
        </w:rPr>
      </w:pPr>
    </w:p>
    <w:p w:rsidR="00B02C40" w:rsidRDefault="00B02C40" w:rsidP="00B02C40">
      <w:pPr>
        <w:rPr>
          <w:sz w:val="28"/>
          <w:szCs w:val="28"/>
        </w:rPr>
      </w:pPr>
      <w:r>
        <w:rPr>
          <w:sz w:val="28"/>
          <w:szCs w:val="28"/>
        </w:rPr>
        <w:t>Participants in BG scored an average of 4.33 (2dp) when asked about listening to instructions. Participants in MG scored an average of 4 when asked about listening to instructions. Participants in FG scored an average of 5 when asked the same question.</w:t>
      </w:r>
    </w:p>
    <w:p w:rsidR="00B02C40" w:rsidRDefault="00B02C40" w:rsidP="00B02C40">
      <w:pPr>
        <w:rPr>
          <w:sz w:val="28"/>
          <w:szCs w:val="28"/>
        </w:rPr>
      </w:pPr>
    </w:p>
    <w:p w:rsidR="00B02C40" w:rsidRDefault="00B02C40" w:rsidP="00B02C40">
      <w:pPr>
        <w:rPr>
          <w:sz w:val="28"/>
          <w:szCs w:val="28"/>
        </w:rPr>
      </w:pPr>
      <w:r>
        <w:rPr>
          <w:sz w:val="28"/>
          <w:szCs w:val="28"/>
        </w:rPr>
        <w:t xml:space="preserve">Charts 3 and 4 are linked because the questions are related to listening. The data shows the participants in the front and middle were more successful in understanding content and listening to instructions. This backs up Wasendorf et al’s (2023) paper which says those at the front can see and hear the teacher more clearly. </w:t>
      </w:r>
    </w:p>
    <w:p w:rsidR="00B02C40" w:rsidRDefault="00B02C40" w:rsidP="00B02C40">
      <w:pPr>
        <w:rPr>
          <w:sz w:val="28"/>
          <w:szCs w:val="28"/>
        </w:rPr>
      </w:pPr>
    </w:p>
    <w:p w:rsidR="00B02C40" w:rsidRPr="00575D32" w:rsidRDefault="00B02C40" w:rsidP="00B02C40">
      <w:pPr>
        <w:rPr>
          <w:sz w:val="28"/>
          <w:szCs w:val="28"/>
        </w:rPr>
      </w:pPr>
      <w:r>
        <w:rPr>
          <w:sz w:val="28"/>
          <w:szCs w:val="28"/>
        </w:rPr>
        <w:t xml:space="preserve">Chart 5: </w:t>
      </w:r>
    </w:p>
    <w:p w:rsidR="00B02C40" w:rsidRDefault="00B02C40" w:rsidP="00B02C40">
      <w:pPr>
        <w:rPr>
          <w:b/>
          <w:bCs/>
          <w:sz w:val="32"/>
          <w:szCs w:val="32"/>
        </w:rPr>
      </w:pPr>
      <w:r w:rsidRPr="008E2ACC">
        <w:rPr>
          <w:noProof/>
          <w:sz w:val="16"/>
          <w:szCs w:val="16"/>
        </w:rPr>
        <w:drawing>
          <wp:inline distT="0" distB="0" distL="0" distR="0" wp14:anchorId="4E351AD1" wp14:editId="6652AA47">
            <wp:extent cx="2341245" cy="2159635"/>
            <wp:effectExtent l="0" t="0" r="8255" b="12065"/>
            <wp:docPr id="5" name="Chart 5" title="Chart">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02C40" w:rsidRDefault="00B02C40" w:rsidP="00B02C40">
      <w:pPr>
        <w:rPr>
          <w:b/>
          <w:bCs/>
          <w:sz w:val="32"/>
          <w:szCs w:val="32"/>
        </w:rPr>
      </w:pPr>
    </w:p>
    <w:p w:rsidR="00B02C40" w:rsidRDefault="00B02C40" w:rsidP="00B02C40">
      <w:pPr>
        <w:rPr>
          <w:sz w:val="28"/>
          <w:szCs w:val="28"/>
        </w:rPr>
      </w:pPr>
      <w:r>
        <w:rPr>
          <w:sz w:val="28"/>
          <w:szCs w:val="28"/>
        </w:rPr>
        <w:t xml:space="preserve">Participants in BG of the class answered an average of 7.33 (2dp) questions in the task. Participants in MG answered an average of 7.5 questions in the task. Participants in FG answered an average of 8.67 (2dp) questions in the task. </w:t>
      </w: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r>
        <w:rPr>
          <w:sz w:val="28"/>
          <w:szCs w:val="28"/>
        </w:rPr>
        <w:t xml:space="preserve">Chart 6: </w:t>
      </w:r>
    </w:p>
    <w:p w:rsidR="00B02C40" w:rsidRDefault="00B02C40" w:rsidP="00B02C40">
      <w:pPr>
        <w:rPr>
          <w:noProof/>
          <w:sz w:val="16"/>
          <w:szCs w:val="16"/>
        </w:rPr>
      </w:pPr>
      <w:r w:rsidRPr="008E2ACC">
        <w:rPr>
          <w:noProof/>
          <w:sz w:val="16"/>
          <w:szCs w:val="16"/>
        </w:rPr>
        <w:drawing>
          <wp:inline distT="0" distB="0" distL="0" distR="0" wp14:anchorId="0C5B4448" wp14:editId="24573382">
            <wp:extent cx="2341245" cy="2159635"/>
            <wp:effectExtent l="0" t="0" r="8255" b="12065"/>
            <wp:docPr id="6" name="Chart 6" title="Chart">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02C40" w:rsidRDefault="00B02C40" w:rsidP="00B02C40">
      <w:pPr>
        <w:rPr>
          <w:noProof/>
          <w:sz w:val="16"/>
          <w:szCs w:val="16"/>
        </w:rPr>
      </w:pPr>
    </w:p>
    <w:p w:rsidR="00B02C40" w:rsidRDefault="00B02C40" w:rsidP="00B02C40">
      <w:pPr>
        <w:rPr>
          <w:sz w:val="28"/>
          <w:szCs w:val="28"/>
        </w:rPr>
      </w:pPr>
      <w:r>
        <w:rPr>
          <w:sz w:val="28"/>
          <w:szCs w:val="28"/>
        </w:rPr>
        <w:t>Participants in BG of the class got, on average, 7 questions right in the task. Participants in MG also got, on average, 7 questions right in the task. However, participants in FG got 8 questions right on average.</w:t>
      </w:r>
    </w:p>
    <w:p w:rsidR="00B02C40" w:rsidRDefault="00B02C40" w:rsidP="00B02C40">
      <w:pPr>
        <w:rPr>
          <w:sz w:val="28"/>
          <w:szCs w:val="28"/>
        </w:rPr>
      </w:pPr>
    </w:p>
    <w:p w:rsidR="00B02C40" w:rsidRDefault="00B02C40" w:rsidP="00B02C40">
      <w:pPr>
        <w:rPr>
          <w:sz w:val="28"/>
          <w:szCs w:val="28"/>
        </w:rPr>
      </w:pPr>
      <w:r>
        <w:rPr>
          <w:sz w:val="28"/>
          <w:szCs w:val="28"/>
        </w:rPr>
        <w:t xml:space="preserve">Charts 5 and 6 are linked in the respect that they are both about engagement with a task. The data shows that group FG answered a higher amount of questions and also had a higher amount of correct questions. This confirms what Wassendorf et al (2023) says, that participants in group FG will outperform their peers in MG or BG.  </w:t>
      </w:r>
    </w:p>
    <w:p w:rsidR="00B02C40" w:rsidRDefault="00B02C40" w:rsidP="00B02C40">
      <w:pPr>
        <w:rPr>
          <w:sz w:val="28"/>
          <w:szCs w:val="28"/>
        </w:rPr>
      </w:pPr>
    </w:p>
    <w:p w:rsidR="00B02C40" w:rsidRDefault="00B02C40" w:rsidP="00B02C40">
      <w:pPr>
        <w:rPr>
          <w:sz w:val="28"/>
          <w:szCs w:val="28"/>
        </w:rPr>
      </w:pPr>
      <w:r>
        <w:rPr>
          <w:sz w:val="28"/>
          <w:szCs w:val="28"/>
        </w:rPr>
        <w:t xml:space="preserve">Chart 7: </w:t>
      </w:r>
    </w:p>
    <w:p w:rsidR="00B02C40" w:rsidRDefault="00B02C40" w:rsidP="00B02C40">
      <w:pPr>
        <w:rPr>
          <w:sz w:val="28"/>
          <w:szCs w:val="28"/>
        </w:rPr>
      </w:pPr>
      <w:r w:rsidRPr="008E2ACC">
        <w:rPr>
          <w:noProof/>
          <w:sz w:val="16"/>
          <w:szCs w:val="16"/>
        </w:rPr>
        <w:drawing>
          <wp:inline distT="0" distB="0" distL="0" distR="0" wp14:anchorId="405FC24A" wp14:editId="34AD7656">
            <wp:extent cx="2341245" cy="2159635"/>
            <wp:effectExtent l="0" t="0" r="8255" b="12065"/>
            <wp:docPr id="7" name="Chart 7" title="Chart">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lastRenderedPageBreak/>
        <w:t xml:space="preserve">The enjoyment levels of participants in BG was on average 4.67 (2dp). Participants in MG averaged at 4.5 in enjoyment. Participants in FG averaged at 3.67 (2dp) in enjoyment of the lesson. </w:t>
      </w:r>
    </w:p>
    <w:p w:rsidR="00B02C40" w:rsidRDefault="00B02C40" w:rsidP="00B02C40">
      <w:pPr>
        <w:rPr>
          <w:sz w:val="28"/>
          <w:szCs w:val="28"/>
        </w:rPr>
      </w:pPr>
    </w:p>
    <w:p w:rsidR="00B02C40" w:rsidRDefault="00B02C40" w:rsidP="00B02C40">
      <w:pPr>
        <w:rPr>
          <w:sz w:val="28"/>
          <w:szCs w:val="28"/>
        </w:rPr>
      </w:pPr>
      <w:r>
        <w:rPr>
          <w:sz w:val="28"/>
          <w:szCs w:val="28"/>
        </w:rPr>
        <w:t xml:space="preserve">Chart 8: </w:t>
      </w:r>
    </w:p>
    <w:p w:rsidR="00B02C40" w:rsidRDefault="00B02C40" w:rsidP="00B02C40">
      <w:pPr>
        <w:rPr>
          <w:sz w:val="28"/>
          <w:szCs w:val="28"/>
        </w:rPr>
      </w:pPr>
      <w:r w:rsidRPr="008E2ACC">
        <w:rPr>
          <w:noProof/>
          <w:sz w:val="16"/>
          <w:szCs w:val="16"/>
        </w:rPr>
        <w:drawing>
          <wp:inline distT="0" distB="0" distL="0" distR="0" wp14:anchorId="7DA198D4" wp14:editId="3B710A2E">
            <wp:extent cx="2341245" cy="2159635"/>
            <wp:effectExtent l="0" t="0" r="8255" b="12065"/>
            <wp:docPr id="8" name="Chart 8" title="Chart">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t xml:space="preserve">Participants in BG scored an average of 3.67 (2dp) when asked if they understood where nets could be used in a real life context. Participants in MG scored an average of 3 when asked the same question. Participants in FG scored an average of 4. </w:t>
      </w:r>
    </w:p>
    <w:p w:rsidR="00B02C40" w:rsidRDefault="00B02C40" w:rsidP="00B02C40">
      <w:pPr>
        <w:rPr>
          <w:sz w:val="28"/>
          <w:szCs w:val="28"/>
        </w:rPr>
      </w:pPr>
    </w:p>
    <w:p w:rsidR="00B02C40" w:rsidRDefault="00B02C40" w:rsidP="00B02C40">
      <w:pPr>
        <w:rPr>
          <w:sz w:val="28"/>
          <w:szCs w:val="28"/>
        </w:rPr>
      </w:pPr>
      <w:r>
        <w:rPr>
          <w:sz w:val="28"/>
          <w:szCs w:val="28"/>
        </w:rPr>
        <w:t xml:space="preserve">Chart 9: </w:t>
      </w:r>
    </w:p>
    <w:p w:rsidR="00B02C40" w:rsidRDefault="00B02C40" w:rsidP="00B02C40">
      <w:pPr>
        <w:rPr>
          <w:sz w:val="28"/>
          <w:szCs w:val="28"/>
        </w:rPr>
      </w:pPr>
      <w:r w:rsidRPr="008E2ACC">
        <w:rPr>
          <w:noProof/>
          <w:sz w:val="16"/>
          <w:szCs w:val="16"/>
        </w:rPr>
        <w:drawing>
          <wp:inline distT="0" distB="0" distL="0" distR="0" wp14:anchorId="7AA068A4" wp14:editId="76DB44ED">
            <wp:extent cx="2880000" cy="2160000"/>
            <wp:effectExtent l="0" t="0" r="15875" b="12065"/>
            <wp:docPr id="9" name="Chart 9" title="Chart">
              <a:extLst xmlns:a="http://schemas.openxmlformats.org/drawingml/2006/main">
                <a:ext uri="{FF2B5EF4-FFF2-40B4-BE49-F238E27FC236}">
                  <a16:creationId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t xml:space="preserve">Participants in BG scored an average of 4.33 (2dp) when asked how hard they worked in the lesson. Participants in MG scored an average of 4 when asked the same question. Participants in FG scored an average of 3.33 (2dp). </w:t>
      </w:r>
    </w:p>
    <w:p w:rsidR="00B02C40" w:rsidRDefault="00B02C40" w:rsidP="00B02C40">
      <w:pPr>
        <w:rPr>
          <w:sz w:val="28"/>
          <w:szCs w:val="28"/>
        </w:rPr>
      </w:pPr>
    </w:p>
    <w:p w:rsidR="00B02C40" w:rsidRDefault="00B02C40" w:rsidP="00B02C40">
      <w:pPr>
        <w:rPr>
          <w:sz w:val="28"/>
          <w:szCs w:val="28"/>
        </w:rPr>
      </w:pPr>
      <w:r>
        <w:rPr>
          <w:sz w:val="28"/>
          <w:szCs w:val="28"/>
        </w:rPr>
        <w:t xml:space="preserve">Chart 10: </w:t>
      </w:r>
    </w:p>
    <w:p w:rsidR="00B02C40" w:rsidRDefault="00B02C40" w:rsidP="00B02C40">
      <w:pPr>
        <w:rPr>
          <w:sz w:val="28"/>
          <w:szCs w:val="28"/>
        </w:rPr>
      </w:pPr>
      <w:r w:rsidRPr="008E2ACC">
        <w:rPr>
          <w:noProof/>
          <w:sz w:val="16"/>
          <w:szCs w:val="16"/>
        </w:rPr>
        <w:lastRenderedPageBreak/>
        <w:drawing>
          <wp:inline distT="0" distB="0" distL="0" distR="0" wp14:anchorId="54F020EC" wp14:editId="1B2BDC12">
            <wp:extent cx="2880000" cy="2160000"/>
            <wp:effectExtent l="0" t="0" r="15875" b="12065"/>
            <wp:docPr id="10" name="Chart 10" title="Chart">
              <a:extLst xmlns:a="http://schemas.openxmlformats.org/drawingml/2006/main">
                <a:ext uri="{FF2B5EF4-FFF2-40B4-BE49-F238E27FC236}">
                  <a16:creationId xmlns:a16="http://schemas.microsoft.com/office/drawing/2014/main" id="{00000000-0008-0000-00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t xml:space="preserve">Participants in BG scored an average of 4 when asked how interesting they found the lesson. Participants in MG scored an average of 3.5 when asked how interesting they found the lesson. Participants in FG scored an average of 3.67 (2dp) when asked the same question. </w:t>
      </w: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p>
    <w:p w:rsidR="00B02C40" w:rsidRDefault="00B02C40" w:rsidP="00B02C40">
      <w:pPr>
        <w:rPr>
          <w:sz w:val="28"/>
          <w:szCs w:val="28"/>
        </w:rPr>
      </w:pPr>
      <w:r>
        <w:rPr>
          <w:sz w:val="28"/>
          <w:szCs w:val="28"/>
        </w:rPr>
        <w:t xml:space="preserve">Chart 11: </w:t>
      </w:r>
    </w:p>
    <w:p w:rsidR="00B02C40" w:rsidRDefault="00B02C40" w:rsidP="00B02C40">
      <w:pPr>
        <w:rPr>
          <w:sz w:val="28"/>
          <w:szCs w:val="28"/>
        </w:rPr>
      </w:pPr>
      <w:r w:rsidRPr="008E2ACC">
        <w:rPr>
          <w:noProof/>
          <w:sz w:val="16"/>
          <w:szCs w:val="16"/>
        </w:rPr>
        <w:drawing>
          <wp:inline distT="0" distB="0" distL="0" distR="0" wp14:anchorId="7CA66C50" wp14:editId="179627BC">
            <wp:extent cx="2905125" cy="2159000"/>
            <wp:effectExtent l="0" t="0" r="15875" b="12700"/>
            <wp:docPr id="11" name="Chart 11" title="Chart">
              <a:extLst xmlns:a="http://schemas.openxmlformats.org/drawingml/2006/main">
                <a:ext uri="{FF2B5EF4-FFF2-40B4-BE49-F238E27FC236}">
                  <a16:creationId xmlns:a16="http://schemas.microsoft.com/office/drawing/2014/main" id="{00000000-0008-0000-00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t xml:space="preserve">Participants in BG scored an average of 3.33 (2dp) when asked if they wanted to learn more. Participants in MG scored an average of 3.5 when asked the </w:t>
      </w:r>
      <w:r>
        <w:rPr>
          <w:sz w:val="28"/>
          <w:szCs w:val="28"/>
        </w:rPr>
        <w:lastRenderedPageBreak/>
        <w:t xml:space="preserve">same question. Finally, participants in FG scored an average of 3.67 (2dp) when asked. </w:t>
      </w:r>
    </w:p>
    <w:p w:rsidR="00B02C40" w:rsidRDefault="00B02C40" w:rsidP="00B02C40">
      <w:pPr>
        <w:rPr>
          <w:sz w:val="28"/>
          <w:szCs w:val="28"/>
        </w:rPr>
      </w:pPr>
    </w:p>
    <w:p w:rsidR="00B02C40" w:rsidRDefault="00B02C40" w:rsidP="00B02C40">
      <w:pPr>
        <w:rPr>
          <w:sz w:val="28"/>
          <w:szCs w:val="28"/>
        </w:rPr>
      </w:pPr>
      <w:r>
        <w:rPr>
          <w:sz w:val="28"/>
          <w:szCs w:val="28"/>
        </w:rPr>
        <w:t xml:space="preserve">Chart 12: </w:t>
      </w:r>
    </w:p>
    <w:p w:rsidR="00B02C40" w:rsidRDefault="00B02C40" w:rsidP="00B02C40">
      <w:pPr>
        <w:rPr>
          <w:sz w:val="28"/>
          <w:szCs w:val="28"/>
        </w:rPr>
      </w:pPr>
    </w:p>
    <w:p w:rsidR="00B02C40" w:rsidRDefault="00B02C40" w:rsidP="00B02C40">
      <w:pPr>
        <w:rPr>
          <w:sz w:val="28"/>
          <w:szCs w:val="28"/>
        </w:rPr>
      </w:pPr>
      <w:r>
        <w:rPr>
          <w:noProof/>
        </w:rPr>
        <w:drawing>
          <wp:inline distT="0" distB="0" distL="0" distR="0" wp14:anchorId="767F15B6" wp14:editId="0470CCB9">
            <wp:extent cx="2905125" cy="2268187"/>
            <wp:effectExtent l="0" t="0" r="15875" b="18415"/>
            <wp:docPr id="16" name="Chart 16">
              <a:extLst xmlns:a="http://schemas.openxmlformats.org/drawingml/2006/main">
                <a:ext uri="{FF2B5EF4-FFF2-40B4-BE49-F238E27FC236}">
                  <a16:creationId xmlns:a16="http://schemas.microsoft.com/office/drawing/2014/main" id="{C313E5D3-EC0F-8247-8666-0487455D01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02C40" w:rsidRDefault="00B02C40" w:rsidP="00B02C40">
      <w:pPr>
        <w:rPr>
          <w:sz w:val="28"/>
          <w:szCs w:val="28"/>
        </w:rPr>
      </w:pPr>
    </w:p>
    <w:p w:rsidR="00B02C40" w:rsidRDefault="00B02C40" w:rsidP="00B02C40">
      <w:pPr>
        <w:rPr>
          <w:sz w:val="28"/>
          <w:szCs w:val="28"/>
        </w:rPr>
      </w:pPr>
      <w:r>
        <w:rPr>
          <w:sz w:val="28"/>
          <w:szCs w:val="28"/>
        </w:rPr>
        <w:t>Chart 12 shows the observed activity of participants in the lesson. Where 1 is low activity, 2 is frequently interrupted activity, 3 is mainly continuous activity, 4 is continuous activity with intense moments and finally 5 is sustained intense activity (</w:t>
      </w:r>
      <w:r w:rsidRPr="00C6470A">
        <w:rPr>
          <w:sz w:val="28"/>
          <w:szCs w:val="28"/>
          <w:highlight w:val="yellow"/>
        </w:rPr>
        <w:t>ADD REFERENCE).</w:t>
      </w:r>
      <w:r>
        <w:rPr>
          <w:sz w:val="28"/>
          <w:szCs w:val="28"/>
        </w:rPr>
        <w:t xml:space="preserve"> Participants in BG scored an average of 3.33 (2dp). Participants in MG scored an average of 3. Participants in FG scored an average of 3. Observations showed that group BG were the most active in the lesson. </w:t>
      </w:r>
    </w:p>
    <w:p w:rsidR="00B02C40" w:rsidRDefault="00B02C40" w:rsidP="00B02C40">
      <w:pPr>
        <w:rPr>
          <w:sz w:val="28"/>
          <w:szCs w:val="28"/>
        </w:rPr>
      </w:pPr>
    </w:p>
    <w:p w:rsidR="00B02C40" w:rsidRDefault="00B02C40" w:rsidP="00B02C40">
      <w:pPr>
        <w:rPr>
          <w:sz w:val="28"/>
          <w:szCs w:val="28"/>
        </w:rPr>
      </w:pPr>
      <w:r>
        <w:rPr>
          <w:sz w:val="28"/>
          <w:szCs w:val="28"/>
        </w:rPr>
        <w:t>Taking the average of all the questions answered by each group BG scored 4.63 (2dp), group MG scored 4.5 and group FG scored 4.45 (2dp). This average shows us the engagement indicator for each group. This interestingly showed that it was actually group BG that were the most engaged in this lesson and group FG were the least engaged.</w:t>
      </w:r>
    </w:p>
    <w:p w:rsidR="00B02C40" w:rsidRDefault="00B02C40" w:rsidP="00B02C40">
      <w:pPr>
        <w:rPr>
          <w:sz w:val="28"/>
          <w:szCs w:val="28"/>
        </w:rPr>
      </w:pPr>
    </w:p>
    <w:p w:rsidR="00B02C40" w:rsidRDefault="00B02C40" w:rsidP="00B02C40">
      <w:pPr>
        <w:rPr>
          <w:sz w:val="28"/>
          <w:szCs w:val="28"/>
        </w:rPr>
      </w:pPr>
    </w:p>
    <w:p w:rsidR="00B02C40" w:rsidRPr="009C0A9B" w:rsidRDefault="00B02C40" w:rsidP="00B02C40">
      <w:pPr>
        <w:rPr>
          <w:b/>
          <w:bCs/>
          <w:sz w:val="32"/>
          <w:szCs w:val="32"/>
        </w:rPr>
      </w:pPr>
      <w:r w:rsidRPr="009C0A9B">
        <w:rPr>
          <w:b/>
          <w:bCs/>
          <w:sz w:val="32"/>
          <w:szCs w:val="32"/>
        </w:rPr>
        <w:t>Conclusion</w:t>
      </w:r>
    </w:p>
    <w:p w:rsidR="00B02C40" w:rsidRDefault="00B02C40" w:rsidP="00B02C40">
      <w:pPr>
        <w:rPr>
          <w:sz w:val="28"/>
          <w:szCs w:val="28"/>
        </w:rPr>
      </w:pPr>
    </w:p>
    <w:p w:rsidR="00B02C40" w:rsidRDefault="00B02C40" w:rsidP="00B02C40">
      <w:pPr>
        <w:rPr>
          <w:sz w:val="28"/>
          <w:szCs w:val="28"/>
        </w:rPr>
      </w:pPr>
      <w:r>
        <w:rPr>
          <w:sz w:val="28"/>
          <w:szCs w:val="28"/>
        </w:rPr>
        <w:t xml:space="preserve">The small time frame to complete the study will have affected the reliability of results. If this research was repeated with the same class with a bigger sample size, over a longer period of time, the results would probably differ from those presented in this report. Including a more diverse sample would be beneficial too. This study only took into account a top set year 8 class, so results would probably differ if repeated with say a lower ability year 11 class. </w:t>
      </w:r>
    </w:p>
    <w:p w:rsidR="00B02C40" w:rsidRDefault="00B02C40" w:rsidP="00B02C40">
      <w:pPr>
        <w:rPr>
          <w:sz w:val="28"/>
          <w:szCs w:val="28"/>
        </w:rPr>
      </w:pPr>
    </w:p>
    <w:p w:rsidR="00B02C40" w:rsidRDefault="00B02C40" w:rsidP="00B02C40">
      <w:pPr>
        <w:rPr>
          <w:sz w:val="28"/>
          <w:szCs w:val="28"/>
        </w:rPr>
      </w:pPr>
      <w:r>
        <w:rPr>
          <w:sz w:val="28"/>
          <w:szCs w:val="28"/>
        </w:rPr>
        <w:lastRenderedPageBreak/>
        <w:t xml:space="preserve">Although steps were taken to ensure data collected was valid, such as proof read questions as part of the steps to building a questionnaire, there is always opportunity for improvement. I would change the scale on the questionnaire to give the option of a midpoint/neutral answer. Although leaving out the midpoint on the scale in the questionnaire was purposeful I feel that it could have been useful for those participants who really were undecided on a question. </w:t>
      </w:r>
    </w:p>
    <w:p w:rsidR="00B02C40" w:rsidRDefault="00B02C40" w:rsidP="00B02C40">
      <w:pPr>
        <w:rPr>
          <w:sz w:val="28"/>
          <w:szCs w:val="28"/>
        </w:rPr>
      </w:pPr>
    </w:p>
    <w:p w:rsidR="00B02C40" w:rsidRDefault="00B02C40" w:rsidP="00B02C40">
      <w:pPr>
        <w:rPr>
          <w:sz w:val="28"/>
          <w:szCs w:val="28"/>
        </w:rPr>
      </w:pPr>
      <w:r>
        <w:rPr>
          <w:sz w:val="28"/>
          <w:szCs w:val="28"/>
        </w:rPr>
        <w:t xml:space="preserve">If this research were to be repeated I would have increased the timescale to allow for several seating plans to be observed and questionnaires completed. Mixing up the participants on each occasion to see if any stronger trends presented themselves when those in FG swapped with BG and so on. </w:t>
      </w:r>
    </w:p>
    <w:p w:rsidR="00205C1D" w:rsidRDefault="00B02C40">
      <w:bookmarkStart w:id="0" w:name="_GoBack"/>
      <w:bookmarkEnd w:id="0"/>
    </w:p>
    <w:sectPr w:rsidR="00205C1D" w:rsidSect="00132D1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40"/>
    <w:rsid w:val="000712D5"/>
    <w:rsid w:val="00094D69"/>
    <w:rsid w:val="00125464"/>
    <w:rsid w:val="00132D17"/>
    <w:rsid w:val="001F44BB"/>
    <w:rsid w:val="002B5CE3"/>
    <w:rsid w:val="002D0DED"/>
    <w:rsid w:val="00330969"/>
    <w:rsid w:val="00342D69"/>
    <w:rsid w:val="00427BFF"/>
    <w:rsid w:val="004B7443"/>
    <w:rsid w:val="004D54C9"/>
    <w:rsid w:val="006728DD"/>
    <w:rsid w:val="006D6BBE"/>
    <w:rsid w:val="00720803"/>
    <w:rsid w:val="007F7A2C"/>
    <w:rsid w:val="00817B2B"/>
    <w:rsid w:val="008A0786"/>
    <w:rsid w:val="0099478C"/>
    <w:rsid w:val="00A502F4"/>
    <w:rsid w:val="00A517F8"/>
    <w:rsid w:val="00B024B9"/>
    <w:rsid w:val="00B02C40"/>
    <w:rsid w:val="00BE5931"/>
    <w:rsid w:val="00CA49AB"/>
    <w:rsid w:val="00D002DA"/>
    <w:rsid w:val="00D40F7F"/>
    <w:rsid w:val="00DD2658"/>
    <w:rsid w:val="00DF4B3A"/>
    <w:rsid w:val="00E0674F"/>
    <w:rsid w:val="00E07AD6"/>
    <w:rsid w:val="00E630F3"/>
    <w:rsid w:val="00EA634F"/>
    <w:rsid w:val="00F54626"/>
    <w:rsid w:val="00FB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75F5EF3E-C6CA-ED4F-BE3D-7704ABA9C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C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chart" Target="charts/chart10.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chart" Target="charts/chart9.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8.xml"/><Relationship Id="rId5" Type="http://schemas.openxmlformats.org/officeDocument/2006/relationships/chart" Target="charts/chart2.xml"/><Relationship Id="rId15" Type="http://schemas.openxmlformats.org/officeDocument/2006/relationships/chart" Target="charts/chart12.xml"/><Relationship Id="rId10" Type="http://schemas.openxmlformats.org/officeDocument/2006/relationships/chart" Target="charts/chart7.xml"/><Relationship Id="rId4" Type="http://schemas.openxmlformats.org/officeDocument/2006/relationships/chart" Target="charts/chart1.xml"/><Relationship Id="rId9" Type="http://schemas.openxmlformats.org/officeDocument/2006/relationships/chart" Target="charts/chart6.xml"/><Relationship Id="rId14" Type="http://schemas.openxmlformats.org/officeDocument/2006/relationships/chart" Target="charts/chart1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Users/eleanorhodgson/Downloads/Seating%20Plan_%20Questionnaire%20(Responses).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Roughly, how many questions did you ask the teacher during the lesson on nets?</a:t>
            </a:r>
          </a:p>
        </c:rich>
      </c:tx>
      <c:layout>
        <c:manualLayout>
          <c:xMode val="edge"/>
          <c:yMode val="edge"/>
          <c:x val="0.12619607775047964"/>
          <c:y val="0"/>
        </c:manualLayout>
      </c:layout>
      <c:overlay val="0"/>
    </c:title>
    <c:autoTitleDeleted val="0"/>
    <c:plotArea>
      <c:layout/>
      <c:barChart>
        <c:barDir val="col"/>
        <c:grouping val="clustered"/>
        <c:varyColors val="1"/>
        <c:ser>
          <c:idx val="0"/>
          <c:order val="0"/>
          <c:tx>
            <c:strRef>
              <c:f>'Form responses 1'!$E$1</c:f>
              <c:strCache>
                <c:ptCount val="1"/>
                <c:pt idx="0">
                  <c:v>Roughly how many questions did you ask the teacher during the lesson on nets?</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1'!$E$2:$E$9</c:f>
              <c:numCache>
                <c:formatCode>General</c:formatCode>
                <c:ptCount val="8"/>
                <c:pt idx="0">
                  <c:v>3</c:v>
                </c:pt>
                <c:pt idx="1">
                  <c:v>0</c:v>
                </c:pt>
                <c:pt idx="2">
                  <c:v>4</c:v>
                </c:pt>
                <c:pt idx="3">
                  <c:v>1</c:v>
                </c:pt>
                <c:pt idx="4">
                  <c:v>5</c:v>
                </c:pt>
                <c:pt idx="5">
                  <c:v>2</c:v>
                </c:pt>
                <c:pt idx="6">
                  <c:v>3</c:v>
                </c:pt>
                <c:pt idx="7">
                  <c:v>1</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3ECF-5646-969E-24F922AA40EA}"/>
            </c:ext>
          </c:extLst>
        </c:ser>
        <c:dLbls>
          <c:showLegendKey val="0"/>
          <c:showVal val="0"/>
          <c:showCatName val="0"/>
          <c:showSerName val="0"/>
          <c:showPercent val="0"/>
          <c:showBubbleSize val="0"/>
        </c:dLbls>
        <c:gapWidth val="150"/>
        <c:axId val="1957045930"/>
        <c:axId val="1265136511"/>
      </c:barChart>
      <c:catAx>
        <c:axId val="1957045930"/>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1265136511"/>
        <c:crosses val="autoZero"/>
        <c:auto val="1"/>
        <c:lblAlgn val="ctr"/>
        <c:lblOffset val="100"/>
        <c:noMultiLvlLbl val="1"/>
      </c:catAx>
      <c:valAx>
        <c:axId val="1265136511"/>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1957045930"/>
        <c:crosses val="autoZero"/>
        <c:crossBetween val="between"/>
      </c:valAx>
    </c:plotArea>
    <c:plotVisOnly val="1"/>
    <c:dispBlanksAs val="zero"/>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How motivated did you feel in this lesson?</a:t>
            </a:r>
          </a:p>
        </c:rich>
      </c:tx>
      <c:overlay val="0"/>
    </c:title>
    <c:autoTitleDeleted val="0"/>
    <c:plotArea>
      <c:layout/>
      <c:barChart>
        <c:barDir val="col"/>
        <c:grouping val="clustered"/>
        <c:varyColors val="1"/>
        <c:ser>
          <c:idx val="0"/>
          <c:order val="0"/>
          <c:tx>
            <c:strRef>
              <c:f>'Form responses 1'!$F$1</c:f>
              <c:strCache>
                <c:ptCount val="1"/>
                <c:pt idx="0">
                  <c:v>How motivated did you feel in this lesson?</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1'!$F$2:$F$9</c:f>
              <c:numCache>
                <c:formatCode>General</c:formatCode>
                <c:ptCount val="8"/>
                <c:pt idx="0">
                  <c:v>4</c:v>
                </c:pt>
                <c:pt idx="1">
                  <c:v>4</c:v>
                </c:pt>
                <c:pt idx="2">
                  <c:v>4</c:v>
                </c:pt>
                <c:pt idx="3">
                  <c:v>4</c:v>
                </c:pt>
                <c:pt idx="4">
                  <c:v>5</c:v>
                </c:pt>
                <c:pt idx="5">
                  <c:v>3</c:v>
                </c:pt>
                <c:pt idx="6">
                  <c:v>2</c:v>
                </c:pt>
                <c:pt idx="7">
                  <c:v>4</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1FC8-A847-93E9-9DF1E9AFD8D7}"/>
            </c:ext>
          </c:extLst>
        </c:ser>
        <c:dLbls>
          <c:showLegendKey val="0"/>
          <c:showVal val="0"/>
          <c:showCatName val="0"/>
          <c:showSerName val="0"/>
          <c:showPercent val="0"/>
          <c:showBubbleSize val="0"/>
        </c:dLbls>
        <c:gapWidth val="150"/>
        <c:axId val="497591105"/>
        <c:axId val="268773229"/>
      </c:barChart>
      <c:catAx>
        <c:axId val="497591105"/>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268773229"/>
        <c:crosses val="autoZero"/>
        <c:auto val="1"/>
        <c:lblAlgn val="ctr"/>
        <c:lblOffset val="100"/>
        <c:noMultiLvlLbl val="1"/>
      </c:catAx>
      <c:valAx>
        <c:axId val="268773229"/>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497591105"/>
        <c:crosses val="autoZero"/>
        <c:crossBetween val="between"/>
      </c:valAx>
    </c:plotArea>
    <c:plotVisOnly val="1"/>
    <c:dispBlanksAs val="zero"/>
    <c:showDLblsOverMax val="1"/>
  </c:chart>
  <c:spPr>
    <a:ln>
      <a:solidFill>
        <a:srgbClr val="CCCCCC"/>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To what extent did you understand the content of this lesson?</a:t>
            </a:r>
          </a:p>
        </c:rich>
      </c:tx>
      <c:overlay val="0"/>
    </c:title>
    <c:autoTitleDeleted val="0"/>
    <c:plotArea>
      <c:layout/>
      <c:barChart>
        <c:barDir val="col"/>
        <c:grouping val="clustered"/>
        <c:varyColors val="1"/>
        <c:ser>
          <c:idx val="0"/>
          <c:order val="0"/>
          <c:tx>
            <c:strRef>
              <c:f>'Form responses 1'!$G$1</c:f>
              <c:strCache>
                <c:ptCount val="1"/>
                <c:pt idx="0">
                  <c:v>To what extent did you understand the content of this lesson? </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1'!$G$2:$G$9</c:f>
              <c:numCache>
                <c:formatCode>General</c:formatCode>
                <c:ptCount val="8"/>
                <c:pt idx="0">
                  <c:v>4</c:v>
                </c:pt>
                <c:pt idx="1">
                  <c:v>5</c:v>
                </c:pt>
                <c:pt idx="2">
                  <c:v>3</c:v>
                </c:pt>
                <c:pt idx="3">
                  <c:v>5</c:v>
                </c:pt>
                <c:pt idx="4">
                  <c:v>5</c:v>
                </c:pt>
                <c:pt idx="5">
                  <c:v>3</c:v>
                </c:pt>
                <c:pt idx="6">
                  <c:v>4</c:v>
                </c:pt>
                <c:pt idx="7">
                  <c:v>5</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E8CB-AA4C-8978-E4D90C358EBB}"/>
            </c:ext>
          </c:extLst>
        </c:ser>
        <c:dLbls>
          <c:showLegendKey val="0"/>
          <c:showVal val="0"/>
          <c:showCatName val="0"/>
          <c:showSerName val="0"/>
          <c:showPercent val="0"/>
          <c:showBubbleSize val="0"/>
        </c:dLbls>
        <c:gapWidth val="150"/>
        <c:axId val="757277750"/>
        <c:axId val="934249272"/>
      </c:barChart>
      <c:catAx>
        <c:axId val="757277750"/>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934249272"/>
        <c:crosses val="autoZero"/>
        <c:auto val="1"/>
        <c:lblAlgn val="ctr"/>
        <c:lblOffset val="100"/>
        <c:noMultiLvlLbl val="1"/>
      </c:catAx>
      <c:valAx>
        <c:axId val="934249272"/>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757277750"/>
        <c:crosses val="autoZero"/>
        <c:crossBetween val="between"/>
      </c:valAx>
    </c:plotArea>
    <c:plotVisOnly val="1"/>
    <c:dispBlanksAs val="zero"/>
    <c:showDLblsOverMax val="1"/>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To what extent did you listen to instructions in this lesson? </a:t>
            </a:r>
          </a:p>
        </c:rich>
      </c:tx>
      <c:overlay val="0"/>
    </c:title>
    <c:autoTitleDeleted val="0"/>
    <c:plotArea>
      <c:layout/>
      <c:barChart>
        <c:barDir val="col"/>
        <c:grouping val="clustered"/>
        <c:varyColors val="1"/>
        <c:ser>
          <c:idx val="0"/>
          <c:order val="0"/>
          <c:tx>
            <c:strRef>
              <c:f>'Form responses 1'!$H$1</c:f>
              <c:strCache>
                <c:ptCount val="1"/>
                <c:pt idx="0">
                  <c:v>To what extent did you listen to instructions in this lesson?</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1'!$H$2:$H$9</c:f>
              <c:numCache>
                <c:formatCode>General</c:formatCode>
                <c:ptCount val="8"/>
                <c:pt idx="0">
                  <c:v>5</c:v>
                </c:pt>
                <c:pt idx="1">
                  <c:v>4</c:v>
                </c:pt>
                <c:pt idx="2">
                  <c:v>4</c:v>
                </c:pt>
                <c:pt idx="3">
                  <c:v>5</c:v>
                </c:pt>
                <c:pt idx="4">
                  <c:v>3</c:v>
                </c:pt>
                <c:pt idx="5">
                  <c:v>5</c:v>
                </c:pt>
                <c:pt idx="6">
                  <c:v>5</c:v>
                </c:pt>
                <c:pt idx="7">
                  <c:v>5</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251D-EA43-B0C9-ED360BF1BF15}"/>
            </c:ext>
          </c:extLst>
        </c:ser>
        <c:dLbls>
          <c:showLegendKey val="0"/>
          <c:showVal val="0"/>
          <c:showCatName val="0"/>
          <c:showSerName val="0"/>
          <c:showPercent val="0"/>
          <c:showBubbleSize val="0"/>
        </c:dLbls>
        <c:gapWidth val="150"/>
        <c:axId val="297631982"/>
        <c:axId val="956652286"/>
      </c:barChart>
      <c:catAx>
        <c:axId val="297631982"/>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956652286"/>
        <c:crosses val="autoZero"/>
        <c:auto val="1"/>
        <c:lblAlgn val="ctr"/>
        <c:lblOffset val="100"/>
        <c:noMultiLvlLbl val="1"/>
      </c:catAx>
      <c:valAx>
        <c:axId val="956652286"/>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297631982"/>
        <c:crosses val="autoZero"/>
        <c:crossBetween val="between"/>
      </c:valAx>
    </c:plotArea>
    <c:plotVisOnly val="1"/>
    <c:dispBlanksAs val="zero"/>
    <c:showDLblsOverMax val="1"/>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How many questions did you answer in the task?</a:t>
            </a:r>
          </a:p>
        </c:rich>
      </c:tx>
      <c:overlay val="0"/>
    </c:title>
    <c:autoTitleDeleted val="0"/>
    <c:plotArea>
      <c:layout/>
      <c:barChart>
        <c:barDir val="col"/>
        <c:grouping val="clustered"/>
        <c:varyColors val="1"/>
        <c:ser>
          <c:idx val="0"/>
          <c:order val="0"/>
          <c:tx>
            <c:strRef>
              <c:f>'Form responses 1'!$I$1</c:f>
              <c:strCache>
                <c:ptCount val="1"/>
                <c:pt idx="0">
                  <c:v>How many questions did you answer in the task?</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1'!$I$2:$I$9</c:f>
              <c:numCache>
                <c:formatCode>General</c:formatCode>
                <c:ptCount val="8"/>
                <c:pt idx="0">
                  <c:v>10</c:v>
                </c:pt>
                <c:pt idx="1">
                  <c:v>7</c:v>
                </c:pt>
                <c:pt idx="2">
                  <c:v>7</c:v>
                </c:pt>
                <c:pt idx="3">
                  <c:v>7</c:v>
                </c:pt>
                <c:pt idx="4">
                  <c:v>8</c:v>
                </c:pt>
                <c:pt idx="5">
                  <c:v>10</c:v>
                </c:pt>
                <c:pt idx="6">
                  <c:v>8</c:v>
                </c:pt>
                <c:pt idx="7">
                  <c:v>8</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D80F-5344-938E-E0DFA359EA93}"/>
            </c:ext>
          </c:extLst>
        </c:ser>
        <c:dLbls>
          <c:showLegendKey val="0"/>
          <c:showVal val="0"/>
          <c:showCatName val="0"/>
          <c:showSerName val="0"/>
          <c:showPercent val="0"/>
          <c:showBubbleSize val="0"/>
        </c:dLbls>
        <c:gapWidth val="150"/>
        <c:axId val="1530728633"/>
        <c:axId val="2012512559"/>
      </c:barChart>
      <c:catAx>
        <c:axId val="1530728633"/>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2012512559"/>
        <c:crosses val="autoZero"/>
        <c:auto val="1"/>
        <c:lblAlgn val="ctr"/>
        <c:lblOffset val="100"/>
        <c:noMultiLvlLbl val="1"/>
      </c:catAx>
      <c:valAx>
        <c:axId val="2012512559"/>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1530728633"/>
        <c:crosses val="autoZero"/>
        <c:crossBetween val="between"/>
      </c:valAx>
    </c:plotArea>
    <c:plotVisOnly val="1"/>
    <c:dispBlanksAs val="zero"/>
    <c:showDLblsOverMax val="1"/>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How many questions did you get right in the task?</a:t>
            </a:r>
          </a:p>
        </c:rich>
      </c:tx>
      <c:overlay val="0"/>
    </c:title>
    <c:autoTitleDeleted val="0"/>
    <c:plotArea>
      <c:layout/>
      <c:barChart>
        <c:barDir val="col"/>
        <c:grouping val="clustered"/>
        <c:varyColors val="1"/>
        <c:ser>
          <c:idx val="0"/>
          <c:order val="0"/>
          <c:tx>
            <c:strRef>
              <c:f>'Form responses 1'!$J$1</c:f>
              <c:strCache>
                <c:ptCount val="1"/>
                <c:pt idx="0">
                  <c:v>How many questions did you get right in the task?</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1'!$J$2:$J$9</c:f>
              <c:numCache>
                <c:formatCode>General</c:formatCode>
                <c:ptCount val="8"/>
                <c:pt idx="0">
                  <c:v>10</c:v>
                </c:pt>
                <c:pt idx="1">
                  <c:v>6</c:v>
                </c:pt>
                <c:pt idx="2">
                  <c:v>5</c:v>
                </c:pt>
                <c:pt idx="3">
                  <c:v>6</c:v>
                </c:pt>
                <c:pt idx="4">
                  <c:v>8</c:v>
                </c:pt>
                <c:pt idx="5">
                  <c:v>9</c:v>
                </c:pt>
                <c:pt idx="6">
                  <c:v>8</c:v>
                </c:pt>
                <c:pt idx="7">
                  <c:v>7</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E51D-E743-A394-F0B5AD97CA3A}"/>
            </c:ext>
          </c:extLst>
        </c:ser>
        <c:dLbls>
          <c:showLegendKey val="0"/>
          <c:showVal val="0"/>
          <c:showCatName val="0"/>
          <c:showSerName val="0"/>
          <c:showPercent val="0"/>
          <c:showBubbleSize val="0"/>
        </c:dLbls>
        <c:gapWidth val="150"/>
        <c:axId val="743107612"/>
        <c:axId val="1262311951"/>
      </c:barChart>
      <c:catAx>
        <c:axId val="743107612"/>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1262311951"/>
        <c:crosses val="autoZero"/>
        <c:auto val="1"/>
        <c:lblAlgn val="ctr"/>
        <c:lblOffset val="100"/>
        <c:noMultiLvlLbl val="1"/>
      </c:catAx>
      <c:valAx>
        <c:axId val="1262311951"/>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743107612"/>
        <c:crosses val="autoZero"/>
        <c:crossBetween val="between"/>
      </c:valAx>
    </c:plotArea>
    <c:plotVisOnly val="1"/>
    <c:dispBlanksAs val="zero"/>
    <c:showDLblsOverMax val="1"/>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Did you enjoy this lesson?</a:t>
            </a:r>
          </a:p>
        </c:rich>
      </c:tx>
      <c:overlay val="0"/>
    </c:title>
    <c:autoTitleDeleted val="0"/>
    <c:plotArea>
      <c:layout/>
      <c:barChart>
        <c:barDir val="col"/>
        <c:grouping val="clustered"/>
        <c:varyColors val="1"/>
        <c:ser>
          <c:idx val="0"/>
          <c:order val="0"/>
          <c:tx>
            <c:strRef>
              <c:f>'Form responses 1'!$K$1</c:f>
              <c:strCache>
                <c:ptCount val="1"/>
                <c:pt idx="0">
                  <c:v>Did you enjoy this lesson?</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1'!$K$2:$K$9</c:f>
              <c:numCache>
                <c:formatCode>General</c:formatCode>
                <c:ptCount val="8"/>
                <c:pt idx="0">
                  <c:v>5</c:v>
                </c:pt>
                <c:pt idx="1">
                  <c:v>5</c:v>
                </c:pt>
                <c:pt idx="2">
                  <c:v>4</c:v>
                </c:pt>
                <c:pt idx="3">
                  <c:v>4</c:v>
                </c:pt>
                <c:pt idx="4">
                  <c:v>5</c:v>
                </c:pt>
                <c:pt idx="5">
                  <c:v>3</c:v>
                </c:pt>
                <c:pt idx="6">
                  <c:v>4</c:v>
                </c:pt>
                <c:pt idx="7">
                  <c:v>4</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32B3-F24D-98B7-392946A2EA9B}"/>
            </c:ext>
          </c:extLst>
        </c:ser>
        <c:dLbls>
          <c:showLegendKey val="0"/>
          <c:showVal val="0"/>
          <c:showCatName val="0"/>
          <c:showSerName val="0"/>
          <c:showPercent val="0"/>
          <c:showBubbleSize val="0"/>
        </c:dLbls>
        <c:gapWidth val="150"/>
        <c:axId val="536639459"/>
        <c:axId val="1806055479"/>
      </c:barChart>
      <c:catAx>
        <c:axId val="536639459"/>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1806055479"/>
        <c:crosses val="autoZero"/>
        <c:auto val="1"/>
        <c:lblAlgn val="ctr"/>
        <c:lblOffset val="100"/>
        <c:noMultiLvlLbl val="1"/>
      </c:catAx>
      <c:valAx>
        <c:axId val="1806055479"/>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536639459"/>
        <c:crosses val="autoZero"/>
        <c:crossBetween val="between"/>
      </c:valAx>
    </c:plotArea>
    <c:plotVisOnly val="1"/>
    <c:dispBlanksAs val="zero"/>
    <c:showDLblsOverMax val="1"/>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Do you understand the use of nets in a real life context?</a:t>
            </a:r>
          </a:p>
        </c:rich>
      </c:tx>
      <c:overlay val="0"/>
    </c:title>
    <c:autoTitleDeleted val="0"/>
    <c:plotArea>
      <c:layout/>
      <c:barChart>
        <c:barDir val="col"/>
        <c:grouping val="clustered"/>
        <c:varyColors val="1"/>
        <c:ser>
          <c:idx val="0"/>
          <c:order val="0"/>
          <c:tx>
            <c:strRef>
              <c:f>'Form responses 1'!$L$1</c:f>
              <c:strCache>
                <c:ptCount val="1"/>
                <c:pt idx="0">
                  <c:v>Do you understand the use of nets in a real life context?</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1'!$L$2:$L$9</c:f>
              <c:numCache>
                <c:formatCode>General</c:formatCode>
                <c:ptCount val="8"/>
                <c:pt idx="0">
                  <c:v>5</c:v>
                </c:pt>
                <c:pt idx="1">
                  <c:v>4</c:v>
                </c:pt>
                <c:pt idx="2">
                  <c:v>2</c:v>
                </c:pt>
                <c:pt idx="3">
                  <c:v>3</c:v>
                </c:pt>
                <c:pt idx="4">
                  <c:v>3</c:v>
                </c:pt>
                <c:pt idx="5">
                  <c:v>2</c:v>
                </c:pt>
                <c:pt idx="6">
                  <c:v>5</c:v>
                </c:pt>
                <c:pt idx="7">
                  <c:v>5</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D51F-0D42-8CED-11EE681915B3}"/>
            </c:ext>
          </c:extLst>
        </c:ser>
        <c:dLbls>
          <c:showLegendKey val="0"/>
          <c:showVal val="0"/>
          <c:showCatName val="0"/>
          <c:showSerName val="0"/>
          <c:showPercent val="0"/>
          <c:showBubbleSize val="0"/>
        </c:dLbls>
        <c:gapWidth val="150"/>
        <c:axId val="664998781"/>
        <c:axId val="1186190233"/>
      </c:barChart>
      <c:catAx>
        <c:axId val="664998781"/>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1186190233"/>
        <c:crosses val="autoZero"/>
        <c:auto val="1"/>
        <c:lblAlgn val="ctr"/>
        <c:lblOffset val="100"/>
        <c:noMultiLvlLbl val="1"/>
      </c:catAx>
      <c:valAx>
        <c:axId val="1186190233"/>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664998781"/>
        <c:crosses val="autoZero"/>
        <c:crossBetween val="between"/>
      </c:valAx>
    </c:plotArea>
    <c:plotVisOnly val="1"/>
    <c:dispBlanksAs val="zero"/>
    <c:showDLblsOverMax val="1"/>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How hard did you work in this lesson?</a:t>
            </a:r>
          </a:p>
        </c:rich>
      </c:tx>
      <c:overlay val="0"/>
    </c:title>
    <c:autoTitleDeleted val="0"/>
    <c:plotArea>
      <c:layout/>
      <c:barChart>
        <c:barDir val="col"/>
        <c:grouping val="clustered"/>
        <c:varyColors val="1"/>
        <c:ser>
          <c:idx val="0"/>
          <c:order val="0"/>
          <c:tx>
            <c:strRef>
              <c:f>'Form responses 1'!$M$1</c:f>
              <c:strCache>
                <c:ptCount val="1"/>
                <c:pt idx="0">
                  <c:v>How hard did you work in this lesson?</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1'!$M$2:$M$9</c:f>
              <c:numCache>
                <c:formatCode>General</c:formatCode>
                <c:ptCount val="8"/>
                <c:pt idx="0">
                  <c:v>5</c:v>
                </c:pt>
                <c:pt idx="1">
                  <c:v>4</c:v>
                </c:pt>
                <c:pt idx="2">
                  <c:v>4</c:v>
                </c:pt>
                <c:pt idx="3">
                  <c:v>4</c:v>
                </c:pt>
                <c:pt idx="4">
                  <c:v>4</c:v>
                </c:pt>
                <c:pt idx="5">
                  <c:v>4</c:v>
                </c:pt>
                <c:pt idx="6">
                  <c:v>4</c:v>
                </c:pt>
                <c:pt idx="7">
                  <c:v>2</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A82A-AB48-A941-3F15B3A2525F}"/>
            </c:ext>
          </c:extLst>
        </c:ser>
        <c:dLbls>
          <c:showLegendKey val="0"/>
          <c:showVal val="0"/>
          <c:showCatName val="0"/>
          <c:showSerName val="0"/>
          <c:showPercent val="0"/>
          <c:showBubbleSize val="0"/>
        </c:dLbls>
        <c:gapWidth val="150"/>
        <c:axId val="394000079"/>
        <c:axId val="1030697531"/>
      </c:barChart>
      <c:catAx>
        <c:axId val="394000079"/>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1030697531"/>
        <c:crosses val="autoZero"/>
        <c:auto val="1"/>
        <c:lblAlgn val="ctr"/>
        <c:lblOffset val="100"/>
        <c:noMultiLvlLbl val="1"/>
      </c:catAx>
      <c:valAx>
        <c:axId val="1030697531"/>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394000079"/>
        <c:crosses val="autoZero"/>
        <c:crossBetween val="between"/>
      </c:valAx>
    </c:plotArea>
    <c:plotVisOnly val="1"/>
    <c:dispBlanksAs val="zero"/>
    <c:showDLblsOverMax val="1"/>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How interesting did you find nets as a topic?</a:t>
            </a:r>
          </a:p>
        </c:rich>
      </c:tx>
      <c:overlay val="0"/>
    </c:title>
    <c:autoTitleDeleted val="0"/>
    <c:plotArea>
      <c:layout/>
      <c:barChart>
        <c:barDir val="col"/>
        <c:grouping val="clustered"/>
        <c:varyColors val="1"/>
        <c:ser>
          <c:idx val="0"/>
          <c:order val="0"/>
          <c:tx>
            <c:strRef>
              <c:f>'Form responses 1'!$N$1</c:f>
              <c:strCache>
                <c:ptCount val="1"/>
                <c:pt idx="0">
                  <c:v>How interesting did you find nets as a topic?</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1'!$N$2:$N$9</c:f>
              <c:numCache>
                <c:formatCode>General</c:formatCode>
                <c:ptCount val="8"/>
                <c:pt idx="0">
                  <c:v>5</c:v>
                </c:pt>
                <c:pt idx="1">
                  <c:v>4</c:v>
                </c:pt>
                <c:pt idx="2">
                  <c:v>3</c:v>
                </c:pt>
                <c:pt idx="3">
                  <c:v>3</c:v>
                </c:pt>
                <c:pt idx="4">
                  <c:v>4</c:v>
                </c:pt>
                <c:pt idx="5">
                  <c:v>3</c:v>
                </c:pt>
                <c:pt idx="6">
                  <c:v>4</c:v>
                </c:pt>
                <c:pt idx="7">
                  <c:v>4</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DFBC-EB48-B58D-896A02236873}"/>
            </c:ext>
          </c:extLst>
        </c:ser>
        <c:dLbls>
          <c:showLegendKey val="0"/>
          <c:showVal val="0"/>
          <c:showCatName val="0"/>
          <c:showSerName val="0"/>
          <c:showPercent val="0"/>
          <c:showBubbleSize val="0"/>
        </c:dLbls>
        <c:gapWidth val="150"/>
        <c:axId val="357934979"/>
        <c:axId val="715450208"/>
      </c:barChart>
      <c:catAx>
        <c:axId val="357934979"/>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715450208"/>
        <c:crosses val="autoZero"/>
        <c:auto val="1"/>
        <c:lblAlgn val="ctr"/>
        <c:lblOffset val="100"/>
        <c:noMultiLvlLbl val="1"/>
      </c:catAx>
      <c:valAx>
        <c:axId val="715450208"/>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357934979"/>
        <c:crosses val="autoZero"/>
        <c:crossBetween val="between"/>
      </c:valAx>
    </c:plotArea>
    <c:plotVisOnly val="1"/>
    <c:dispBlanksAs val="zero"/>
    <c:showDLblsOverMax val="1"/>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lvl="0">
              <a:defRPr b="0">
                <a:solidFill>
                  <a:srgbClr val="757575"/>
                </a:solidFill>
                <a:latin typeface="+mn-lt"/>
              </a:defRPr>
            </a:pPr>
            <a:r>
              <a:rPr lang="en-GB" sz="1100" b="0">
                <a:solidFill>
                  <a:schemeClr val="tx1"/>
                </a:solidFill>
                <a:latin typeface="+mn-lt"/>
              </a:rPr>
              <a:t>Would you like to learn more about nets?</a:t>
            </a:r>
          </a:p>
        </c:rich>
      </c:tx>
      <c:overlay val="0"/>
    </c:title>
    <c:autoTitleDeleted val="0"/>
    <c:plotArea>
      <c:layout/>
      <c:barChart>
        <c:barDir val="col"/>
        <c:grouping val="clustered"/>
        <c:varyColors val="1"/>
        <c:ser>
          <c:idx val="0"/>
          <c:order val="0"/>
          <c:tx>
            <c:strRef>
              <c:f>'Form responses 1'!$O$1</c:f>
              <c:strCache>
                <c:ptCount val="1"/>
                <c:pt idx="0">
                  <c:v>Would you like to learn more about nets?</c:v>
                </c:pt>
              </c:strCache>
            </c:strRef>
          </c:tx>
          <c:spPr>
            <a:solidFill>
              <a:srgbClr val="4285F4"/>
            </a:solidFill>
            <a:ln cmpd="sng">
              <a:solidFill>
                <a:srgbClr val="000000"/>
              </a:solidFill>
            </a:ln>
          </c:spPr>
          <c:invertIfNegative val="1"/>
          <c:cat>
            <c:strRef>
              <c:f>'Form responses 1'!$D$2:$D$9</c:f>
              <c:strCache>
                <c:ptCount val="8"/>
                <c:pt idx="0">
                  <c:v>A</c:v>
                </c:pt>
                <c:pt idx="1">
                  <c:v>B</c:v>
                </c:pt>
                <c:pt idx="2">
                  <c:v>C</c:v>
                </c:pt>
                <c:pt idx="3">
                  <c:v>D</c:v>
                </c:pt>
                <c:pt idx="4">
                  <c:v>E</c:v>
                </c:pt>
                <c:pt idx="5">
                  <c:v>F</c:v>
                </c:pt>
                <c:pt idx="6">
                  <c:v>G</c:v>
                </c:pt>
                <c:pt idx="7">
                  <c:v>H</c:v>
                </c:pt>
              </c:strCache>
            </c:strRef>
          </c:cat>
          <c:val>
            <c:numRef>
              <c:f>'Form responses 1'!$O$2:$O$9</c:f>
              <c:numCache>
                <c:formatCode>General</c:formatCode>
                <c:ptCount val="8"/>
                <c:pt idx="0">
                  <c:v>5</c:v>
                </c:pt>
                <c:pt idx="1">
                  <c:v>3</c:v>
                </c:pt>
                <c:pt idx="2">
                  <c:v>2</c:v>
                </c:pt>
                <c:pt idx="3">
                  <c:v>4</c:v>
                </c:pt>
                <c:pt idx="4">
                  <c:v>3</c:v>
                </c:pt>
                <c:pt idx="5">
                  <c:v>4</c:v>
                </c:pt>
                <c:pt idx="6">
                  <c:v>4</c:v>
                </c:pt>
                <c:pt idx="7">
                  <c:v>3</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 xmlns:c16="http://schemas.microsoft.com/office/drawing/2014/chart" uri="{C3380CC4-5D6E-409C-BE32-E72D297353CC}">
              <c16:uniqueId val="{00000000-46AF-3E46-8438-5100A7B84EB0}"/>
            </c:ext>
          </c:extLst>
        </c:ser>
        <c:dLbls>
          <c:showLegendKey val="0"/>
          <c:showVal val="0"/>
          <c:showCatName val="0"/>
          <c:showSerName val="0"/>
          <c:showPercent val="0"/>
          <c:showBubbleSize val="0"/>
        </c:dLbls>
        <c:gapWidth val="150"/>
        <c:axId val="1212853038"/>
        <c:axId val="1639151326"/>
      </c:barChart>
      <c:catAx>
        <c:axId val="1212853038"/>
        <c:scaling>
          <c:orientation val="minMax"/>
        </c:scaling>
        <c:delete val="0"/>
        <c:axPos val="b"/>
        <c:title>
          <c:tx>
            <c:rich>
              <a:bodyPr/>
              <a:lstStyle/>
              <a:p>
                <a:pPr lvl="0">
                  <a:defRPr b="0">
                    <a:solidFill>
                      <a:srgbClr val="000000"/>
                    </a:solidFill>
                    <a:latin typeface="+mn-lt"/>
                  </a:defRPr>
                </a:pPr>
                <a:r>
                  <a:rPr lang="en-GB" b="0">
                    <a:solidFill>
                      <a:srgbClr val="000000"/>
                    </a:solidFill>
                    <a:latin typeface="+mn-lt"/>
                  </a:rPr>
                  <a:t>Child</a:t>
                </a:r>
              </a:p>
            </c:rich>
          </c:tx>
          <c:overlay val="0"/>
        </c:title>
        <c:numFmt formatCode="General" sourceLinked="1"/>
        <c:majorTickMark val="none"/>
        <c:minorTickMark val="none"/>
        <c:tickLblPos val="nextTo"/>
        <c:txPr>
          <a:bodyPr/>
          <a:lstStyle/>
          <a:p>
            <a:pPr lvl="0">
              <a:defRPr b="0">
                <a:solidFill>
                  <a:srgbClr val="000000"/>
                </a:solidFill>
                <a:latin typeface="+mn-lt"/>
              </a:defRPr>
            </a:pPr>
            <a:endParaRPr lang="en-US"/>
          </a:p>
        </c:txPr>
        <c:crossAx val="1639151326"/>
        <c:crosses val="autoZero"/>
        <c:auto val="1"/>
        <c:lblAlgn val="ctr"/>
        <c:lblOffset val="100"/>
        <c:noMultiLvlLbl val="1"/>
      </c:catAx>
      <c:valAx>
        <c:axId val="1639151326"/>
        <c:scaling>
          <c:orientation val="minMax"/>
        </c:scaling>
        <c:delete val="0"/>
        <c:axPos val="l"/>
        <c:majorGridlines>
          <c:spPr>
            <a:ln>
              <a:solidFill>
                <a:srgbClr val="B7B7B7"/>
              </a:solidFill>
            </a:ln>
          </c:spPr>
        </c:majorGridlines>
        <c:minorGridlines>
          <c:spPr>
            <a:ln>
              <a:solidFill>
                <a:srgbClr val="CCCCCC">
                  <a:alpha val="0"/>
                </a:srgbClr>
              </a:solidFill>
            </a:ln>
          </c:spPr>
        </c:minorGridlines>
        <c:numFmt formatCode="General" sourceLinked="1"/>
        <c:majorTickMark val="none"/>
        <c:minorTickMark val="none"/>
        <c:tickLblPos val="nextTo"/>
        <c:spPr>
          <a:ln/>
        </c:spPr>
        <c:txPr>
          <a:bodyPr/>
          <a:lstStyle/>
          <a:p>
            <a:pPr lvl="0">
              <a:defRPr b="0">
                <a:solidFill>
                  <a:srgbClr val="000000"/>
                </a:solidFill>
                <a:latin typeface="+mn-lt"/>
              </a:defRPr>
            </a:pPr>
            <a:endParaRPr lang="en-US"/>
          </a:p>
        </c:txPr>
        <c:crossAx val="1212853038"/>
        <c:crosses val="autoZero"/>
        <c:crossBetween val="between"/>
      </c:valAx>
    </c:plotArea>
    <c:plotVisOnly val="1"/>
    <c:dispBlanksAs val="zero"/>
    <c:showDLblsOverMax val="1"/>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Activity Observed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c:f>
              <c:strCache>
                <c:ptCount val="1"/>
                <c:pt idx="0">
                  <c:v>Activity</c:v>
                </c:pt>
              </c:strCache>
            </c:strRef>
          </c:tx>
          <c:spPr>
            <a:solidFill>
              <a:schemeClr val="accent4"/>
            </a:solidFill>
            <a:ln>
              <a:noFill/>
            </a:ln>
            <a:effectLst/>
          </c:spPr>
          <c:invertIfNegative val="0"/>
          <c:cat>
            <c:strRef>
              <c:f>Sheet1!$C$2:$C$9</c:f>
              <c:strCache>
                <c:ptCount val="8"/>
                <c:pt idx="0">
                  <c:v>A</c:v>
                </c:pt>
                <c:pt idx="1">
                  <c:v>B</c:v>
                </c:pt>
                <c:pt idx="2">
                  <c:v>C</c:v>
                </c:pt>
                <c:pt idx="3">
                  <c:v>D</c:v>
                </c:pt>
                <c:pt idx="4">
                  <c:v>E</c:v>
                </c:pt>
                <c:pt idx="5">
                  <c:v>F</c:v>
                </c:pt>
                <c:pt idx="6">
                  <c:v>G</c:v>
                </c:pt>
                <c:pt idx="7">
                  <c:v>H</c:v>
                </c:pt>
              </c:strCache>
            </c:strRef>
          </c:cat>
          <c:val>
            <c:numRef>
              <c:f>Sheet1!$D$2:$D$9</c:f>
              <c:numCache>
                <c:formatCode>General</c:formatCode>
                <c:ptCount val="8"/>
                <c:pt idx="0">
                  <c:v>3</c:v>
                </c:pt>
                <c:pt idx="1">
                  <c:v>5</c:v>
                </c:pt>
                <c:pt idx="2">
                  <c:v>2</c:v>
                </c:pt>
                <c:pt idx="3">
                  <c:v>1</c:v>
                </c:pt>
                <c:pt idx="4">
                  <c:v>4</c:v>
                </c:pt>
                <c:pt idx="5">
                  <c:v>3</c:v>
                </c:pt>
                <c:pt idx="6">
                  <c:v>4</c:v>
                </c:pt>
                <c:pt idx="7">
                  <c:v>2</c:v>
                </c:pt>
              </c:numCache>
            </c:numRef>
          </c:val>
          <c:extLst>
            <c:ext xmlns:c16="http://schemas.microsoft.com/office/drawing/2014/chart" uri="{C3380CC4-5D6E-409C-BE32-E72D297353CC}">
              <c16:uniqueId val="{00000000-942F-F440-9E90-DC4971892591}"/>
            </c:ext>
          </c:extLst>
        </c:ser>
        <c:dLbls>
          <c:showLegendKey val="0"/>
          <c:showVal val="0"/>
          <c:showCatName val="0"/>
          <c:showSerName val="0"/>
          <c:showPercent val="0"/>
          <c:showBubbleSize val="0"/>
        </c:dLbls>
        <c:gapWidth val="219"/>
        <c:overlap val="-27"/>
        <c:axId val="680567440"/>
        <c:axId val="680645264"/>
      </c:barChart>
      <c:catAx>
        <c:axId val="68056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645264"/>
        <c:crosses val="autoZero"/>
        <c:auto val="1"/>
        <c:lblAlgn val="ctr"/>
        <c:lblOffset val="100"/>
        <c:noMultiLvlLbl val="0"/>
      </c:catAx>
      <c:valAx>
        <c:axId val="680645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567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B7B7B7"/>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3558</Words>
  <Characters>20281</Characters>
  <Application>Microsoft Office Word</Application>
  <DocSecurity>0</DocSecurity>
  <Lines>169</Lines>
  <Paragraphs>47</Paragraphs>
  <ScaleCrop>false</ScaleCrop>
  <Company/>
  <LinksUpToDate>false</LinksUpToDate>
  <CharactersWithSpaces>23792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Hodgson (2304415)</dc:creator>
  <cp:keywords/>
  <dc:description/>
  <cp:lastModifiedBy>Eleanor Hodgson (2304415)</cp:lastModifiedBy>
  <cp:revision>1</cp:revision>
  <dcterms:created xsi:type="dcterms:W3CDTF">2024-05-04T13:14:00Z</dcterms:created>
  <dcterms:modified xsi:type="dcterms:W3CDTF">2024-05-04T13:15:00Z</dcterms:modified>
</cp:coreProperties>
</file>